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background w:color="FFFFFF"/>
  <w:body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r0b7flom9oh2" w:id="0"/>
      <w:bookmarkEnd w:id="0"/>
      <w:r w:rsidDel="00000000" w:rsidR="00000000" w:rsidRPr="00000000">
        <w:rPr>
          <w:rtl w:val="0"/>
        </w:rPr>
        <w:t xml:space="preserve">Руководство по созданию стандартных описаний электронных госуслуг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Задача описаний госуслуг — рассказывать посетителям региональных и муниципальных сайтов о федеральных госуслугах, которые можно получить на beta.gosuslugi.ru или через «Открытую платформу».</w:t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af5izyo73bc9" w:id="1"/>
      <w:bookmarkEnd w:id="1"/>
      <w:r w:rsidDel="00000000" w:rsidR="00000000" w:rsidRPr="00000000">
        <w:rPr>
          <w:rtl w:val="0"/>
        </w:rPr>
        <w:t xml:space="preserve">Структура описания услуги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Для описания услуги используется типовая структура: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Название услуги на простом языке + маркер электронной услуги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Жизненная ситуация, в которой услуга полезна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Преимущество получения услуги в электронном виде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Общий порядок получения услуги (без детализации)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Принципиальный перечень необходимых документов (без детализации)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Ограничения услуги</w:t>
      </w:r>
    </w:p>
    <w:p w:rsidR="00000000" w:rsidDel="00000000" w:rsidP="00000000" w:rsidRDefault="00000000" w:rsidRPr="00000000">
      <w:pPr>
        <w:numPr>
          <w:ilvl w:val="0"/>
          <w:numId w:val="2"/>
        </w:numPr>
        <w:ind w:left="720" w:hanging="360"/>
        <w:contextualSpacing w:val="1"/>
        <w:rPr>
          <w:u w:val="none"/>
        </w:rPr>
      </w:pPr>
      <w:r w:rsidDel="00000000" w:rsidR="00000000" w:rsidRPr="00000000">
        <w:rPr>
          <w:rtl w:val="0"/>
        </w:rPr>
        <w:t xml:space="preserve">Ссылка или кнопка-действие (При необходимости)</w:t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28furgmgfmrm" w:id="2"/>
      <w:bookmarkEnd w:id="2"/>
      <w:r w:rsidDel="00000000" w:rsidR="00000000" w:rsidRPr="00000000">
        <w:rPr>
          <w:rtl w:val="0"/>
        </w:rPr>
        <w:t xml:space="preserve">Название на простом языке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Название услуги должно быть сформулировано на бытовом языке, без технических терминов и канцеляризмов, вне зависимости от официального названия услуги. Задача названия — обратиться к читателю на понятном ему языке, а не передать суть услуги с максимальной точностью. В названии понятность важнее точности:</w:t>
      </w:r>
    </w:p>
    <w:tbl>
      <w:tblPr>
        <w:tblStyle w:val="Table1"/>
        <w:bidi w:val="0"/>
        <w:tblW w:w="8340.0" w:type="dxa"/>
        <w:jc w:val="left"/>
        <w:tblInd w:w="660.0" w:type="dxa"/>
        <w:tblLayout w:type="fixed"/>
        <w:tblLook w:val="0600"/>
      </w:tblPr>
      <w:tblGrid>
        <w:gridCol w:w="4155"/>
        <w:gridCol w:w="4185"/>
        <w:tblGridChange w:id="0">
          <w:tblGrid>
            <w:gridCol w:w="4155"/>
            <w:gridCol w:w="4185"/>
          </w:tblGrid>
        </w:tblGridChange>
      </w:tblGrid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b w:val="1"/>
                <w:rtl w:val="0"/>
              </w:rPr>
              <w:t xml:space="preserve">Нет: формально верно, но сложно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b w:val="1"/>
                <w:rtl w:val="0"/>
              </w:rPr>
              <w:t xml:space="preserve">Да: формально неверно, но понятно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Постановка на учет ТС</w:t>
              <w:br w:type="textWrapping"/>
              <w:t xml:space="preserve">Постановка на учет транспортных средств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Постановка машины на учет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Получение сведения о состоянии индивидуального пенсионного счета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Проверка пенсионного счета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Получение права на управление ТС</w:t>
              <w:br w:type="textWrapping"/>
              <w:t xml:space="preserve">Получение прав на управление транспортным средством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keepNext w:val="0"/>
              <w:keepLines w:val="0"/>
              <w:widowControl w:val="0"/>
              <w:spacing w:after="0" w:before="0" w:line="240" w:lineRule="auto"/>
              <w:ind w:left="0" w:right="0" w:firstLine="0"/>
              <w:contextualSpacing w:val="0"/>
              <w:jc w:val="left"/>
            </w:pPr>
            <w:r w:rsidDel="00000000" w:rsidR="00000000" w:rsidRPr="00000000">
              <w:rPr>
                <w:rtl w:val="0"/>
              </w:rPr>
              <w:t xml:space="preserve">Получение водительских прав</w:t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Если из-за упрощения были потеряны некоторые смысловые элементы, то их нужно объяснить в первом абзаце объяснения. Например, постановка на учет транспортного средства подразумевает не только машину, но и мотоциклы и другие ТС. Поэтому в первом абзаце пишем уточнение: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ab/>
        <w:t xml:space="preserve">Если вы купили машину, мотоцикл или другое транспортное средство...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При этом в заголовке должна быть максимально простая формулировка на бытовом языке, а не формально точная всеобъемлющая конструкция.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После сутевого названия услуги через точку может быть добавлен маркер «Электронная госуслуга». Этот маркер нужен в ситуациях, когда услуга представлена наряду с другими услугами, в том числе неэлектронными. </w:t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x4ejbajzyyed" w:id="3"/>
      <w:bookmarkEnd w:id="3"/>
      <w:r w:rsidDel="00000000" w:rsidR="00000000" w:rsidRPr="00000000">
        <w:rPr>
          <w:rtl w:val="0"/>
        </w:rPr>
        <w:t xml:space="preserve">Жизненная ситуация и преимущества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В первом абзаце после названия необходимо описать жизненную ситуацию, в которой потребуется услуга, и объяснить преимущества электронной услуги перед личным посещением ведомстав: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rtl w:val="0"/>
        </w:rPr>
        <w:t xml:space="preserve">Если вы купили машину, мотоцикл или другое транспортное средство, его нужно поставить на учет в отделении ГИБДД и получить свидетельство о госрегистрации. Электронная госуслуга поможет легко подать документы на регистрацию.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rtl w:val="0"/>
        </w:rPr>
        <w:t xml:space="preserve">Если вам исполнилось 20 или 45 лет, у вас испортился или потерялся паспорт, изменилось имя, личные данные или внешность, эта услуга для вас. С ее помощью вы легко подадите документы на новый паспорт и вас пригласят, чтобы его получить.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rtl w:val="0"/>
        </w:rPr>
        <w:t xml:space="preserve">Если у вас родился ребенок и вы собираетесь отдавать его в детский садик, задумайтесь заранее о том, чтобы занять место. Для этого достаточно подать заявление на сайте госуслуг, и вам сообщат, когда очередь подойдет. </w:t>
      </w:r>
    </w:p>
    <w:p w:rsidR="00000000" w:rsidDel="00000000" w:rsidP="00000000" w:rsidRDefault="00000000" w:rsidRPr="00000000">
      <w:pPr>
        <w:ind w:left="0" w:firstLine="0"/>
        <w:contextualSpacing w:val="0"/>
      </w:pPr>
      <w:r w:rsidDel="00000000" w:rsidR="00000000" w:rsidRPr="00000000">
        <w:rPr>
          <w:rtl w:val="0"/>
        </w:rPr>
        <w:t xml:space="preserve">Объяснение жизненной ситуации можно начинать с фраз «Если» или «Когда», можно обращаться на «вы». </w:t>
      </w:r>
    </w:p>
    <w:p w:rsidR="00000000" w:rsidDel="00000000" w:rsidP="00000000" w:rsidRDefault="00000000" w:rsidRPr="00000000">
      <w:pPr>
        <w:ind w:left="0" w:firstLine="0"/>
        <w:contextualSpacing w:val="0"/>
      </w:pPr>
      <w:r w:rsidDel="00000000" w:rsidR="00000000" w:rsidRPr="00000000">
        <w:rPr>
          <w:rtl w:val="0"/>
        </w:rPr>
        <w:t xml:space="preserve">Нельзя писать «вы» с заглавной буквы. Нельзя использовать длинные перечисления случаев или ситуаций (более пяти). Если нужно перечислить много случаев, то они группируются:</w:t>
      </w:r>
    </w:p>
    <w:tbl>
      <w:tblPr>
        <w:tblStyle w:val="Table2"/>
        <w:bidi w:val="0"/>
        <w:tblW w:w="8340.0" w:type="dxa"/>
        <w:jc w:val="left"/>
        <w:tblInd w:w="660.0" w:type="dxa"/>
        <w:tblLayout w:type="fixed"/>
        <w:tblLook w:val="0600"/>
      </w:tblPr>
      <w:tblGrid>
        <w:gridCol w:w="4155"/>
        <w:gridCol w:w="4185"/>
        <w:tblGridChange w:id="0">
          <w:tblGrid>
            <w:gridCol w:w="4155"/>
            <w:gridCol w:w="4185"/>
          </w:tblGrid>
        </w:tblGridChange>
      </w:tblGrid>
      <w:tr>
        <w:trPr>
          <w:trHeight w:val="460" w:hRule="atLeast"/>
        </w:trP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Нет: формально верно, но слишком много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b w:val="1"/>
                <w:rtl w:val="0"/>
              </w:rPr>
              <w:t xml:space="preserve">Да: сгруппировано</w:t>
            </w:r>
          </w:p>
        </w:tc>
      </w:tr>
      <w:tr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У вас изменилось имя, фамилия, отчество, пол или внешность</w:t>
            </w:r>
          </w:p>
        </w:tc>
        <w:tc>
          <w:tcPr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>
            <w:pPr>
              <w:spacing w:after="0" w:line="240" w:lineRule="auto"/>
              <w:contextualSpacing w:val="0"/>
            </w:pPr>
            <w:r w:rsidDel="00000000" w:rsidR="00000000" w:rsidRPr="00000000">
              <w:rPr>
                <w:rtl w:val="0"/>
              </w:rPr>
              <w:t xml:space="preserve">У вас изменились личные данные или внешность</w:t>
            </w:r>
          </w:p>
        </w:tc>
      </w:tr>
    </w:tbl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В конце абзаца формулируется польза: что дает использование услуги. Допустимо писать о простой подаче документов, оформлении документов через интернет, помощи со стороны портала и любых других преимуществах.</w:t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2yunr2f7gnjy" w:id="4"/>
      <w:bookmarkEnd w:id="4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r w:rsidDel="00000000" w:rsidR="00000000" w:rsidRPr="00000000">
        <w:br w:type="page"/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8oquuok2nktf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y1pxia16odau" w:id="6"/>
      <w:bookmarkEnd w:id="6"/>
      <w:r w:rsidDel="00000000" w:rsidR="00000000" w:rsidRPr="00000000">
        <w:rPr>
          <w:rtl w:val="0"/>
        </w:rPr>
        <w:t xml:space="preserve">Общий порядок получения услуги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Вторым абзацем приводится последовательность основных шагов. Шаги распределяются согласно физическим перемещениям пользователя. Если все действия совершаются в интернете за один подход, то эти действия включаются в один шаг. Если нужно что-то сделать в интернете и отдельно оплатить пошлину — два шага. Если внутри одного места или времени нужно сделать несколько действий, они не разделяются по шагам, а пишутся в одном шаге: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rtl w:val="0"/>
        </w:rPr>
        <w:t xml:space="preserve">Как оформить паспорт гражданина: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Заполняете электронное заявление на портале госуслуг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Оплачиваете госпошлину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Приносите оригиналы документов в отделение ФМС, отдаете их без очереди</w:t>
      </w:r>
    </w:p>
    <w:p w:rsidR="00000000" w:rsidDel="00000000" w:rsidP="00000000" w:rsidRDefault="00000000" w:rsidRPr="00000000">
      <w:pPr>
        <w:numPr>
          <w:ilvl w:val="0"/>
          <w:numId w:val="1"/>
        </w:numPr>
        <w:ind w:left="1440" w:hanging="360"/>
        <w:contextualSpacing w:val="1"/>
        <w:rPr/>
      </w:pPr>
      <w:r w:rsidDel="00000000" w:rsidR="00000000" w:rsidRPr="00000000">
        <w:rPr>
          <w:rtl w:val="0"/>
        </w:rPr>
        <w:t xml:space="preserve">Вас приглашают в ФМС к определенному времени, чтобы забрать новый паспорт. Если время неудобное, его можно изменить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Приведенный текст должен давать общее представление о порядке оказания услуг, но не быть инструкцией к получению услуги. Подробная инструкция с детализацией всех документов прописана на портале госуслуг. </w:t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rr039lfg8s70" w:id="7"/>
      <w:bookmarkEnd w:id="7"/>
      <w:r w:rsidDel="00000000" w:rsidR="00000000" w:rsidRPr="00000000">
        <w:rPr>
          <w:rtl w:val="0"/>
        </w:rPr>
        <w:t xml:space="preserve">Перечень документов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После последовательности действий приведите принципиальный перечень документов. По перечню читатель должен составить общее впечатление о нужных документах, оценить сложность их сбора.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Действующий гражданский паспорт в перечне документов не указываем.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Если есть несколько взаимозаменяемых документов, которые выполняют одну и ту же функцию — пишем о функции, а не перечисляем конкретные документы. Например, «документ, подтверждеющий ваше право на машину».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Необязательные документы объединяем в общи пункт, согласно их функции. Например, «любые другие документы, отметки из которых потребуются в новом паспорте».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rtl w:val="0"/>
        </w:rPr>
        <w:t xml:space="preserve">Вам потребуется старый паспорт (или справка из полиции) и любые документы, отметки из которых должны стоять в новом паспорте: военный билет, свидетельства о рождении детей и т. д.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Общее правило — описание услуги должно давать общее представление о смысле услуги и процессе получения, а не перечислять все возможные условия и случаи. Человек должен понять ситуацию в целом, а не все ее тонкости и нюансы. Инструкция к услуге и все формальные условия будут перечислены на портале госуслуг. </w:t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zcwd2wk1zkha" w:id="8"/>
      <w:bookmarkEnd w:id="8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r w:rsidDel="00000000" w:rsidR="00000000" w:rsidRPr="00000000">
        <w:br w:type="page"/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55dst4w6oq50" w:id="9"/>
      <w:bookmarkEnd w:id="9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4ufiixgpu65u" w:id="10"/>
      <w:bookmarkEnd w:id="10"/>
      <w:r w:rsidDel="00000000" w:rsidR="00000000" w:rsidRPr="00000000">
        <w:rPr>
          <w:rtl w:val="0"/>
        </w:rPr>
        <w:t xml:space="preserve">Ограничения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Если услуга доступна определенному сегменту пользователей или ограничена территориально, или есть какие-то другие ограничивающие факторы, напишите об этом в конце: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rtl w:val="0"/>
        </w:rPr>
        <w:t xml:space="preserve">Услуга доступна пользователям портала, которые подтвердили личность в центре регистрации, по почте или с помощью электронной подписи.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rtl w:val="0"/>
        </w:rPr>
        <w:t xml:space="preserve">Услуга недоступна жителям Москвы и Крыма.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rtl w:val="0"/>
        </w:rPr>
        <w:t xml:space="preserve">Услуга доступна только жителям Новосибирска.</w:t>
      </w:r>
    </w:p>
    <w:p w:rsidR="00000000" w:rsidDel="00000000" w:rsidP="00000000" w:rsidRDefault="00000000" w:rsidRPr="00000000">
      <w:pPr>
        <w:ind w:left="720" w:firstLine="0"/>
        <w:contextualSpacing w:val="0"/>
      </w:pPr>
      <w:r w:rsidDel="00000000" w:rsidR="00000000" w:rsidRPr="00000000">
        <w:rPr>
          <w:rtl w:val="0"/>
        </w:rPr>
        <w:t xml:space="preserve">Услуга доступна только водителям, ранее получавшим права через портал госуслуг.</w:t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naxzuiavhyhj" w:id="11"/>
      <w:bookmarkEnd w:id="11"/>
      <w:r w:rsidDel="00000000" w:rsidR="00000000" w:rsidRPr="00000000">
        <w:rPr>
          <w:rtl w:val="0"/>
        </w:rPr>
        <w:t xml:space="preserve">Дополнительно: ссылки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При необходимости в конце описания можно поставить ссылку на портал. Возможны несколько форматов.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ab/>
        <w:t xml:space="preserve">Простой текст (для описаний, которые не поддерживают HTML)</w:t>
      </w:r>
      <w:r w:rsidDel="00000000" w:rsidR="00000000" w:rsidRPr="00000000">
        <w:rPr>
          <w:rtl w:val="0"/>
        </w:rPr>
        <w:br w:type="textWrapping"/>
        <w:tab/>
        <w:t xml:space="preserve">Подробнее на портале госуслуг: </w:t>
      </w:r>
      <w:hyperlink r:id="rId5">
        <w:r w:rsidDel="00000000" w:rsidR="00000000" w:rsidRPr="00000000">
          <w:rPr>
            <w:color w:val="1155cc"/>
            <w:u w:val="single"/>
            <w:rtl w:val="0"/>
          </w:rPr>
          <w:t xml:space="preserve">https://beta.gosuslugi.ru/10042/1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ab/>
        <w:t xml:space="preserve">Ссылка с HTML</w:t>
      </w:r>
      <w:r w:rsidDel="00000000" w:rsidR="00000000" w:rsidRPr="00000000">
        <w:rPr>
          <w:rtl w:val="0"/>
        </w:rPr>
        <w:br w:type="textWrapping"/>
        <w:tab/>
        <w:t xml:space="preserve">Подробнее </w:t>
      </w:r>
      <w:hyperlink r:id="rId6">
        <w:r w:rsidDel="00000000" w:rsidR="00000000" w:rsidRPr="00000000">
          <w:rPr>
            <w:color w:val="1155cc"/>
            <w:u w:val="single"/>
            <w:rtl w:val="0"/>
          </w:rPr>
          <w:t xml:space="preserve">на портале госуслуг →</w:t>
        </w:r>
      </w:hyperlink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b w:val="1"/>
          <w:rtl w:val="0"/>
        </w:rPr>
        <w:tab/>
        <w:t xml:space="preserve">Кнопка</w:t>
      </w:r>
      <w:r w:rsidDel="00000000" w:rsidR="00000000" w:rsidRPr="00000000">
        <w:rPr>
          <w:rtl w:val="0"/>
        </w:rPr>
        <w:br w:type="textWrapping"/>
        <w:tab/>
        <w:t xml:space="preserve">[Получить на госуслугах...]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Предпочтительно, чтобы ссылки или кнопки были встроены в интерфейс сайта-партнера и были оформлены в соответствии с визуальным стилем госуслуг. </w:t>
      </w:r>
    </w:p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pj14um6n10wr" w:id="12"/>
      <w:bookmarkEnd w:id="12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r w:rsidDel="00000000" w:rsidR="00000000" w:rsidRPr="00000000">
        <w:br w:type="page"/>
      </w:r>
    </w:p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q4br9ab14rh5" w:id="13"/>
      <w:bookmarkEnd w:id="13"/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1"/>
        <w:contextualSpacing w:val="0"/>
      </w:pPr>
      <w:bookmarkStart w:colFirst="0" w:colLast="0" w:name="h.ase8yfy7chfp" w:id="14"/>
      <w:bookmarkEnd w:id="14"/>
      <w:r w:rsidDel="00000000" w:rsidR="00000000" w:rsidRPr="00000000">
        <w:rPr>
          <w:rtl w:val="0"/>
        </w:rPr>
        <w:t xml:space="preserve">Примеры описания госуслуг</w:t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b7a4bh2rsh4z" w:id="15"/>
      <w:bookmarkEnd w:id="15"/>
      <w:r w:rsidDel="00000000" w:rsidR="00000000" w:rsidRPr="00000000">
        <w:rPr>
          <w:rtl w:val="0"/>
        </w:rPr>
        <w:t xml:space="preserve">Оформление паспорта гражданина РФ. Электронная госуслуга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Если вам исполнилось 20 или 45 лет, у вас испортился или потерялся паспорт, изменилось имя, личные данные или внешность, эта услуга для вас. С ее помощью вы легко подадите документы на новый паспорт и вас пригласят, чтобы его получить.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Как оформить паспорт гражданина:</w:t>
      </w:r>
    </w:p>
    <w:p w:rsidR="00000000" w:rsidDel="00000000" w:rsidP="00000000" w:rsidRDefault="00000000" w:rsidRPr="00000000">
      <w:pPr>
        <w:numPr>
          <w:ilvl w:val="0"/>
          <w:numId w:val="4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Заполняете электронное заявление на портале госуслуг</w:t>
      </w:r>
    </w:p>
    <w:p w:rsidR="00000000" w:rsidDel="00000000" w:rsidP="00000000" w:rsidRDefault="00000000" w:rsidRPr="00000000">
      <w:pPr>
        <w:numPr>
          <w:ilvl w:val="0"/>
          <w:numId w:val="4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Оплачиваете госпошлину</w:t>
      </w:r>
    </w:p>
    <w:p w:rsidR="00000000" w:rsidDel="00000000" w:rsidP="00000000" w:rsidRDefault="00000000" w:rsidRPr="00000000">
      <w:pPr>
        <w:numPr>
          <w:ilvl w:val="0"/>
          <w:numId w:val="4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Приносите оригиналы документов в отделение ФМС, отдаете их без очереди</w:t>
      </w:r>
    </w:p>
    <w:p w:rsidR="00000000" w:rsidDel="00000000" w:rsidP="00000000" w:rsidRDefault="00000000" w:rsidRPr="00000000">
      <w:pPr>
        <w:numPr>
          <w:ilvl w:val="0"/>
          <w:numId w:val="4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Вас приглашают в ФМС к определенному времени, чтобы забрать новый паспорт. Если время неудобное, его можно изменить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Вам потребуется старый паспорт (или справка из полиции) и любые документы, отметки из которых должны стоять в новом паспорте: военный билет, свидетельства о рождении детей и т. д.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Услуга доступна пользователям портала, которые подтвердили личность в центре регистрации, по почте или с помощью электронной подписи.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Подробнее </w:t>
      </w:r>
      <w:hyperlink r:id="rId7">
        <w:r w:rsidDel="00000000" w:rsidR="00000000" w:rsidRPr="00000000">
          <w:rPr>
            <w:color w:val="1155cc"/>
            <w:u w:val="single"/>
            <w:rtl w:val="0"/>
          </w:rPr>
          <w:t xml:space="preserve">на портале госуслуг → 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>
      <w:pPr>
        <w:pStyle w:val="Heading2"/>
        <w:contextualSpacing w:val="0"/>
      </w:pPr>
      <w:bookmarkStart w:colFirst="0" w:colLast="0" w:name="h.trjvrh6pg64d" w:id="16"/>
      <w:bookmarkEnd w:id="16"/>
      <w:r w:rsidDel="00000000" w:rsidR="00000000" w:rsidRPr="00000000">
        <w:rPr>
          <w:rtl w:val="0"/>
        </w:rPr>
        <w:t xml:space="preserve">Постановка машины на учет в ГИБДД. Электронная госуслуга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Если вы купили машину, мотоцикл или </w:t>
      </w:r>
      <w:r w:rsidDel="00000000" w:rsidR="00000000" w:rsidRPr="00000000">
        <w:rPr>
          <w:rtl w:val="0"/>
        </w:rPr>
        <w:t xml:space="preserve">другое транспортное средство</w:t>
      </w:r>
      <w:r w:rsidDel="00000000" w:rsidR="00000000" w:rsidRPr="00000000">
        <w:rPr>
          <w:rtl w:val="0"/>
        </w:rPr>
        <w:t xml:space="preserve">, его нужно поставить на учет в отделении ГИБДД и получить свидетельство о госрегистрации. Электронная госуслуга поможет легко подать документы на регистрацию.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Как поставить машину на учет: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Заполняете электронное заявление на портале госуслуг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Оплачиваете госпошлину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Приносите оригиналы документов в отделение ГИБДД без очереди</w:t>
      </w:r>
    </w:p>
    <w:p w:rsidR="00000000" w:rsidDel="00000000" w:rsidP="00000000" w:rsidRDefault="00000000" w:rsidRPr="00000000">
      <w:pPr>
        <w:numPr>
          <w:ilvl w:val="0"/>
          <w:numId w:val="3"/>
        </w:numPr>
        <w:ind w:left="720" w:hanging="360"/>
        <w:contextualSpacing w:val="1"/>
        <w:rPr/>
      </w:pPr>
      <w:r w:rsidDel="00000000" w:rsidR="00000000" w:rsidRPr="00000000">
        <w:rPr>
          <w:rtl w:val="0"/>
        </w:rPr>
        <w:t xml:space="preserve">Вас приглашают в ГИБДД к определенному времени, чтобы забрать готовые документы. Если время неудобное, его можно изменить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Вам потребуется ПТС, акт осмотра транспортного средства, полис ОСАГО и документы, которые подтверждают ваше право на машину — например, договор купли-продажи.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Услуга доступна пользователям портала, которые подтвердили личность в центре регистрации, по почте или с помощью электронной подписи. 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  <w:t xml:space="preserve">[Получить на госуслугах...]</w:t>
      </w:r>
    </w:p>
    <w:p w:rsidR="00000000" w:rsidDel="00000000" w:rsidP="00000000" w:rsidRDefault="00000000" w:rsidRPr="00000000">
      <w:pPr>
        <w:contextualSpacing w:val="0"/>
      </w:pPr>
      <w:r w:rsidDel="00000000" w:rsidR="00000000" w:rsidRPr="00000000">
        <w:rPr>
          <w:rtl w:val="0"/>
        </w:rPr>
      </w:r>
    </w:p>
    <w:sectPr>
      <w:pgSz w:h="16838" w:w="11906"/>
      <w:pgMar w:bottom="1440.0000000000002" w:top="1440.0000000000002" w:left="1440.0000000000002" w:right="1440.000000000000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abstractNum w:abstractNumId="1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>
  <w:docDefaults>
    <w:rPrDefault>
      <w:rPr>
        <w:rFonts w:ascii="Arial" w:cs="Arial" w:eastAsia="Arial" w:hAnsi="Arial"/>
        <w:b w:val="0"/>
        <w:i w:val="0"/>
        <w:smallCaps w:val="0"/>
        <w:strike w:val="0"/>
        <w:color w:val="000000"/>
        <w:sz w:val="20"/>
        <w:szCs w:val="20"/>
        <w:u w:val="none"/>
        <w:vertAlign w:val="baseline"/>
      </w:rPr>
    </w:rPrDefault>
    <w:pPrDefault>
      <w:pPr>
        <w:keepNext w:val="0"/>
        <w:keepLines w:val="0"/>
        <w:widowControl w:val="0"/>
        <w:spacing w:after="200" w:before="0" w:line="276" w:lineRule="auto"/>
        <w:ind w:left="0" w:right="0" w:firstLine="0"/>
        <w:contextualSpacing w:val="1"/>
        <w:jc w:val="left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120" w:before="480" w:lineRule="auto"/>
      <w:contextualSpacing w:val="1"/>
    </w:pPr>
    <w:rPr>
      <w:b w:val="1"/>
      <w:sz w:val="36"/>
      <w:szCs w:val="36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  <w:contextualSpacing w:val="1"/>
    </w:pPr>
    <w:rPr>
      <w:b w:val="1"/>
      <w:sz w:val="28"/>
      <w:szCs w:val="28"/>
    </w:rPr>
  </w:style>
  <w:style w:type="paragraph" w:styleId="Heading3">
    <w:name w:val="heading 3"/>
    <w:basedOn w:val="Normal"/>
    <w:next w:val="Normal"/>
    <w:pPr>
      <w:spacing w:after="0" w:before="280" w:lineRule="auto"/>
    </w:pPr>
    <w:rPr>
      <w:b w:val="1"/>
      <w:sz w:val="24"/>
      <w:szCs w:val="24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40" w:before="240" w:lineRule="auto"/>
      <w:contextualSpacing w:val="1"/>
    </w:pPr>
    <w:rPr>
      <w:i w:val="1"/>
      <w:color w:val="666666"/>
      <w:sz w:val="22"/>
      <w:szCs w:val="22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40" w:before="220" w:lineRule="auto"/>
      <w:contextualSpacing w:val="1"/>
    </w:pPr>
    <w:rPr>
      <w:b w:val="1"/>
      <w:color w:val="666666"/>
      <w:sz w:val="20"/>
      <w:szCs w:val="20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  <w:contextualSpacing w:val="1"/>
    </w:pPr>
    <w:rPr>
      <w:i w:val="1"/>
      <w:color w:val="666666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  <w:contextualSpacing w:val="1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  <w:contextualSpacing w:val="1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  <w:style w:type="table" w:styleId="Table2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numbering" Target="numbering.xml"/><Relationship Id="rId4" Type="http://schemas.openxmlformats.org/officeDocument/2006/relationships/styles" Target="styles.xml"/><Relationship Id="rId5" Type="http://schemas.openxmlformats.org/officeDocument/2006/relationships/hyperlink" Target="https://beta.gosuslugi.ru/10042/1" TargetMode="External"/><Relationship Id="rId6" Type="http://schemas.openxmlformats.org/officeDocument/2006/relationships/hyperlink" Target="https://beta.gosuslugi.ru/10042/1" TargetMode="External"/><Relationship Id="rId7" Type="http://schemas.openxmlformats.org/officeDocument/2006/relationships/hyperlink" Target="https://beta.gosuslugi.ru/10052" TargetMode="External"/></Relationships>
</file>