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wx78dh6bykuy" w:id="0"/>
      <w:bookmarkEnd w:id="0"/>
      <w:r w:rsidDel="00000000" w:rsidR="00000000" w:rsidRPr="00000000">
        <w:rPr>
          <w:rtl w:val="0"/>
        </w:rPr>
        <w:t xml:space="preserve">Руководство по коммуникации через колл-центры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6j8g2ehz1ifv" w:id="1"/>
      <w:bookmarkEnd w:id="1"/>
      <w:r w:rsidDel="00000000" w:rsidR="00000000" w:rsidRPr="00000000">
        <w:rPr>
          <w:rtl w:val="0"/>
        </w:rPr>
        <w:t xml:space="preserve">Базовые нормы вежливости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Любой разговор всегда начинается со «Здравствуйте» и представления сотрудника. При представлении достаточно назвать только место работы: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Здравствуйте! Звоню вам из службы поддержки портала госуслуг.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Здравствуйте! Это служба поддержки портала госуслуг.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Здравствуйте! Я представляю службу поддержки портала госуслуг.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Разговор всегда заканчивается благодарностью за то, что произошло (поделились инфрмацией, совершили время, уделили время) и пожеланием всего доброго: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Спасибо вам за информацию! Всего доброго!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Спасибо за уделенное время! Всего доброго!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Извините за беспокойство. Всего вам доброго!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 возможности, в приветствие и завершение разговора следует добавить имя человека, с которым шло общение. Если это невозможно, то не добавлять.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Любое действие со стороны пользователя нужно просить с помощью слова «Пожалуйста».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Пожалуйста, подождите.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Пожалуйста, напишите об этом…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Пожалуйста, приготовьтесь назвать…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После того, как попросили что-то сделать, обязательно поблагодарите: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Спасибо, что подождали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— Спасибо за информацию!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6vawr65g4jm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g2uuxne2mu7d" w:id="3"/>
      <w:bookmarkEnd w:id="3"/>
      <w:r w:rsidDel="00000000" w:rsidR="00000000" w:rsidRPr="00000000">
        <w:rPr>
          <w:rtl w:val="0"/>
        </w:rPr>
        <w:t xml:space="preserve">Стилистические нормы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Сотрудник колл-центра говорит на простом русском языке, не использует канцеляризмы, журналистские и рекламные штампы:</w:t>
      </w:r>
    </w:p>
    <w:tbl>
      <w:tblPr>
        <w:tblStyle w:val="Table1"/>
        <w:bidi w:val="0"/>
        <w:tblW w:w="8565.0" w:type="dxa"/>
        <w:jc w:val="left"/>
        <w:tblInd w:w="435.0" w:type="dxa"/>
        <w:tblLayout w:type="fixed"/>
        <w:tblLook w:val="0600"/>
      </w:tblPr>
      <w:tblGrid>
        <w:gridCol w:w="4245"/>
        <w:gridCol w:w="4320"/>
        <w:tblGridChange w:id="0">
          <w:tblGrid>
            <w:gridCol w:w="4245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Мы принимаем меры по улучшению...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Мы улучшаем...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Благодарим вас за то, что вы принимаете активное участие...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Спасибо, что участвуете...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Подтвердить факт регистрации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Подтвердить регистрацию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Надлежащим образом уведомить ведомство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Сообщить в ведомство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 порядке установления личности</w:t>
              <w:br w:type="textWrapping"/>
              <w:t xml:space="preserve">В целях установления личности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Чтобы убедиться, что это вы запросили...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Планируется проведение работ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Мы будем ремонтировать...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Во избежание утери пароля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Чтобы не потерять пароль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 целях повышения качества обслуживания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Чтобы помочь вам лучше разобраться в госуслугах...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Просим вас своевременно оплачивать...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Пожалуйста, оплачивайте хотя бы за две недели...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Согласно статье...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 закону...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Убедительная просьба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Пожалуйста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Проверить компьютер на наличие интернет-соединения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Проверьте, работает ли у вас интернет. Для этого...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 случае невозможности...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Если не можете...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Избегайте страдательного залога (действия осуществлены, работы произведены); слабых глаголов (являться, находиться, существовать):</w:t>
      </w:r>
    </w:p>
    <w:tbl>
      <w:tblPr>
        <w:tblStyle w:val="Table2"/>
        <w:bidi w:val="0"/>
        <w:tblW w:w="8565.0" w:type="dxa"/>
        <w:jc w:val="left"/>
        <w:tblInd w:w="435.0" w:type="dxa"/>
        <w:tblLayout w:type="fixed"/>
        <w:tblLook w:val="0600"/>
      </w:tblPr>
      <w:tblGrid>
        <w:gridCol w:w="4245"/>
        <w:gridCol w:w="4320"/>
        <w:tblGridChange w:id="0">
          <w:tblGrid>
            <w:gridCol w:w="4245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На портале существует три типа учетных записей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У нас три типа учетных записей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Ваша учетная запись активирована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Я активировал вашу учетную запись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Убедитесь, что данные указаны верно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Пожалуйста, проверьте данные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Характерная особенность канцелярского стиля — он звучит официально. Сотрудники колл-центра и редакторы скриптов должны субъективно оценивать текст на официальность и переводить общение из официального регистра в дружелюбно-нейтральный.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nza2uqh32d0o" w:id="4"/>
      <w:bookmarkEnd w:id="4"/>
      <w:r w:rsidDel="00000000" w:rsidR="00000000" w:rsidRPr="00000000">
        <w:rPr>
          <w:rtl w:val="0"/>
        </w:rPr>
        <w:t xml:space="preserve">Акцент на пользе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Любое смысловое сообщение, предложение, просьба или анонс должны опираться в первую очередь на пользу для читателя, а не на свойстве продукта как такового. Если в продукте появилась возможность «А», которая дает пользователю удобство «Б», то сначала скажите об удобстве «Б», потом о свойстве «А».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Следствия: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Нельзя говорить только о новых свойствах продукта, не называя преимуществ.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Нельзя говорить только о преимуществах продукта, не называя свойств.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565.0" w:type="dxa"/>
        <w:jc w:val="left"/>
        <w:tblInd w:w="435.0" w:type="dxa"/>
        <w:tblLayout w:type="fixed"/>
        <w:tblLook w:val="0600"/>
      </w:tblPr>
      <w:tblGrid>
        <w:gridCol w:w="4245"/>
        <w:gridCol w:w="4320"/>
        <w:tblGridChange w:id="0">
          <w:tblGrid>
            <w:gridCol w:w="4245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Теперь на портале госуслуг можно...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Теперь вы можете… потому что на портале госуслуг появилась...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Теперь на портале госуслуг работает проверка налоговой задолженности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Теперь вы можете проверить, не должны ли вы государству. И если вдруг появится долг — вы сразу об этом узнаете. На портале госуслуг появилась возможность проверить налоговую задолженность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Сейчас ваша учетная запись не подтверждена.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Сейчас ваша учетная запись не подтверждена, поэтому у вас нет доступа к некоторым госуслугам.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Сейчас у вас нет доступа к некоторым госуслугам, потому что ваша учетная запись еще не подтверждена.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Последовательность пользы и свойства продукта можно варьировать, чтобы речь была естественной и живой. Нельзя конструировать неестественные фразы в ущерб дружелюбному тону.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b4ea6tz10tm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41h367sbdtnp" w:id="6"/>
      <w:bookmarkEnd w:id="6"/>
      <w:r w:rsidDel="00000000" w:rsidR="00000000" w:rsidRPr="00000000">
        <w:rPr>
          <w:rtl w:val="0"/>
        </w:rPr>
        <w:t xml:space="preserve">Наименование портала и службы поддержки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устном (и любом другом общении) портал всегда называется «порталом госуслуг», других вариантов названия нет. Правильное название колл-центра — служба поддержки. </w:t>
      </w:r>
    </w:p>
    <w:tbl>
      <w:tblPr>
        <w:tblStyle w:val="Table4"/>
        <w:bidi w:val="0"/>
        <w:tblW w:w="8565.0" w:type="dxa"/>
        <w:jc w:val="left"/>
        <w:tblInd w:w="435.0" w:type="dxa"/>
        <w:tblLayout w:type="fixed"/>
        <w:tblLook w:val="0600"/>
      </w:tblPr>
      <w:tblGrid>
        <w:gridCol w:w="4245"/>
        <w:gridCol w:w="4320"/>
        <w:tblGridChange w:id="0">
          <w:tblGrid>
            <w:gridCol w:w="4245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Единый портал государственных 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Портал госуслуг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Единый портал федеральных государственных 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Единый портал госуслуг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Единый государственный портал федеральных госуслуг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Служба технической поддержки федерального портала государственных 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Служба поддержки портала госуслуг</w:t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i4a7dwytgl4s" w:id="7"/>
      <w:bookmarkEnd w:id="7"/>
      <w:r w:rsidDel="00000000" w:rsidR="00000000" w:rsidRPr="00000000">
        <w:rPr>
          <w:rtl w:val="0"/>
        </w:rPr>
        <w:t xml:space="preserve">Наименования других сущностей на портале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Суббренды, технические сущности, сервисы и системы называются простым языком, согласно требованиям к названию суббрендов госуслуг:</w:t>
      </w:r>
    </w:p>
    <w:tbl>
      <w:tblPr>
        <w:tblStyle w:val="Table5"/>
        <w:bidi w:val="0"/>
        <w:tblW w:w="8565.0" w:type="dxa"/>
        <w:jc w:val="left"/>
        <w:tblInd w:w="435.0" w:type="dxa"/>
        <w:tblLayout w:type="fixed"/>
        <w:tblLook w:val="0600"/>
      </w:tblPr>
      <w:tblGrid>
        <w:gridCol w:w="3075"/>
        <w:gridCol w:w="5490"/>
        <w:tblGridChange w:id="0">
          <w:tblGrid>
            <w:gridCol w:w="3075"/>
            <w:gridCol w:w="5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ЕЛК, ЛК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Личный кабинет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Зарегистрироваться в ЕСИА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Зарегистрироваться на госуслугах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Ищите через Госбар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Введите в поиске на портале госуслуг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ЦПП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Служба поддержки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ФРГУ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Реестр госуслуг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Инфомат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МКГУ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Мониторинг госуслуг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ИПШ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Платежная система госуслуг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ГИС ГМП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База платежей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ГЭПС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Электронная госпочта, госпочта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ФГИС ДО, ДО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Система досудебного обжалования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ГУЦ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Удостоверяющий центр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Новые системы, подсистемы и суббренды называются с учетом простоты и пользы, а не формального соответствия технической инфраструктуре портала.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