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2" w:rsidRDefault="000C53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332" w:rsidRDefault="000C5332">
      <w:pPr>
        <w:pStyle w:val="ConsPlusNormal"/>
        <w:jc w:val="both"/>
        <w:outlineLvl w:val="0"/>
      </w:pPr>
    </w:p>
    <w:p w:rsidR="000C5332" w:rsidRDefault="000C53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5332" w:rsidRDefault="000C5332">
      <w:pPr>
        <w:pStyle w:val="ConsPlusTitle"/>
        <w:jc w:val="center"/>
      </w:pPr>
    </w:p>
    <w:p w:rsidR="000C5332" w:rsidRDefault="000C5332">
      <w:pPr>
        <w:pStyle w:val="ConsPlusTitle"/>
        <w:jc w:val="center"/>
      </w:pPr>
      <w:r>
        <w:t>ПОСТАНОВЛЕНИЕ</w:t>
      </w:r>
    </w:p>
    <w:p w:rsidR="000C5332" w:rsidRDefault="000C5332">
      <w:pPr>
        <w:pStyle w:val="ConsPlusTitle"/>
        <w:jc w:val="center"/>
      </w:pPr>
      <w:r>
        <w:t>от 28 декабря 2020 г. N 2314</w:t>
      </w:r>
    </w:p>
    <w:p w:rsidR="000C5332" w:rsidRDefault="000C5332">
      <w:pPr>
        <w:pStyle w:val="ConsPlusTitle"/>
        <w:jc w:val="center"/>
      </w:pPr>
    </w:p>
    <w:p w:rsidR="000C5332" w:rsidRDefault="000C5332">
      <w:pPr>
        <w:pStyle w:val="ConsPlusTitle"/>
        <w:jc w:val="center"/>
      </w:pPr>
      <w:r>
        <w:t>ОБ УТВЕРЖДЕНИИ ПРАВИЛ</w:t>
      </w:r>
    </w:p>
    <w:p w:rsidR="000C5332" w:rsidRDefault="000C5332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0C5332" w:rsidRDefault="000C5332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0C5332" w:rsidRDefault="000C5332">
      <w:pPr>
        <w:pStyle w:val="ConsPlusTitle"/>
        <w:jc w:val="center"/>
      </w:pPr>
      <w:r>
        <w:t>СБОР, НАКОПЛЕНИЕ, ИСПОЛЬЗОВАНИЕ, ОБЕЗВРЕЖИВАНИЕ,</w:t>
      </w:r>
    </w:p>
    <w:p w:rsidR="000C5332" w:rsidRDefault="000C5332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0C5332" w:rsidRDefault="000C5332">
      <w:pPr>
        <w:pStyle w:val="ConsPlusTitle"/>
        <w:jc w:val="center"/>
      </w:pPr>
      <w:r>
        <w:t>ПОВЛЕЧЬ ПРИЧИНЕНИЕ ВРЕДА ЖИЗНИ, ЗДОРОВЬЮ ГРАЖДАН,</w:t>
      </w:r>
    </w:p>
    <w:p w:rsidR="000C5332" w:rsidRDefault="000C5332">
      <w:pPr>
        <w:pStyle w:val="ConsPlusTitle"/>
        <w:jc w:val="center"/>
      </w:pPr>
      <w:r>
        <w:t>ВРЕДА ЖИВОТНЫМ, РАСТЕНИЯМ И ОКРУЖАЮЩЕЙ СРЕДЕ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10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right"/>
      </w:pPr>
      <w:r>
        <w:t>Председатель Правительства</w:t>
      </w:r>
    </w:p>
    <w:p w:rsidR="000C5332" w:rsidRDefault="000C5332">
      <w:pPr>
        <w:pStyle w:val="ConsPlusNormal"/>
        <w:jc w:val="right"/>
      </w:pPr>
      <w:r>
        <w:t>Российской Федерации</w:t>
      </w:r>
    </w:p>
    <w:p w:rsidR="000C5332" w:rsidRDefault="000C5332">
      <w:pPr>
        <w:pStyle w:val="ConsPlusNormal"/>
        <w:jc w:val="right"/>
      </w:pPr>
      <w:r>
        <w:t>М.МИШУСТИН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right"/>
        <w:outlineLvl w:val="0"/>
      </w:pPr>
      <w:r>
        <w:t>Утверждены</w:t>
      </w:r>
    </w:p>
    <w:p w:rsidR="000C5332" w:rsidRDefault="000C5332">
      <w:pPr>
        <w:pStyle w:val="ConsPlusNormal"/>
        <w:jc w:val="right"/>
      </w:pPr>
      <w:r>
        <w:t>постановлением Правительства</w:t>
      </w:r>
    </w:p>
    <w:p w:rsidR="000C5332" w:rsidRDefault="000C5332">
      <w:pPr>
        <w:pStyle w:val="ConsPlusNormal"/>
        <w:jc w:val="right"/>
      </w:pPr>
      <w:r>
        <w:t>Российской Федерации</w:t>
      </w:r>
    </w:p>
    <w:p w:rsidR="000C5332" w:rsidRDefault="000C5332">
      <w:pPr>
        <w:pStyle w:val="ConsPlusNormal"/>
        <w:jc w:val="right"/>
      </w:pPr>
      <w:r>
        <w:t>от 28 декабря 2020 г. N 2314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Title"/>
        <w:jc w:val="center"/>
      </w:pPr>
      <w:bookmarkStart w:id="0" w:name="P32"/>
      <w:bookmarkEnd w:id="0"/>
      <w:r>
        <w:t>ПРАВИЛА</w:t>
      </w:r>
    </w:p>
    <w:p w:rsidR="000C5332" w:rsidRDefault="000C5332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0C5332" w:rsidRDefault="000C5332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0C5332" w:rsidRDefault="000C5332">
      <w:pPr>
        <w:pStyle w:val="ConsPlusTitle"/>
        <w:jc w:val="center"/>
      </w:pPr>
      <w:r>
        <w:t>СБОР, НАКОПЛЕНИЕ, ИСПОЛЬЗОВАНИЕ, ОБЕЗВРЕЖИВАНИЕ,</w:t>
      </w:r>
    </w:p>
    <w:p w:rsidR="000C5332" w:rsidRDefault="000C5332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0C5332" w:rsidRDefault="000C5332">
      <w:pPr>
        <w:pStyle w:val="ConsPlusTitle"/>
        <w:jc w:val="center"/>
      </w:pPr>
      <w:r>
        <w:t>ПОВЛЕЧЬ ПРИЧИНЕНИЕ ВРЕДА ЖИЗНИ, ЗДОРОВЬЮ ГРАЖДАН,</w:t>
      </w:r>
    </w:p>
    <w:p w:rsidR="000C5332" w:rsidRDefault="000C5332">
      <w:pPr>
        <w:pStyle w:val="ConsPlusTitle"/>
        <w:jc w:val="center"/>
      </w:pPr>
      <w:r>
        <w:t>ВРЕДА ЖИВОТНЫМ, РАСТЕНИЯМ И ОКРУЖАЮЩЕЙ СРЕДЕ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</w:t>
      </w:r>
      <w: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2. Для целей настоящих Правил применяются следующие понятия: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 xml:space="preserve">являющихся общим имуществом собственников многоквартирных домов,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>
        <w:t xml:space="preserve"> управлению, содержанию и ремонту общего имущества в многоквартирном </w:t>
      </w:r>
      <w:r>
        <w:lastRenderedPageBreak/>
        <w:t>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8" w:history="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 </w:t>
      </w:r>
      <w:proofErr w:type="gramStart"/>
      <w: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0C5332" w:rsidRDefault="000C5332">
      <w:pPr>
        <w:pStyle w:val="ConsPlusNormal"/>
        <w:spacing w:before="220"/>
        <w:ind w:firstLine="540"/>
        <w:jc w:val="both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0C5332" w:rsidRDefault="000C533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</w:t>
      </w:r>
      <w:r>
        <w:lastRenderedPageBreak/>
        <w:t xml:space="preserve">хранении отходов в порядке, установленном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"Об отходах производства и потребления".</w:t>
      </w:r>
      <w:proofErr w:type="gramEnd"/>
    </w:p>
    <w:p w:rsidR="000C5332" w:rsidRDefault="000C5332">
      <w:pPr>
        <w:pStyle w:val="ConsPlusNormal"/>
        <w:spacing w:before="220"/>
        <w:ind w:firstLine="540"/>
        <w:jc w:val="both"/>
      </w:pPr>
      <w:r>
        <w:t>14. Захоронение отработанных ртутьсодержащих ламп запрещено.</w:t>
      </w: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jc w:val="both"/>
      </w:pPr>
    </w:p>
    <w:p w:rsidR="000C5332" w:rsidRDefault="000C5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0C5332">
      <w:bookmarkStart w:id="1" w:name="_GoBack"/>
      <w:bookmarkEnd w:id="1"/>
    </w:p>
    <w:sectPr w:rsidR="007E0E17" w:rsidSect="008D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2"/>
    <w:rsid w:val="000C5332"/>
    <w:rsid w:val="00525830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EDD614EB56A6F9165A339ECCA809AF8A1FFFFDC29FE5AEC206309AC6A0F46E588E1D8C2A8583C90ACE3499B71B40ABD152B74T2w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EDD614EB56A6F9165A339ECCA809AF8A0F9FDDA23FE5AEC206309AC6A0F46E588E1DEC7A30C69D7F2BA18DD3AB908A1092B743C3175E0TAw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EDD614EB56A6F9165A339ECCA809AF8A6FFFCDF2FFE5AEC206309AC6A0F46E588E1DEC7A30D6DD0F2BA18DD3AB908A1092B743C3175E0TAw6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EDD614EB56A6F9165A339ECCA809AF8A1FFFFDC29FE5AEC206309AC6A0F46E588E1DEC7A30D69D1F2BA18DD3AB908A1092B743C3175E0TA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2021-02-02T05:48:00Z</dcterms:created>
  <dcterms:modified xsi:type="dcterms:W3CDTF">2021-02-02T05:48:00Z</dcterms:modified>
</cp:coreProperties>
</file>