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0614" w14:textId="792CF28D" w:rsidR="0024525F" w:rsidRPr="004C4873" w:rsidRDefault="0024525F" w:rsidP="003245E7">
      <w:pPr>
        <w:spacing w:after="0"/>
        <w:jc w:val="center"/>
        <w:rPr>
          <w:rFonts w:ascii="Times New Roman" w:hAnsi="Times New Roman"/>
          <w:b/>
          <w:sz w:val="28"/>
          <w:szCs w:val="28"/>
        </w:rPr>
      </w:pPr>
      <w:r w:rsidRPr="004C4873">
        <w:rPr>
          <w:rFonts w:ascii="Times New Roman" w:hAnsi="Times New Roman"/>
          <w:b/>
          <w:sz w:val="28"/>
          <w:szCs w:val="28"/>
        </w:rPr>
        <w:t>Пояснительная записка</w:t>
      </w:r>
      <w:r w:rsidRPr="004C4873">
        <w:rPr>
          <w:rFonts w:ascii="Times New Roman" w:hAnsi="Times New Roman"/>
          <w:b/>
          <w:sz w:val="28"/>
          <w:szCs w:val="28"/>
        </w:rPr>
        <w:br/>
        <w:t>к прогнозу социально–экономического развития городского округ Тольятти</w:t>
      </w:r>
      <w:r w:rsidR="004C4873">
        <w:rPr>
          <w:rFonts w:ascii="Times New Roman" w:hAnsi="Times New Roman"/>
          <w:b/>
          <w:sz w:val="28"/>
          <w:szCs w:val="28"/>
        </w:rPr>
        <w:t xml:space="preserve"> </w:t>
      </w:r>
      <w:r w:rsidRPr="004C4873">
        <w:rPr>
          <w:rFonts w:ascii="Times New Roman" w:hAnsi="Times New Roman"/>
          <w:b/>
          <w:sz w:val="28"/>
          <w:szCs w:val="28"/>
        </w:rPr>
        <w:t>на 20</w:t>
      </w:r>
      <w:r w:rsidR="004434AA" w:rsidRPr="004C4873">
        <w:rPr>
          <w:rFonts w:ascii="Times New Roman" w:hAnsi="Times New Roman"/>
          <w:b/>
          <w:sz w:val="28"/>
          <w:szCs w:val="28"/>
        </w:rPr>
        <w:t>2</w:t>
      </w:r>
      <w:r w:rsidR="008B0A37" w:rsidRPr="004C4873">
        <w:rPr>
          <w:rFonts w:ascii="Times New Roman" w:hAnsi="Times New Roman"/>
          <w:b/>
          <w:sz w:val="28"/>
          <w:szCs w:val="28"/>
        </w:rPr>
        <w:t>2</w:t>
      </w:r>
      <w:r w:rsidRPr="004C4873">
        <w:rPr>
          <w:rFonts w:ascii="Times New Roman" w:hAnsi="Times New Roman"/>
          <w:b/>
          <w:sz w:val="28"/>
          <w:szCs w:val="28"/>
        </w:rPr>
        <w:t xml:space="preserve"> год и плановый период 20</w:t>
      </w:r>
      <w:r w:rsidR="009F367D" w:rsidRPr="004C4873">
        <w:rPr>
          <w:rFonts w:ascii="Times New Roman" w:hAnsi="Times New Roman"/>
          <w:b/>
          <w:sz w:val="28"/>
          <w:szCs w:val="28"/>
        </w:rPr>
        <w:t>2</w:t>
      </w:r>
      <w:r w:rsidR="008B0A37" w:rsidRPr="004C4873">
        <w:rPr>
          <w:rFonts w:ascii="Times New Roman" w:hAnsi="Times New Roman"/>
          <w:b/>
          <w:sz w:val="28"/>
          <w:szCs w:val="28"/>
        </w:rPr>
        <w:t>3</w:t>
      </w:r>
      <w:r w:rsidR="009F367D" w:rsidRPr="004C4873">
        <w:rPr>
          <w:rFonts w:ascii="Times New Roman" w:hAnsi="Times New Roman"/>
          <w:b/>
          <w:sz w:val="28"/>
          <w:szCs w:val="28"/>
        </w:rPr>
        <w:t xml:space="preserve"> и</w:t>
      </w:r>
      <w:r w:rsidRPr="004C4873">
        <w:rPr>
          <w:rFonts w:ascii="Times New Roman" w:hAnsi="Times New Roman"/>
          <w:b/>
          <w:sz w:val="28"/>
          <w:szCs w:val="28"/>
        </w:rPr>
        <w:t xml:space="preserve"> 20</w:t>
      </w:r>
      <w:r w:rsidR="00E22255" w:rsidRPr="004C4873">
        <w:rPr>
          <w:rFonts w:ascii="Times New Roman" w:hAnsi="Times New Roman"/>
          <w:b/>
          <w:sz w:val="28"/>
          <w:szCs w:val="28"/>
        </w:rPr>
        <w:t>2</w:t>
      </w:r>
      <w:r w:rsidR="008B0A37" w:rsidRPr="004C4873">
        <w:rPr>
          <w:rFonts w:ascii="Times New Roman" w:hAnsi="Times New Roman"/>
          <w:b/>
          <w:sz w:val="28"/>
          <w:szCs w:val="28"/>
        </w:rPr>
        <w:t>4</w:t>
      </w:r>
      <w:r w:rsidR="00E22255" w:rsidRPr="004C4873">
        <w:rPr>
          <w:rFonts w:ascii="Times New Roman" w:hAnsi="Times New Roman"/>
          <w:b/>
          <w:sz w:val="28"/>
          <w:szCs w:val="28"/>
        </w:rPr>
        <w:t xml:space="preserve"> </w:t>
      </w:r>
      <w:r w:rsidRPr="004C4873">
        <w:rPr>
          <w:rFonts w:ascii="Times New Roman" w:hAnsi="Times New Roman"/>
          <w:b/>
          <w:sz w:val="28"/>
          <w:szCs w:val="28"/>
        </w:rPr>
        <w:t>годов</w:t>
      </w:r>
    </w:p>
    <w:p w14:paraId="2604E10B" w14:textId="77777777" w:rsidR="0024525F" w:rsidRPr="004C4873" w:rsidRDefault="0024525F" w:rsidP="004272BD">
      <w:pPr>
        <w:spacing w:after="0"/>
        <w:ind w:firstLine="709"/>
        <w:jc w:val="both"/>
        <w:rPr>
          <w:rFonts w:ascii="Times New Roman" w:hAnsi="Times New Roman"/>
          <w:sz w:val="28"/>
          <w:szCs w:val="28"/>
        </w:rPr>
      </w:pPr>
    </w:p>
    <w:p w14:paraId="243A2A2E" w14:textId="175D3FDA" w:rsidR="00C317CD" w:rsidRPr="004C4873" w:rsidRDefault="005A052E" w:rsidP="00A56CAF">
      <w:pPr>
        <w:spacing w:after="0"/>
        <w:ind w:firstLine="709"/>
        <w:jc w:val="both"/>
        <w:rPr>
          <w:rFonts w:ascii="Times New Roman" w:hAnsi="Times New Roman"/>
          <w:sz w:val="28"/>
          <w:szCs w:val="28"/>
        </w:rPr>
      </w:pPr>
      <w:r w:rsidRPr="004C4873">
        <w:rPr>
          <w:rFonts w:ascii="Times New Roman" w:hAnsi="Times New Roman"/>
          <w:sz w:val="28"/>
          <w:szCs w:val="28"/>
        </w:rPr>
        <w:t>Прогноз социально-экономического развития городского округа Тольятти на 20</w:t>
      </w:r>
      <w:r w:rsidR="004434AA" w:rsidRPr="004C4873">
        <w:rPr>
          <w:rFonts w:ascii="Times New Roman" w:hAnsi="Times New Roman"/>
          <w:sz w:val="28"/>
          <w:szCs w:val="28"/>
        </w:rPr>
        <w:t>2</w:t>
      </w:r>
      <w:r w:rsidR="004C4873" w:rsidRPr="004C4873">
        <w:rPr>
          <w:rFonts w:ascii="Times New Roman" w:hAnsi="Times New Roman"/>
          <w:sz w:val="28"/>
          <w:szCs w:val="28"/>
        </w:rPr>
        <w:t>2</w:t>
      </w:r>
      <w:r w:rsidRPr="004C4873">
        <w:rPr>
          <w:rFonts w:ascii="Times New Roman" w:hAnsi="Times New Roman"/>
          <w:sz w:val="28"/>
          <w:szCs w:val="28"/>
        </w:rPr>
        <w:t xml:space="preserve"> год и плановый период 20</w:t>
      </w:r>
      <w:r w:rsidR="004434AA" w:rsidRPr="004C4873">
        <w:rPr>
          <w:rFonts w:ascii="Times New Roman" w:hAnsi="Times New Roman"/>
          <w:sz w:val="28"/>
          <w:szCs w:val="28"/>
        </w:rPr>
        <w:t>2</w:t>
      </w:r>
      <w:r w:rsidR="004C4873" w:rsidRPr="004C4873">
        <w:rPr>
          <w:rFonts w:ascii="Times New Roman" w:hAnsi="Times New Roman"/>
          <w:sz w:val="28"/>
          <w:szCs w:val="28"/>
        </w:rPr>
        <w:t>3</w:t>
      </w:r>
      <w:r w:rsidR="009F367D" w:rsidRPr="004C4873">
        <w:rPr>
          <w:rFonts w:ascii="Times New Roman" w:hAnsi="Times New Roman"/>
          <w:sz w:val="28"/>
          <w:szCs w:val="28"/>
        </w:rPr>
        <w:t xml:space="preserve"> и </w:t>
      </w:r>
      <w:r w:rsidRPr="004C4873">
        <w:rPr>
          <w:rFonts w:ascii="Times New Roman" w:hAnsi="Times New Roman"/>
          <w:sz w:val="28"/>
          <w:szCs w:val="28"/>
        </w:rPr>
        <w:t>202</w:t>
      </w:r>
      <w:r w:rsidR="004C4873" w:rsidRPr="004C4873">
        <w:rPr>
          <w:rFonts w:ascii="Times New Roman" w:hAnsi="Times New Roman"/>
          <w:sz w:val="28"/>
          <w:szCs w:val="28"/>
        </w:rPr>
        <w:t>4</w:t>
      </w:r>
      <w:r w:rsidRPr="004C4873">
        <w:rPr>
          <w:rFonts w:ascii="Times New Roman" w:hAnsi="Times New Roman"/>
          <w:sz w:val="28"/>
          <w:szCs w:val="28"/>
        </w:rPr>
        <w:t xml:space="preserve"> годов (далее - </w:t>
      </w:r>
      <w:r w:rsidR="00F17610" w:rsidRPr="004C4873">
        <w:rPr>
          <w:rFonts w:ascii="Times New Roman" w:hAnsi="Times New Roman"/>
          <w:sz w:val="28"/>
          <w:szCs w:val="28"/>
        </w:rPr>
        <w:t>п</w:t>
      </w:r>
      <w:r w:rsidRPr="004C4873">
        <w:rPr>
          <w:rFonts w:ascii="Times New Roman" w:hAnsi="Times New Roman"/>
          <w:sz w:val="28"/>
          <w:szCs w:val="28"/>
        </w:rPr>
        <w:t xml:space="preserve">рогноз) </w:t>
      </w:r>
      <w:r w:rsidR="00E11BE7" w:rsidRPr="004C4873">
        <w:rPr>
          <w:rFonts w:ascii="Times New Roman" w:hAnsi="Times New Roman"/>
          <w:sz w:val="28"/>
          <w:szCs w:val="28"/>
        </w:rPr>
        <w:t>разработан на основе</w:t>
      </w:r>
      <w:r w:rsidRPr="004C4873">
        <w:rPr>
          <w:rFonts w:ascii="Times New Roman" w:hAnsi="Times New Roman"/>
          <w:sz w:val="28"/>
          <w:szCs w:val="28"/>
        </w:rPr>
        <w:t xml:space="preserve"> </w:t>
      </w:r>
      <w:r w:rsidR="0085402B" w:rsidRPr="004C4873">
        <w:rPr>
          <w:rFonts w:ascii="Times New Roman" w:hAnsi="Times New Roman"/>
          <w:sz w:val="28"/>
          <w:szCs w:val="28"/>
        </w:rPr>
        <w:t>С</w:t>
      </w:r>
      <w:r w:rsidRPr="004C4873">
        <w:rPr>
          <w:rFonts w:ascii="Times New Roman" w:hAnsi="Times New Roman"/>
          <w:sz w:val="28"/>
          <w:szCs w:val="28"/>
        </w:rPr>
        <w:t xml:space="preserve">ценарных условий </w:t>
      </w:r>
      <w:r w:rsidR="00DC5297" w:rsidRPr="004C4873">
        <w:rPr>
          <w:rFonts w:ascii="Times New Roman" w:hAnsi="Times New Roman"/>
          <w:sz w:val="28"/>
          <w:szCs w:val="28"/>
        </w:rPr>
        <w:t>социально-экономического развития</w:t>
      </w:r>
      <w:r w:rsidRPr="004C4873">
        <w:rPr>
          <w:rFonts w:ascii="Times New Roman" w:hAnsi="Times New Roman"/>
          <w:sz w:val="28"/>
          <w:szCs w:val="28"/>
        </w:rPr>
        <w:t xml:space="preserve"> Самарской области</w:t>
      </w:r>
      <w:r w:rsidR="00DC5297" w:rsidRPr="004C4873">
        <w:rPr>
          <w:rFonts w:ascii="Times New Roman" w:hAnsi="Times New Roman"/>
          <w:sz w:val="28"/>
          <w:szCs w:val="28"/>
        </w:rPr>
        <w:t xml:space="preserve"> на 20</w:t>
      </w:r>
      <w:r w:rsidR="00EB2EFA" w:rsidRPr="004C4873">
        <w:rPr>
          <w:rFonts w:ascii="Times New Roman" w:hAnsi="Times New Roman"/>
          <w:sz w:val="28"/>
          <w:szCs w:val="28"/>
        </w:rPr>
        <w:t>2</w:t>
      </w:r>
      <w:r w:rsidR="004C4873">
        <w:rPr>
          <w:rFonts w:ascii="Times New Roman" w:hAnsi="Times New Roman"/>
          <w:sz w:val="28"/>
          <w:szCs w:val="28"/>
        </w:rPr>
        <w:t>2</w:t>
      </w:r>
      <w:r w:rsidR="00DC5297" w:rsidRPr="004C4873">
        <w:rPr>
          <w:rFonts w:ascii="Times New Roman" w:hAnsi="Times New Roman"/>
          <w:sz w:val="28"/>
          <w:szCs w:val="28"/>
        </w:rPr>
        <w:t xml:space="preserve"> год и плановый период 20</w:t>
      </w:r>
      <w:r w:rsidR="00221389" w:rsidRPr="004C4873">
        <w:rPr>
          <w:rFonts w:ascii="Times New Roman" w:hAnsi="Times New Roman"/>
          <w:sz w:val="28"/>
          <w:szCs w:val="28"/>
        </w:rPr>
        <w:t>2</w:t>
      </w:r>
      <w:r w:rsidR="004C4873">
        <w:rPr>
          <w:rFonts w:ascii="Times New Roman" w:hAnsi="Times New Roman"/>
          <w:sz w:val="28"/>
          <w:szCs w:val="28"/>
        </w:rPr>
        <w:t>3</w:t>
      </w:r>
      <w:r w:rsidR="00DC5297" w:rsidRPr="004C4873">
        <w:rPr>
          <w:rFonts w:ascii="Times New Roman" w:hAnsi="Times New Roman"/>
          <w:sz w:val="28"/>
          <w:szCs w:val="28"/>
        </w:rPr>
        <w:t xml:space="preserve"> и 202</w:t>
      </w:r>
      <w:r w:rsidR="004C4873">
        <w:rPr>
          <w:rFonts w:ascii="Times New Roman" w:hAnsi="Times New Roman"/>
          <w:sz w:val="28"/>
          <w:szCs w:val="28"/>
        </w:rPr>
        <w:t>4</w:t>
      </w:r>
      <w:r w:rsidR="00DC5297" w:rsidRPr="004C4873">
        <w:rPr>
          <w:rFonts w:ascii="Times New Roman" w:hAnsi="Times New Roman"/>
          <w:sz w:val="28"/>
          <w:szCs w:val="28"/>
        </w:rPr>
        <w:t xml:space="preserve"> годов</w:t>
      </w:r>
      <w:r w:rsidR="0085402B" w:rsidRPr="004C4873">
        <w:rPr>
          <w:rFonts w:ascii="Times New Roman" w:hAnsi="Times New Roman"/>
          <w:sz w:val="28"/>
          <w:szCs w:val="28"/>
        </w:rPr>
        <w:t>,</w:t>
      </w:r>
      <w:r w:rsidR="00C317CD" w:rsidRPr="004C4873">
        <w:rPr>
          <w:rFonts w:ascii="Times New Roman" w:hAnsi="Times New Roman"/>
          <w:sz w:val="28"/>
          <w:szCs w:val="28"/>
        </w:rPr>
        <w:t xml:space="preserve"> </w:t>
      </w:r>
      <w:r w:rsidR="004A3EE1" w:rsidRPr="004C4873">
        <w:rPr>
          <w:rFonts w:ascii="Times New Roman" w:hAnsi="Times New Roman"/>
          <w:sz w:val="28"/>
          <w:szCs w:val="28"/>
        </w:rPr>
        <w:t>разработанных</w:t>
      </w:r>
      <w:r w:rsidR="00E62254" w:rsidRPr="004C4873">
        <w:rPr>
          <w:rFonts w:ascii="Times New Roman" w:hAnsi="Times New Roman"/>
          <w:sz w:val="28"/>
          <w:szCs w:val="28"/>
        </w:rPr>
        <w:t xml:space="preserve"> </w:t>
      </w:r>
      <w:r w:rsidR="000011B3">
        <w:rPr>
          <w:rFonts w:ascii="Times New Roman" w:hAnsi="Times New Roman"/>
          <w:sz w:val="28"/>
          <w:szCs w:val="28"/>
        </w:rPr>
        <w:t>м</w:t>
      </w:r>
      <w:r w:rsidR="00E62254" w:rsidRPr="004C4873">
        <w:rPr>
          <w:rFonts w:ascii="Times New Roman" w:hAnsi="Times New Roman"/>
          <w:sz w:val="28"/>
          <w:szCs w:val="28"/>
        </w:rPr>
        <w:t>инистерством экономического развития и инвестиций Самарской области</w:t>
      </w:r>
      <w:r w:rsidR="0053652E" w:rsidRPr="004C4873">
        <w:rPr>
          <w:rFonts w:ascii="Times New Roman" w:hAnsi="Times New Roman"/>
          <w:sz w:val="28"/>
          <w:szCs w:val="28"/>
        </w:rPr>
        <w:t xml:space="preserve"> (далее – Сценарные условия Самарской области)</w:t>
      </w:r>
      <w:r w:rsidR="00E62254" w:rsidRPr="004C4873">
        <w:rPr>
          <w:rFonts w:ascii="Times New Roman" w:hAnsi="Times New Roman"/>
          <w:sz w:val="28"/>
          <w:szCs w:val="28"/>
        </w:rPr>
        <w:t xml:space="preserve">, </w:t>
      </w:r>
      <w:r w:rsidR="00CC4504" w:rsidRPr="004C4873">
        <w:rPr>
          <w:rFonts w:ascii="Times New Roman" w:hAnsi="Times New Roman"/>
          <w:sz w:val="28"/>
          <w:szCs w:val="28"/>
        </w:rPr>
        <w:t xml:space="preserve">а также </w:t>
      </w:r>
      <w:r w:rsidR="00C317CD" w:rsidRPr="004C4873">
        <w:rPr>
          <w:rFonts w:ascii="Times New Roman" w:hAnsi="Times New Roman"/>
          <w:sz w:val="28"/>
          <w:szCs w:val="28"/>
        </w:rPr>
        <w:t xml:space="preserve">с учетом Предварительных итогов социально – экономического развития городского округа Тольятти за </w:t>
      </w:r>
      <w:r w:rsidR="000011B3">
        <w:rPr>
          <w:rFonts w:ascii="Times New Roman" w:hAnsi="Times New Roman"/>
          <w:sz w:val="28"/>
          <w:szCs w:val="28"/>
          <w:lang w:val="en-US"/>
        </w:rPr>
        <w:t>I</w:t>
      </w:r>
      <w:r w:rsidR="00C317CD" w:rsidRPr="004C4873">
        <w:rPr>
          <w:rFonts w:ascii="Times New Roman" w:hAnsi="Times New Roman"/>
          <w:sz w:val="28"/>
          <w:szCs w:val="28"/>
        </w:rPr>
        <w:t xml:space="preserve"> полугодие 20</w:t>
      </w:r>
      <w:r w:rsidR="00221389" w:rsidRPr="004C4873">
        <w:rPr>
          <w:rFonts w:ascii="Times New Roman" w:hAnsi="Times New Roman"/>
          <w:sz w:val="28"/>
          <w:szCs w:val="28"/>
        </w:rPr>
        <w:t>2</w:t>
      </w:r>
      <w:r w:rsidR="004C4873">
        <w:rPr>
          <w:rFonts w:ascii="Times New Roman" w:hAnsi="Times New Roman"/>
          <w:sz w:val="28"/>
          <w:szCs w:val="28"/>
        </w:rPr>
        <w:t>1</w:t>
      </w:r>
      <w:r w:rsidR="00C317CD" w:rsidRPr="004C4873">
        <w:rPr>
          <w:rFonts w:ascii="Times New Roman" w:hAnsi="Times New Roman"/>
          <w:sz w:val="28"/>
          <w:szCs w:val="28"/>
        </w:rPr>
        <w:t xml:space="preserve"> года и ожидаемых итогов социально – экономического развития городского округа Тольятти за 20</w:t>
      </w:r>
      <w:r w:rsidR="00221389" w:rsidRPr="004C4873">
        <w:rPr>
          <w:rFonts w:ascii="Times New Roman" w:hAnsi="Times New Roman"/>
          <w:sz w:val="28"/>
          <w:szCs w:val="28"/>
        </w:rPr>
        <w:t>2</w:t>
      </w:r>
      <w:r w:rsidR="004C4873">
        <w:rPr>
          <w:rFonts w:ascii="Times New Roman" w:hAnsi="Times New Roman"/>
          <w:sz w:val="28"/>
          <w:szCs w:val="28"/>
        </w:rPr>
        <w:t>1</w:t>
      </w:r>
      <w:r w:rsidR="00C317CD" w:rsidRPr="004C4873">
        <w:rPr>
          <w:rFonts w:ascii="Times New Roman" w:hAnsi="Times New Roman"/>
          <w:sz w:val="28"/>
          <w:szCs w:val="28"/>
        </w:rPr>
        <w:t xml:space="preserve"> год.</w:t>
      </w:r>
    </w:p>
    <w:p w14:paraId="6670EF9D" w14:textId="45689347" w:rsidR="00221389" w:rsidRPr="004C4873" w:rsidRDefault="00221389" w:rsidP="00A56CAF">
      <w:pPr>
        <w:spacing w:after="0"/>
        <w:ind w:firstLine="709"/>
        <w:jc w:val="both"/>
        <w:rPr>
          <w:rFonts w:ascii="Times New Roman" w:hAnsi="Times New Roman"/>
          <w:sz w:val="28"/>
          <w:szCs w:val="28"/>
        </w:rPr>
      </w:pPr>
      <w:r w:rsidRPr="004C4873">
        <w:rPr>
          <w:rFonts w:ascii="Times New Roman" w:hAnsi="Times New Roman"/>
          <w:sz w:val="28"/>
          <w:szCs w:val="28"/>
        </w:rPr>
        <w:t xml:space="preserve">Прогноз разработан исходя из стратегических задач, сформулированных в Указе Президента Российской Федерации от </w:t>
      </w:r>
      <w:r w:rsidR="00CC4504" w:rsidRPr="004C4873">
        <w:rPr>
          <w:rFonts w:ascii="Times New Roman" w:hAnsi="Times New Roman"/>
          <w:sz w:val="28"/>
          <w:szCs w:val="28"/>
        </w:rPr>
        <w:t>07.05.2018 № 204</w:t>
      </w:r>
      <w:r w:rsidRPr="004C4873">
        <w:rPr>
          <w:rFonts w:ascii="Times New Roman" w:hAnsi="Times New Roman"/>
          <w:sz w:val="28"/>
          <w:szCs w:val="28"/>
        </w:rPr>
        <w:t xml:space="preserve">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w:t>
      </w:r>
      <w:r w:rsidR="004C4873" w:rsidRPr="004C4873">
        <w:rPr>
          <w:rFonts w:ascii="Times New Roman" w:hAnsi="Times New Roman"/>
          <w:bCs/>
          <w:spacing w:val="2"/>
          <w:sz w:val="28"/>
          <w:szCs w:val="28"/>
        </w:rPr>
        <w:t>от 21 апреля 2021 года и Послании Губернатора Самарской области от 18 мая 2021 года</w:t>
      </w:r>
      <w:r w:rsidRPr="004C4873">
        <w:rPr>
          <w:rFonts w:ascii="Times New Roman" w:hAnsi="Times New Roman"/>
          <w:sz w:val="28"/>
          <w:szCs w:val="28"/>
        </w:rPr>
        <w:t>, документов стратегического планирования, утвержденных на федеральном, региональном и местном уровне.</w:t>
      </w:r>
    </w:p>
    <w:p w14:paraId="15A55020" w14:textId="77777777" w:rsidR="00221389" w:rsidRPr="004C4873" w:rsidRDefault="00221389" w:rsidP="00A56CAF">
      <w:pPr>
        <w:spacing w:after="0"/>
        <w:ind w:firstLine="709"/>
        <w:jc w:val="both"/>
        <w:rPr>
          <w:rFonts w:ascii="Times New Roman" w:hAnsi="Times New Roman"/>
          <w:sz w:val="28"/>
          <w:szCs w:val="28"/>
        </w:rPr>
      </w:pPr>
      <w:r w:rsidRPr="004C4873">
        <w:rPr>
          <w:rFonts w:ascii="Times New Roman" w:hAnsi="Times New Roman"/>
          <w:sz w:val="28"/>
          <w:szCs w:val="28"/>
        </w:rPr>
        <w:t xml:space="preserve">Основные параметры прогноза </w:t>
      </w:r>
      <w:r w:rsidR="00A8793C" w:rsidRPr="004C4873">
        <w:rPr>
          <w:rFonts w:ascii="Times New Roman" w:hAnsi="Times New Roman"/>
          <w:sz w:val="28"/>
          <w:szCs w:val="28"/>
        </w:rPr>
        <w:t xml:space="preserve">городского округа Тольятти </w:t>
      </w:r>
      <w:r w:rsidRPr="004C4873">
        <w:rPr>
          <w:rFonts w:ascii="Times New Roman" w:hAnsi="Times New Roman"/>
          <w:sz w:val="28"/>
          <w:szCs w:val="28"/>
        </w:rPr>
        <w:t xml:space="preserve">согласно Сценарным </w:t>
      </w:r>
      <w:r w:rsidR="00A8793C" w:rsidRPr="004C4873">
        <w:rPr>
          <w:rFonts w:ascii="Times New Roman" w:hAnsi="Times New Roman"/>
          <w:sz w:val="28"/>
          <w:szCs w:val="28"/>
        </w:rPr>
        <w:t>ус</w:t>
      </w:r>
      <w:r w:rsidRPr="004C4873">
        <w:rPr>
          <w:rFonts w:ascii="Times New Roman" w:hAnsi="Times New Roman"/>
          <w:sz w:val="28"/>
          <w:szCs w:val="28"/>
        </w:rPr>
        <w:t>ловиям Самарской области разработаны в двух вариантах – консервативном и базовом.</w:t>
      </w:r>
    </w:p>
    <w:p w14:paraId="33BF8FB3" w14:textId="6F673C0D" w:rsidR="004C4873" w:rsidRPr="004C4873" w:rsidRDefault="004C4873" w:rsidP="00A56CAF">
      <w:pPr>
        <w:tabs>
          <w:tab w:val="left" w:pos="8208"/>
        </w:tabs>
        <w:spacing w:after="0"/>
        <w:ind w:firstLine="709"/>
        <w:jc w:val="both"/>
        <w:rPr>
          <w:rFonts w:ascii="Times New Roman" w:hAnsi="Times New Roman"/>
          <w:bCs/>
          <w:sz w:val="28"/>
          <w:szCs w:val="28"/>
        </w:rPr>
      </w:pPr>
      <w:r w:rsidRPr="004C4873">
        <w:rPr>
          <w:rFonts w:ascii="Times New Roman" w:hAnsi="Times New Roman"/>
          <w:bCs/>
          <w:sz w:val="28"/>
          <w:szCs w:val="28"/>
        </w:rPr>
        <w:t xml:space="preserve">Оба варианта исходят из того, что социально-экономического развитие в среднесрочной перспективе будет определяться не только экономическими, но и эпидемиологическими факторами. Эпидемиологическая обстановка, связанная с распространением коронавирусной инфекции, остается ключевым источником риска для параметров прогноза. </w:t>
      </w:r>
    </w:p>
    <w:p w14:paraId="56F88C4F" w14:textId="77777777" w:rsidR="004C4873" w:rsidRPr="004C4873" w:rsidRDefault="004C4873" w:rsidP="00A56CAF">
      <w:pPr>
        <w:spacing w:after="0"/>
        <w:ind w:firstLine="709"/>
        <w:jc w:val="both"/>
        <w:rPr>
          <w:rFonts w:ascii="Times New Roman" w:hAnsi="Times New Roman"/>
          <w:sz w:val="28"/>
          <w:szCs w:val="28"/>
        </w:rPr>
      </w:pPr>
      <w:r w:rsidRPr="004C4873">
        <w:rPr>
          <w:rFonts w:ascii="Times New Roman" w:hAnsi="Times New Roman"/>
          <w:sz w:val="28"/>
          <w:szCs w:val="28"/>
        </w:rPr>
        <w:t>Отличия по вариантам объясняются:</w:t>
      </w:r>
    </w:p>
    <w:p w14:paraId="182B9B14" w14:textId="06C255D0" w:rsidR="004C4873" w:rsidRPr="004C4873" w:rsidRDefault="004C4873" w:rsidP="00A56CAF">
      <w:pPr>
        <w:spacing w:after="0"/>
        <w:ind w:firstLine="709"/>
        <w:jc w:val="both"/>
        <w:rPr>
          <w:rFonts w:ascii="Times New Roman" w:hAnsi="Times New Roman"/>
          <w:sz w:val="28"/>
          <w:szCs w:val="28"/>
        </w:rPr>
      </w:pPr>
      <w:r w:rsidRPr="004C4873">
        <w:rPr>
          <w:rFonts w:ascii="Times New Roman" w:hAnsi="Times New Roman"/>
          <w:sz w:val="28"/>
          <w:szCs w:val="28"/>
        </w:rPr>
        <w:t xml:space="preserve">- различной скоростью восстановления отраслей </w:t>
      </w:r>
      <w:r>
        <w:rPr>
          <w:rFonts w:ascii="Times New Roman" w:hAnsi="Times New Roman"/>
          <w:sz w:val="28"/>
          <w:szCs w:val="28"/>
        </w:rPr>
        <w:t>городского округа Тольятти</w:t>
      </w:r>
      <w:r w:rsidRPr="004C4873">
        <w:rPr>
          <w:rFonts w:ascii="Times New Roman" w:hAnsi="Times New Roman"/>
          <w:sz w:val="28"/>
          <w:szCs w:val="28"/>
        </w:rPr>
        <w:t xml:space="preserve"> от последствий пандемии</w:t>
      </w:r>
      <w:r w:rsidRPr="004C4873">
        <w:rPr>
          <w:rFonts w:ascii="Times New Roman" w:hAnsi="Times New Roman"/>
          <w:bCs/>
          <w:spacing w:val="-4"/>
          <w:sz w:val="28"/>
          <w:szCs w:val="28"/>
        </w:rPr>
        <w:t>;</w:t>
      </w:r>
      <w:r w:rsidRPr="004C4873">
        <w:rPr>
          <w:rFonts w:ascii="Times New Roman" w:hAnsi="Times New Roman"/>
          <w:sz w:val="28"/>
          <w:szCs w:val="28"/>
        </w:rPr>
        <w:t xml:space="preserve"> </w:t>
      </w:r>
    </w:p>
    <w:p w14:paraId="5BE902B7" w14:textId="16161333" w:rsidR="004C4873" w:rsidRPr="004C4873" w:rsidRDefault="004C4873" w:rsidP="00A56CAF">
      <w:pPr>
        <w:spacing w:after="0"/>
        <w:ind w:firstLine="709"/>
        <w:jc w:val="both"/>
        <w:rPr>
          <w:rFonts w:ascii="Times New Roman" w:hAnsi="Times New Roman"/>
          <w:sz w:val="28"/>
          <w:szCs w:val="28"/>
        </w:rPr>
      </w:pPr>
      <w:r w:rsidRPr="004C4873">
        <w:rPr>
          <w:rFonts w:ascii="Times New Roman" w:hAnsi="Times New Roman"/>
          <w:bCs/>
          <w:sz w:val="28"/>
          <w:szCs w:val="28"/>
        </w:rPr>
        <w:t>-</w:t>
      </w:r>
      <w:r w:rsidR="000011B3">
        <w:rPr>
          <w:rFonts w:ascii="Times New Roman" w:hAnsi="Times New Roman"/>
          <w:bCs/>
          <w:sz w:val="28"/>
          <w:szCs w:val="28"/>
          <w:lang w:val="en-US"/>
        </w:rPr>
        <w:t> </w:t>
      </w:r>
      <w:r w:rsidRPr="004C4873">
        <w:rPr>
          <w:rFonts w:ascii="Times New Roman" w:hAnsi="Times New Roman"/>
          <w:bCs/>
          <w:sz w:val="28"/>
          <w:szCs w:val="28"/>
        </w:rPr>
        <w:t xml:space="preserve">масштабностью и эффективностью предпринимаемых мер </w:t>
      </w:r>
      <w:r w:rsidRPr="004C4873">
        <w:rPr>
          <w:rFonts w:ascii="Times New Roman" w:hAnsi="Times New Roman"/>
          <w:sz w:val="28"/>
          <w:szCs w:val="28"/>
        </w:rPr>
        <w:t xml:space="preserve">государственной политики, направленной на сбережение населения, повышение уровня и качества его жизни, обеспечение устойчивого развития экономики. </w:t>
      </w:r>
      <w:r w:rsidRPr="004C4873">
        <w:rPr>
          <w:rFonts w:ascii="Times New Roman" w:hAnsi="Times New Roman"/>
          <w:bCs/>
          <w:sz w:val="28"/>
          <w:szCs w:val="28"/>
        </w:rPr>
        <w:t>Базовый вариант предполагает выполнение в полном объеме мероприятий, обеспечивающих реализацию национальных целей</w:t>
      </w:r>
      <w:r w:rsidRPr="004C4873">
        <w:rPr>
          <w:rFonts w:ascii="Times New Roman" w:hAnsi="Times New Roman"/>
          <w:sz w:val="28"/>
          <w:szCs w:val="28"/>
        </w:rPr>
        <w:t xml:space="preserve"> и задач. </w:t>
      </w:r>
      <w:r w:rsidRPr="004C4873">
        <w:rPr>
          <w:rFonts w:ascii="Times New Roman" w:hAnsi="Times New Roman"/>
          <w:sz w:val="28"/>
          <w:szCs w:val="28"/>
        </w:rPr>
        <w:lastRenderedPageBreak/>
        <w:t>Консервативный вариант предполагает наличие внешних и внутренних рисков достижения целевых показателей.</w:t>
      </w:r>
      <w:r w:rsidRPr="004C4873">
        <w:rPr>
          <w:rFonts w:ascii="Times New Roman" w:hAnsi="Times New Roman"/>
          <w:bCs/>
          <w:sz w:val="28"/>
          <w:szCs w:val="28"/>
        </w:rPr>
        <w:t xml:space="preserve"> </w:t>
      </w:r>
    </w:p>
    <w:p w14:paraId="2ED2D84A" w14:textId="7CB6B756" w:rsidR="004C4873" w:rsidRPr="004C4873" w:rsidRDefault="004C4873" w:rsidP="00A56CAF">
      <w:pPr>
        <w:tabs>
          <w:tab w:val="left" w:pos="8208"/>
        </w:tabs>
        <w:spacing w:after="0"/>
        <w:ind w:firstLine="709"/>
        <w:jc w:val="both"/>
        <w:rPr>
          <w:rFonts w:ascii="Times New Roman" w:hAnsi="Times New Roman"/>
          <w:sz w:val="28"/>
          <w:szCs w:val="28"/>
        </w:rPr>
      </w:pPr>
      <w:r w:rsidRPr="004C4873">
        <w:rPr>
          <w:rFonts w:ascii="Times New Roman" w:hAnsi="Times New Roman"/>
          <w:sz w:val="28"/>
          <w:szCs w:val="28"/>
        </w:rPr>
        <w:t xml:space="preserve">В среднесрочной перспективе социально-экономическое </w:t>
      </w:r>
      <w:proofErr w:type="gramStart"/>
      <w:r w:rsidRPr="004C4873">
        <w:rPr>
          <w:rFonts w:ascii="Times New Roman" w:hAnsi="Times New Roman"/>
          <w:sz w:val="28"/>
          <w:szCs w:val="28"/>
        </w:rPr>
        <w:t>развитие  будет</w:t>
      </w:r>
      <w:proofErr w:type="gramEnd"/>
      <w:r w:rsidRPr="004C4873">
        <w:rPr>
          <w:rFonts w:ascii="Times New Roman" w:hAnsi="Times New Roman"/>
          <w:sz w:val="28"/>
          <w:szCs w:val="28"/>
        </w:rPr>
        <w:t xml:space="preserve"> определяться следующими внутренними факторами: демографическими процессами, состоянием рынка труда, уровнем благосостояния населения, эффективностью поддержки реального сектора экономики, развитием предпринимательства, реализацией инвестиционных проектов, развитием производственной и транспортной инфраструктуры, эффективностью государственных </w:t>
      </w:r>
      <w:r w:rsidR="00751B58">
        <w:rPr>
          <w:rFonts w:ascii="Times New Roman" w:hAnsi="Times New Roman"/>
          <w:sz w:val="28"/>
          <w:szCs w:val="28"/>
        </w:rPr>
        <w:t xml:space="preserve">и муниципальных </w:t>
      </w:r>
      <w:r w:rsidRPr="004C4873">
        <w:rPr>
          <w:rFonts w:ascii="Times New Roman" w:hAnsi="Times New Roman"/>
          <w:sz w:val="28"/>
          <w:szCs w:val="28"/>
        </w:rPr>
        <w:t xml:space="preserve">расходов и другими факторами. </w:t>
      </w:r>
    </w:p>
    <w:p w14:paraId="1D5B2B9E" w14:textId="1C642925" w:rsidR="00751B58" w:rsidRPr="00751B58" w:rsidRDefault="00751B58" w:rsidP="00A56CAF">
      <w:pPr>
        <w:spacing w:after="0"/>
        <w:ind w:firstLine="709"/>
        <w:jc w:val="both"/>
        <w:rPr>
          <w:rFonts w:ascii="Times New Roman" w:hAnsi="Times New Roman"/>
          <w:sz w:val="28"/>
          <w:szCs w:val="28"/>
        </w:rPr>
      </w:pPr>
      <w:r w:rsidRPr="00751B58">
        <w:rPr>
          <w:rFonts w:ascii="Times New Roman" w:hAnsi="Times New Roman"/>
          <w:sz w:val="28"/>
          <w:szCs w:val="28"/>
        </w:rPr>
        <w:t xml:space="preserve">Базовый вариант предусматривает постепенное наращивание экономического потенциала </w:t>
      </w:r>
      <w:r>
        <w:rPr>
          <w:rFonts w:ascii="Times New Roman" w:hAnsi="Times New Roman"/>
          <w:sz w:val="28"/>
          <w:szCs w:val="28"/>
        </w:rPr>
        <w:t>городского округа Тольятти</w:t>
      </w:r>
      <w:r w:rsidRPr="00751B58">
        <w:rPr>
          <w:rFonts w:ascii="Times New Roman" w:hAnsi="Times New Roman"/>
          <w:sz w:val="28"/>
          <w:szCs w:val="28"/>
        </w:rPr>
        <w:t>. Значительное внимание будет уделяться развитию малого и среднего предпринимательства</w:t>
      </w:r>
      <w:r>
        <w:rPr>
          <w:rFonts w:ascii="Times New Roman" w:hAnsi="Times New Roman"/>
          <w:sz w:val="28"/>
          <w:szCs w:val="28"/>
        </w:rPr>
        <w:t xml:space="preserve"> и</w:t>
      </w:r>
      <w:r w:rsidRPr="00751B58">
        <w:rPr>
          <w:rFonts w:ascii="Times New Roman" w:hAnsi="Times New Roman"/>
          <w:sz w:val="28"/>
          <w:szCs w:val="28"/>
        </w:rPr>
        <w:t xml:space="preserve"> инвестиционной инфраструктур</w:t>
      </w:r>
      <w:r w:rsidR="00107CBF">
        <w:rPr>
          <w:rFonts w:ascii="Times New Roman" w:hAnsi="Times New Roman"/>
          <w:sz w:val="28"/>
          <w:szCs w:val="28"/>
        </w:rPr>
        <w:t>е</w:t>
      </w:r>
      <w:r w:rsidRPr="00751B58">
        <w:rPr>
          <w:rFonts w:ascii="Times New Roman" w:hAnsi="Times New Roman"/>
          <w:sz w:val="28"/>
          <w:szCs w:val="28"/>
        </w:rPr>
        <w:t>. Увеличению инвестиций в основной капитал будет способствовать реализация как уже начатых проектов, так и новых инвестиционных проектов. Также продолжится активная работа по привлечению федеральных ресурсов. Одновременно ожидается наращивание потребительского спроса со стороны домашних хозяйств, основанное на положительной динамике роста заработной платы и доходов населения, сохранении инфляции на достаточно низком уровне, реализации комплекса мер по улучшению демографической ситуации и повышению человеческого капитала.</w:t>
      </w:r>
    </w:p>
    <w:p w14:paraId="7A452FB5" w14:textId="63AC8D43" w:rsidR="00751B58" w:rsidRDefault="00751B58" w:rsidP="00A56CAF">
      <w:pPr>
        <w:tabs>
          <w:tab w:val="left" w:pos="8208"/>
        </w:tabs>
        <w:spacing w:after="0"/>
        <w:ind w:firstLine="709"/>
        <w:jc w:val="both"/>
        <w:rPr>
          <w:rFonts w:ascii="Times New Roman" w:hAnsi="Times New Roman"/>
          <w:color w:val="000000"/>
          <w:sz w:val="28"/>
          <w:szCs w:val="28"/>
        </w:rPr>
      </w:pPr>
      <w:r w:rsidRPr="00751B58">
        <w:rPr>
          <w:rFonts w:ascii="Times New Roman" w:hAnsi="Times New Roman"/>
          <w:spacing w:val="-2"/>
          <w:sz w:val="28"/>
          <w:szCs w:val="28"/>
        </w:rPr>
        <w:t>С учетом закладываемых экономических факторов и полномасштабной реализации мероприятий, направленных на достижение национальных целей и задач, в прогнозном периоде ожидается ускорение темпов экономического роста</w:t>
      </w:r>
      <w:r w:rsidR="00107CBF">
        <w:rPr>
          <w:rFonts w:ascii="Times New Roman" w:hAnsi="Times New Roman"/>
          <w:spacing w:val="-2"/>
          <w:sz w:val="28"/>
          <w:szCs w:val="28"/>
        </w:rPr>
        <w:t xml:space="preserve">. </w:t>
      </w:r>
      <w:r w:rsidRPr="00751B58">
        <w:rPr>
          <w:rFonts w:ascii="Times New Roman" w:hAnsi="Times New Roman"/>
          <w:color w:val="000000"/>
          <w:sz w:val="28"/>
          <w:szCs w:val="28"/>
        </w:rPr>
        <w:t xml:space="preserve">По консервативному варианту темпы роста экономической деятельности будут более умеренными, чем по базовому варианту. </w:t>
      </w:r>
    </w:p>
    <w:p w14:paraId="0881638F" w14:textId="40CB56D5" w:rsidR="00751B58" w:rsidRDefault="00751B58" w:rsidP="00A56CAF">
      <w:pPr>
        <w:tabs>
          <w:tab w:val="left" w:pos="8208"/>
        </w:tabs>
        <w:spacing w:after="0"/>
        <w:ind w:firstLine="709"/>
        <w:jc w:val="both"/>
        <w:rPr>
          <w:rFonts w:ascii="Times New Roman" w:hAnsi="Times New Roman"/>
          <w:spacing w:val="-2"/>
          <w:sz w:val="28"/>
          <w:szCs w:val="28"/>
        </w:rPr>
      </w:pPr>
      <w:r w:rsidRPr="00751B58">
        <w:rPr>
          <w:rFonts w:ascii="Times New Roman" w:hAnsi="Times New Roman"/>
          <w:spacing w:val="-2"/>
          <w:sz w:val="28"/>
          <w:szCs w:val="28"/>
        </w:rPr>
        <w:t>Основными ограничениями экономического роста в 2022 – 2024 годах могут стать карантинные ограничения (часть санитарно-эпидемиологических требований к условиям работы предприятий и организаций может носить долгосрочный характер), риски неустойчивого развития мировой экономики (ослабление курса национальной валюты, усугубление торговых противоречий между крупными странами), ухудшение условий кредитования, риски снижения конкурентоспособности продукции региональных товаропроизводителей, недостаточная инвестиционная активность, масштабы теневой экономики, инфраструктурные ограничения и др</w:t>
      </w:r>
      <w:r w:rsidR="00490198">
        <w:rPr>
          <w:rFonts w:ascii="Times New Roman" w:hAnsi="Times New Roman"/>
          <w:spacing w:val="-2"/>
          <w:sz w:val="28"/>
          <w:szCs w:val="28"/>
        </w:rPr>
        <w:t>угие</w:t>
      </w:r>
      <w:r w:rsidRPr="00751B58">
        <w:rPr>
          <w:rFonts w:ascii="Times New Roman" w:hAnsi="Times New Roman"/>
          <w:spacing w:val="-2"/>
          <w:sz w:val="28"/>
          <w:szCs w:val="28"/>
        </w:rPr>
        <w:t xml:space="preserve"> факторы. </w:t>
      </w:r>
    </w:p>
    <w:p w14:paraId="6FFE855C" w14:textId="4001FE15" w:rsidR="00E21D34" w:rsidRDefault="00E21D34" w:rsidP="00A56CAF">
      <w:pPr>
        <w:tabs>
          <w:tab w:val="left" w:pos="8208"/>
        </w:tabs>
        <w:spacing w:after="0"/>
        <w:ind w:firstLine="709"/>
        <w:jc w:val="both"/>
        <w:rPr>
          <w:rFonts w:ascii="Times New Roman" w:hAnsi="Times New Roman"/>
          <w:spacing w:val="-2"/>
          <w:sz w:val="28"/>
          <w:szCs w:val="28"/>
        </w:rPr>
      </w:pPr>
      <w:r>
        <w:rPr>
          <w:rFonts w:ascii="Times New Roman" w:hAnsi="Times New Roman"/>
          <w:spacing w:val="-2"/>
          <w:sz w:val="28"/>
          <w:szCs w:val="28"/>
        </w:rPr>
        <w:t xml:space="preserve">Большинство показателей прогноза скорректировано относительно прошлогодних параметров </w:t>
      </w:r>
      <w:r w:rsidR="00A457D4">
        <w:rPr>
          <w:rFonts w:ascii="Times New Roman" w:hAnsi="Times New Roman"/>
          <w:spacing w:val="-2"/>
          <w:sz w:val="28"/>
          <w:szCs w:val="28"/>
        </w:rPr>
        <w:t xml:space="preserve">прогноза в сторону увеличения </w:t>
      </w:r>
      <w:r w:rsidR="00A457D4" w:rsidRPr="00A457D4">
        <w:rPr>
          <w:rFonts w:ascii="Times New Roman" w:hAnsi="Times New Roman"/>
          <w:spacing w:val="-2"/>
          <w:sz w:val="28"/>
          <w:szCs w:val="28"/>
        </w:rPr>
        <w:t xml:space="preserve">с учетом </w:t>
      </w:r>
      <w:r w:rsidR="00A457D4" w:rsidRPr="00A457D4">
        <w:rPr>
          <w:rFonts w:ascii="Times New Roman" w:hAnsi="Times New Roman"/>
          <w:spacing w:val="-2"/>
          <w:sz w:val="28"/>
          <w:szCs w:val="28"/>
        </w:rPr>
        <w:lastRenderedPageBreak/>
        <w:t>фактических</w:t>
      </w:r>
      <w:r w:rsidRPr="00A457D4">
        <w:rPr>
          <w:rFonts w:ascii="Times New Roman" w:hAnsi="Times New Roman"/>
          <w:spacing w:val="-2"/>
          <w:sz w:val="28"/>
          <w:szCs w:val="28"/>
        </w:rPr>
        <w:t xml:space="preserve"> значений показателей, которые сложись по итогам 2020 года и </w:t>
      </w:r>
      <w:r w:rsidR="00A457D4">
        <w:rPr>
          <w:rFonts w:ascii="Times New Roman" w:hAnsi="Times New Roman"/>
          <w:spacing w:val="-2"/>
          <w:sz w:val="28"/>
          <w:szCs w:val="28"/>
          <w:lang w:val="en-US"/>
        </w:rPr>
        <w:t>I</w:t>
      </w:r>
      <w:r w:rsidR="00A457D4">
        <w:rPr>
          <w:rFonts w:ascii="Times New Roman" w:hAnsi="Times New Roman"/>
          <w:spacing w:val="-2"/>
          <w:sz w:val="28"/>
          <w:szCs w:val="28"/>
        </w:rPr>
        <w:t xml:space="preserve"> </w:t>
      </w:r>
      <w:r w:rsidRPr="00A457D4">
        <w:rPr>
          <w:rFonts w:ascii="Times New Roman" w:hAnsi="Times New Roman"/>
          <w:spacing w:val="-2"/>
          <w:sz w:val="28"/>
          <w:szCs w:val="28"/>
        </w:rPr>
        <w:t>полугодия 2021 года.</w:t>
      </w:r>
      <w:r>
        <w:rPr>
          <w:rFonts w:ascii="Times New Roman" w:hAnsi="Times New Roman"/>
          <w:spacing w:val="-2"/>
          <w:sz w:val="28"/>
          <w:szCs w:val="28"/>
        </w:rPr>
        <w:t xml:space="preserve"> </w:t>
      </w:r>
    </w:p>
    <w:p w14:paraId="124F0A08" w14:textId="35DB9AF5" w:rsidR="00E21D34" w:rsidRPr="00E21D34" w:rsidRDefault="00A457D4" w:rsidP="00E21D34">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pacing w:val="-2"/>
          <w:sz w:val="28"/>
          <w:szCs w:val="28"/>
        </w:rPr>
        <w:t>Так, б</w:t>
      </w:r>
      <w:r w:rsidR="00E21D34" w:rsidRPr="00E21D34">
        <w:rPr>
          <w:rFonts w:ascii="Times New Roman" w:hAnsi="Times New Roman"/>
          <w:spacing w:val="-2"/>
          <w:sz w:val="28"/>
          <w:szCs w:val="28"/>
        </w:rPr>
        <w:t xml:space="preserve">лагодаря реализации </w:t>
      </w:r>
      <w:r w:rsidR="00E21D34" w:rsidRPr="00E21D34">
        <w:rPr>
          <w:rFonts w:ascii="Times New Roman" w:hAnsi="Times New Roman"/>
          <w:sz w:val="28"/>
          <w:szCs w:val="28"/>
        </w:rPr>
        <w:t>принятых на всех уровнях власти мер поддержки экономики и граждан, удалось сдержать экономический спад и не допустить его распространения на все сферы жизнедеятельности</w:t>
      </w:r>
      <w:r w:rsidR="00E21D34" w:rsidRPr="00E21D34">
        <w:rPr>
          <w:rFonts w:ascii="Times New Roman" w:hAnsi="Times New Roman"/>
          <w:spacing w:val="-2"/>
          <w:sz w:val="28"/>
          <w:szCs w:val="28"/>
        </w:rPr>
        <w:t xml:space="preserve">. </w:t>
      </w:r>
      <w:r w:rsidR="00E21D34" w:rsidRPr="00E21D34">
        <w:rPr>
          <w:rFonts w:ascii="Times New Roman" w:hAnsi="Times New Roman"/>
          <w:sz w:val="28"/>
          <w:szCs w:val="28"/>
        </w:rPr>
        <w:t>В результате экономика городского округа Тольятти по итогам предыдущего 2020 года пострадала меньше, чем оценивалось в начале эпидемии.</w:t>
      </w:r>
    </w:p>
    <w:p w14:paraId="6F2A7648" w14:textId="32A6B71B" w:rsidR="00E21D34" w:rsidRPr="00E21D34" w:rsidRDefault="00E21D34" w:rsidP="00E21D34">
      <w:pPr>
        <w:tabs>
          <w:tab w:val="left" w:pos="8208"/>
        </w:tabs>
        <w:spacing w:after="0"/>
        <w:jc w:val="both"/>
        <w:rPr>
          <w:rFonts w:ascii="Times New Roman" w:hAnsi="Times New Roman"/>
          <w:spacing w:val="-2"/>
          <w:sz w:val="28"/>
          <w:szCs w:val="28"/>
        </w:rPr>
      </w:pPr>
    </w:p>
    <w:p w14:paraId="0FBD88D1" w14:textId="77777777" w:rsidR="00D23964" w:rsidRPr="00751B58" w:rsidRDefault="00D23964" w:rsidP="00A56CAF">
      <w:pPr>
        <w:pStyle w:val="1"/>
        <w:spacing w:before="0" w:after="240"/>
        <w:jc w:val="center"/>
        <w:rPr>
          <w:rFonts w:ascii="Times New Roman" w:hAnsi="Times New Roman" w:cs="Times New Roman"/>
          <w:b/>
          <w:color w:val="auto"/>
          <w:sz w:val="28"/>
          <w:szCs w:val="28"/>
        </w:rPr>
      </w:pPr>
      <w:r w:rsidRPr="00751B58">
        <w:rPr>
          <w:rFonts w:ascii="Times New Roman" w:hAnsi="Times New Roman" w:cs="Times New Roman"/>
          <w:b/>
          <w:color w:val="auto"/>
          <w:sz w:val="28"/>
          <w:szCs w:val="28"/>
        </w:rPr>
        <w:t>Показатели инфляции</w:t>
      </w:r>
      <w:bookmarkStart w:id="0" w:name="инфляция"/>
      <w:bookmarkEnd w:id="0"/>
    </w:p>
    <w:p w14:paraId="23924724" w14:textId="1778ED9D" w:rsidR="004863CB" w:rsidRPr="004863CB" w:rsidRDefault="004863CB" w:rsidP="00A56CAF">
      <w:pPr>
        <w:spacing w:after="0"/>
        <w:ind w:firstLine="709"/>
        <w:jc w:val="both"/>
        <w:rPr>
          <w:rFonts w:ascii="Times New Roman" w:hAnsi="Times New Roman"/>
          <w:sz w:val="28"/>
          <w:szCs w:val="28"/>
          <w:lang w:eastAsia="ar-SA"/>
        </w:rPr>
      </w:pPr>
      <w:r w:rsidRPr="004863CB">
        <w:rPr>
          <w:rFonts w:ascii="Times New Roman" w:hAnsi="Times New Roman"/>
          <w:sz w:val="28"/>
          <w:szCs w:val="28"/>
          <w:lang w:eastAsia="ar-SA"/>
        </w:rPr>
        <w:t xml:space="preserve">Прогнозная динамика уровня цен на потребительском рынке </w:t>
      </w:r>
      <w:r>
        <w:rPr>
          <w:rFonts w:ascii="Times New Roman" w:hAnsi="Times New Roman"/>
          <w:sz w:val="28"/>
          <w:szCs w:val="28"/>
          <w:lang w:eastAsia="ar-SA"/>
        </w:rPr>
        <w:t xml:space="preserve">городского округа </w:t>
      </w:r>
      <w:proofErr w:type="gramStart"/>
      <w:r>
        <w:rPr>
          <w:rFonts w:ascii="Times New Roman" w:hAnsi="Times New Roman"/>
          <w:sz w:val="28"/>
          <w:szCs w:val="28"/>
          <w:lang w:eastAsia="ar-SA"/>
        </w:rPr>
        <w:t>Тольятти  принимается</w:t>
      </w:r>
      <w:proofErr w:type="gramEnd"/>
      <w:r>
        <w:rPr>
          <w:rFonts w:ascii="Times New Roman" w:hAnsi="Times New Roman"/>
          <w:sz w:val="28"/>
          <w:szCs w:val="28"/>
          <w:lang w:eastAsia="ar-SA"/>
        </w:rPr>
        <w:t xml:space="preserve"> на уровне Самарской области в соответствии со </w:t>
      </w:r>
      <w:r w:rsidRPr="005D1AC3">
        <w:rPr>
          <w:rFonts w:ascii="Times New Roman" w:hAnsi="Times New Roman"/>
          <w:sz w:val="28"/>
          <w:szCs w:val="28"/>
          <w:lang w:eastAsia="ar-SA"/>
        </w:rPr>
        <w:t>Сценарными условиями Самарской области</w:t>
      </w:r>
      <w:r w:rsidRPr="004863CB">
        <w:rPr>
          <w:rFonts w:ascii="Times New Roman" w:hAnsi="Times New Roman"/>
          <w:sz w:val="28"/>
          <w:szCs w:val="28"/>
          <w:lang w:eastAsia="ar-SA"/>
        </w:rPr>
        <w:t>.</w:t>
      </w:r>
    </w:p>
    <w:p w14:paraId="27875DB6" w14:textId="3CD9D49D" w:rsidR="004863CB" w:rsidRPr="004863CB" w:rsidRDefault="004863CB" w:rsidP="00A56CAF">
      <w:pPr>
        <w:spacing w:after="0"/>
        <w:ind w:firstLine="709"/>
        <w:jc w:val="both"/>
        <w:rPr>
          <w:rFonts w:ascii="Times New Roman" w:hAnsi="Times New Roman"/>
          <w:sz w:val="28"/>
          <w:szCs w:val="28"/>
          <w:lang w:eastAsia="ar-SA"/>
        </w:rPr>
      </w:pPr>
      <w:r w:rsidRPr="004863CB">
        <w:rPr>
          <w:rFonts w:ascii="Times New Roman" w:hAnsi="Times New Roman"/>
          <w:sz w:val="28"/>
          <w:szCs w:val="28"/>
          <w:lang w:eastAsia="ar-SA"/>
        </w:rPr>
        <w:t>Приоритетной задачей региональной тарифной политики в 2022 – 2024 годах является сохранение условий для стабилизации цен на потребительском рынке и мониторинг за ценообразованием на социально значимые товары и услуги.</w:t>
      </w:r>
    </w:p>
    <w:p w14:paraId="490AD3C8" w14:textId="77777777" w:rsidR="004863CB" w:rsidRPr="004863CB" w:rsidRDefault="004863CB" w:rsidP="00A56CAF">
      <w:pPr>
        <w:autoSpaceDE w:val="0"/>
        <w:autoSpaceDN w:val="0"/>
        <w:adjustRightInd w:val="0"/>
        <w:spacing w:after="0"/>
        <w:ind w:firstLine="709"/>
        <w:jc w:val="both"/>
        <w:rPr>
          <w:rFonts w:ascii="Times New Roman" w:hAnsi="Times New Roman"/>
          <w:sz w:val="28"/>
          <w:szCs w:val="28"/>
          <w:lang w:eastAsia="ar-SA"/>
        </w:rPr>
      </w:pPr>
      <w:r w:rsidRPr="004863CB">
        <w:rPr>
          <w:rFonts w:ascii="Times New Roman" w:hAnsi="Times New Roman"/>
          <w:sz w:val="28"/>
          <w:szCs w:val="28"/>
          <w:lang w:eastAsia="ar-SA"/>
        </w:rPr>
        <w:t xml:space="preserve">С учетом принимаемых мер поддержки в 2022 году по базовому варианту развития инфляция может составить 104% к декабрю предыдущего года, по консервативному варианту – 103,7%. В 2023 – 2024 годах инфляция прогнозируется на уровне 104% (на конец года) по обоим вариантам развития. </w:t>
      </w:r>
    </w:p>
    <w:p w14:paraId="46593764" w14:textId="77777777" w:rsidR="005D1AC3" w:rsidRPr="005D1AC3" w:rsidRDefault="005D1AC3" w:rsidP="00A56CAF">
      <w:pPr>
        <w:spacing w:after="0"/>
        <w:ind w:firstLine="709"/>
        <w:jc w:val="both"/>
        <w:rPr>
          <w:rFonts w:ascii="Times New Roman" w:hAnsi="Times New Roman"/>
          <w:sz w:val="28"/>
          <w:szCs w:val="28"/>
          <w:lang w:eastAsia="ar-SA"/>
        </w:rPr>
      </w:pPr>
      <w:r w:rsidRPr="005D1AC3">
        <w:rPr>
          <w:rFonts w:ascii="Times New Roman" w:hAnsi="Times New Roman"/>
          <w:sz w:val="28"/>
          <w:szCs w:val="28"/>
          <w:lang w:eastAsia="ar-SA"/>
        </w:rPr>
        <w:t>В соответствии со Сценарными условиями Самарской области индексация регулируемых тарифов сетевых организаций для всех категорий потребителей, исключая население, с 1 июля 2022 года составит 3,0%, с 1 июля 2023 года – 3,0%, с 1 июля 2024 года – 3,0%. Дополнительный рост на регулируемые тарифы сетевых организаций может оказать инвестиционная составляющая.</w:t>
      </w:r>
    </w:p>
    <w:p w14:paraId="67AEC3C1" w14:textId="77777777" w:rsidR="005D1AC3" w:rsidRPr="005D1AC3" w:rsidRDefault="005D1AC3" w:rsidP="00A56CAF">
      <w:pPr>
        <w:spacing w:after="0"/>
        <w:ind w:firstLine="709"/>
        <w:jc w:val="both"/>
        <w:rPr>
          <w:rFonts w:ascii="Times New Roman" w:hAnsi="Times New Roman"/>
          <w:sz w:val="28"/>
          <w:szCs w:val="28"/>
          <w:lang w:eastAsia="ar-SA"/>
        </w:rPr>
      </w:pPr>
      <w:r w:rsidRPr="005D1AC3">
        <w:rPr>
          <w:rFonts w:ascii="Times New Roman" w:hAnsi="Times New Roman"/>
          <w:sz w:val="28"/>
          <w:szCs w:val="28"/>
          <w:lang w:eastAsia="ar-SA"/>
        </w:rPr>
        <w:t>Индексация тарифов на электрическую энергию для населения с 1 июля 2022 года составит 5,0%, с 1 июля 2023 года – 5,0%, с 1 июля 2024 года – 5,0%. Однако, учитывая методику расчета тарифов на электрическую энергию для населения, рост тарифов, дифференцированных по зонам суток, может превышать указанные значения.</w:t>
      </w:r>
    </w:p>
    <w:p w14:paraId="3698A771" w14:textId="7DF3395C" w:rsidR="005D1AC3" w:rsidRPr="005D1AC3" w:rsidRDefault="005D1AC3" w:rsidP="00A56CAF">
      <w:pPr>
        <w:spacing w:after="0"/>
        <w:ind w:firstLine="709"/>
        <w:jc w:val="both"/>
        <w:rPr>
          <w:rFonts w:ascii="Times New Roman" w:hAnsi="Times New Roman"/>
          <w:sz w:val="28"/>
          <w:szCs w:val="28"/>
          <w:lang w:eastAsia="ar-SA"/>
        </w:rPr>
      </w:pPr>
      <w:r w:rsidRPr="005D1AC3">
        <w:rPr>
          <w:rFonts w:ascii="Times New Roman" w:hAnsi="Times New Roman"/>
          <w:sz w:val="28"/>
          <w:szCs w:val="28"/>
          <w:lang w:eastAsia="ar-SA"/>
        </w:rPr>
        <w:t xml:space="preserve">Рост тарифов на тепловую энергию по регулируемым периодам составит с 1 июля 2022 года – 4,0%, с 1 июля 2023 года – 4,0%, с 1 июля 2024 года – 4,0%. Дополнительными факторами </w:t>
      </w:r>
      <w:r w:rsidR="00D435FD" w:rsidRPr="005D1AC3">
        <w:rPr>
          <w:rFonts w:ascii="Times New Roman" w:hAnsi="Times New Roman"/>
          <w:sz w:val="28"/>
          <w:szCs w:val="28"/>
          <w:lang w:eastAsia="ar-SA"/>
        </w:rPr>
        <w:t>сверх прогнозного</w:t>
      </w:r>
      <w:r w:rsidRPr="005D1AC3">
        <w:rPr>
          <w:rFonts w:ascii="Times New Roman" w:hAnsi="Times New Roman"/>
          <w:sz w:val="28"/>
          <w:szCs w:val="28"/>
          <w:lang w:eastAsia="ar-SA"/>
        </w:rPr>
        <w:t xml:space="preserve"> роста могут послужить переход к ценовым зонам теплоснабжения, необходимость реализации инвестиционных программ теплоснабжающих организаций.</w:t>
      </w:r>
    </w:p>
    <w:p w14:paraId="195C7C36" w14:textId="77777777" w:rsidR="005D1AC3" w:rsidRPr="005D1AC3" w:rsidRDefault="005D1AC3" w:rsidP="00A56CAF">
      <w:pPr>
        <w:spacing w:after="0"/>
        <w:ind w:firstLine="709"/>
        <w:jc w:val="both"/>
        <w:rPr>
          <w:rFonts w:ascii="Times New Roman" w:hAnsi="Times New Roman"/>
          <w:sz w:val="28"/>
          <w:szCs w:val="28"/>
          <w:lang w:eastAsia="ar-SA"/>
        </w:rPr>
      </w:pPr>
      <w:r w:rsidRPr="005D1AC3">
        <w:rPr>
          <w:rFonts w:ascii="Times New Roman" w:hAnsi="Times New Roman"/>
          <w:sz w:val="28"/>
          <w:szCs w:val="28"/>
          <w:lang w:eastAsia="ar-SA"/>
        </w:rPr>
        <w:lastRenderedPageBreak/>
        <w:t>Рост розничных цен на природный газ для населения составит с 1 июля 2022 года – 3,0%, с 1 июля 2023 года – 3,0%, с 1 июля 2024 года – 3,0%.</w:t>
      </w:r>
    </w:p>
    <w:p w14:paraId="0C15D526" w14:textId="1FB7B8EC" w:rsidR="005D1AC3" w:rsidRPr="005D1AC3" w:rsidRDefault="005D1AC3" w:rsidP="00A56CAF">
      <w:pPr>
        <w:spacing w:after="0"/>
        <w:ind w:firstLine="709"/>
        <w:jc w:val="both"/>
        <w:rPr>
          <w:rFonts w:ascii="Times New Roman" w:hAnsi="Times New Roman"/>
          <w:sz w:val="28"/>
          <w:szCs w:val="28"/>
          <w:lang w:eastAsia="ar-SA"/>
        </w:rPr>
      </w:pPr>
      <w:r w:rsidRPr="005D1AC3">
        <w:rPr>
          <w:rFonts w:ascii="Times New Roman" w:hAnsi="Times New Roman"/>
          <w:sz w:val="28"/>
          <w:szCs w:val="28"/>
          <w:lang w:eastAsia="ar-SA"/>
        </w:rPr>
        <w:t xml:space="preserve">Рост розничных цен на природный газ для всех категорий потребителей, исключая население, составит с 1 июля 2022 года – 3,0%, с 1 июля 2023 года – 3,0%, с 1 июля 2024 года – 3,0%. Однако, учитывая </w:t>
      </w:r>
      <w:proofErr w:type="gramStart"/>
      <w:r w:rsidR="00D435FD" w:rsidRPr="005D1AC3">
        <w:rPr>
          <w:rFonts w:ascii="Times New Roman" w:hAnsi="Times New Roman"/>
          <w:sz w:val="28"/>
          <w:szCs w:val="28"/>
          <w:lang w:eastAsia="ar-SA"/>
        </w:rPr>
        <w:t>сверх прогнозные</w:t>
      </w:r>
      <w:proofErr w:type="gramEnd"/>
      <w:r w:rsidRPr="005D1AC3">
        <w:rPr>
          <w:rFonts w:ascii="Times New Roman" w:hAnsi="Times New Roman"/>
          <w:sz w:val="28"/>
          <w:szCs w:val="28"/>
          <w:lang w:eastAsia="ar-SA"/>
        </w:rPr>
        <w:t xml:space="preserve"> изменения долгосрочных тарифов на транспортировку газа, а также сохранение убыточности реализации природного газа населению, рост цен по отдельным направлениям его потребления может превышать указанные значения.</w:t>
      </w:r>
    </w:p>
    <w:p w14:paraId="3C9EC8C1" w14:textId="75D95425" w:rsidR="005D1AC3" w:rsidRPr="005D1AC3" w:rsidRDefault="005D1AC3" w:rsidP="00A56CAF">
      <w:pPr>
        <w:spacing w:after="0"/>
        <w:ind w:firstLine="709"/>
        <w:jc w:val="both"/>
        <w:rPr>
          <w:rFonts w:ascii="Times New Roman" w:hAnsi="Times New Roman"/>
          <w:sz w:val="28"/>
          <w:szCs w:val="28"/>
          <w:lang w:eastAsia="ar-SA"/>
        </w:rPr>
      </w:pPr>
      <w:r w:rsidRPr="005D1AC3">
        <w:rPr>
          <w:rFonts w:ascii="Times New Roman" w:hAnsi="Times New Roman"/>
          <w:sz w:val="28"/>
          <w:szCs w:val="28"/>
          <w:lang w:eastAsia="ar-SA"/>
        </w:rPr>
        <w:t xml:space="preserve">Рост тарифов в сферах водоснабжения, водоотведения и обращения с твердыми коммунальными отходами может составить с 1 июля 2022 года – 4,0%, с 1 июля 2023 года – 4,0%, с 1 июля 2024 года – 4,0%. Дополнительными факторами </w:t>
      </w:r>
      <w:r w:rsidR="00D435FD" w:rsidRPr="005D1AC3">
        <w:rPr>
          <w:rFonts w:ascii="Times New Roman" w:hAnsi="Times New Roman"/>
          <w:sz w:val="28"/>
          <w:szCs w:val="28"/>
          <w:lang w:eastAsia="ar-SA"/>
        </w:rPr>
        <w:t>сверх прогнозного</w:t>
      </w:r>
      <w:r w:rsidRPr="005D1AC3">
        <w:rPr>
          <w:rFonts w:ascii="Times New Roman" w:hAnsi="Times New Roman"/>
          <w:sz w:val="28"/>
          <w:szCs w:val="28"/>
          <w:lang w:eastAsia="ar-SA"/>
        </w:rPr>
        <w:t xml:space="preserve"> роста может послужить необходимость учета инвестиционных программ, концессионных соглашений.</w:t>
      </w:r>
    </w:p>
    <w:p w14:paraId="32886590" w14:textId="77777777" w:rsidR="005D1AC3" w:rsidRPr="005D1AC3" w:rsidRDefault="005D1AC3" w:rsidP="00A56CAF">
      <w:pPr>
        <w:spacing w:after="0"/>
        <w:ind w:firstLine="709"/>
        <w:jc w:val="both"/>
        <w:rPr>
          <w:rFonts w:ascii="Times New Roman" w:hAnsi="Times New Roman"/>
          <w:sz w:val="28"/>
          <w:szCs w:val="28"/>
          <w:lang w:eastAsia="ar-SA"/>
        </w:rPr>
      </w:pPr>
      <w:r w:rsidRPr="005D1AC3">
        <w:rPr>
          <w:rFonts w:ascii="Times New Roman" w:hAnsi="Times New Roman"/>
          <w:sz w:val="28"/>
          <w:szCs w:val="28"/>
          <w:lang w:eastAsia="ar-SA"/>
        </w:rPr>
        <w:t xml:space="preserve">Индексация совокупного платежа граждан за коммунальные услуги (размеры индексации) в 2022 – 2024 годах составит ежегодно 4,0%. Вместе с тем распоряжением Правительства Российской Федерации от 15.11.2018 № 2490-р для Самарской области утверждено предельно допустимое отклонение индекса изменения вносимой гражданами платы за коммунальные услуги в размере 2,0%. </w:t>
      </w:r>
    </w:p>
    <w:p w14:paraId="2F4D5F99" w14:textId="4F6E6A08" w:rsidR="005D1AC3" w:rsidRPr="005C2AEF" w:rsidRDefault="005D1AC3" w:rsidP="00A56CAF">
      <w:pPr>
        <w:spacing w:after="0"/>
        <w:ind w:firstLine="709"/>
        <w:jc w:val="both"/>
        <w:rPr>
          <w:rFonts w:ascii="Times New Roman" w:hAnsi="Times New Roman"/>
          <w:sz w:val="28"/>
          <w:szCs w:val="28"/>
          <w:highlight w:val="yellow"/>
          <w:lang w:eastAsia="ar-SA"/>
        </w:rPr>
      </w:pPr>
      <w:r w:rsidRPr="005D1AC3">
        <w:rPr>
          <w:rFonts w:ascii="Times New Roman" w:hAnsi="Times New Roman"/>
          <w:sz w:val="28"/>
          <w:szCs w:val="28"/>
          <w:lang w:eastAsia="ar-SA"/>
        </w:rPr>
        <w:t>Величина тарифа на проезд пассажиров в муниципальном транспорте будет определяться с учетом оптимизации деятельности муниципальных предприятий, показателей бюджета городского округа Тольятти и анализа изменения пассажиропотока.</w:t>
      </w:r>
    </w:p>
    <w:p w14:paraId="74E35665" w14:textId="5983AA5F" w:rsidR="001F07A4" w:rsidRPr="004C4873" w:rsidRDefault="001F07A4" w:rsidP="001F07A4">
      <w:pPr>
        <w:suppressAutoHyphens/>
        <w:spacing w:after="0" w:line="240" w:lineRule="auto"/>
        <w:jc w:val="both"/>
        <w:outlineLvl w:val="0"/>
        <w:rPr>
          <w:rFonts w:ascii="Times New Roman" w:hAnsi="Times New Roman"/>
          <w:sz w:val="28"/>
          <w:szCs w:val="28"/>
          <w:highlight w:val="yellow"/>
          <w:lang w:eastAsia="zh-CN"/>
        </w:rPr>
      </w:pPr>
      <w:r w:rsidRPr="004C4873">
        <w:rPr>
          <w:rFonts w:ascii="Times New Roman" w:hAnsi="Times New Roman"/>
          <w:sz w:val="28"/>
          <w:szCs w:val="28"/>
          <w:highlight w:val="yellow"/>
          <w:lang w:eastAsia="zh-CN"/>
        </w:rPr>
        <w:t xml:space="preserve">                </w:t>
      </w:r>
    </w:p>
    <w:p w14:paraId="50765222" w14:textId="77777777" w:rsidR="003D3198" w:rsidRPr="00751B58" w:rsidRDefault="003D3198" w:rsidP="00B56045">
      <w:pPr>
        <w:pStyle w:val="a8"/>
        <w:spacing w:after="240"/>
        <w:jc w:val="center"/>
        <w:rPr>
          <w:rFonts w:ascii="Times New Roman" w:eastAsiaTheme="majorEastAsia" w:hAnsi="Times New Roman" w:cs="Times New Roman"/>
          <w:b/>
          <w:sz w:val="28"/>
          <w:szCs w:val="28"/>
          <w:lang w:eastAsia="ru-RU"/>
        </w:rPr>
      </w:pPr>
      <w:r w:rsidRPr="00751B58">
        <w:rPr>
          <w:rFonts w:ascii="Times New Roman" w:eastAsiaTheme="majorEastAsia" w:hAnsi="Times New Roman" w:cs="Times New Roman"/>
          <w:b/>
          <w:sz w:val="28"/>
          <w:szCs w:val="28"/>
          <w:lang w:eastAsia="ru-RU"/>
        </w:rPr>
        <w:t xml:space="preserve">Промышленное производство </w:t>
      </w:r>
      <w:bookmarkStart w:id="1" w:name="промышл"/>
      <w:bookmarkEnd w:id="1"/>
      <w:r w:rsidRPr="00751B58">
        <w:rPr>
          <w:rFonts w:ascii="Times New Roman" w:eastAsiaTheme="majorEastAsia" w:hAnsi="Times New Roman" w:cs="Times New Roman"/>
          <w:b/>
          <w:sz w:val="28"/>
          <w:szCs w:val="28"/>
          <w:lang w:eastAsia="ru-RU"/>
        </w:rPr>
        <w:t xml:space="preserve">                                                                     </w:t>
      </w:r>
      <w:proofErr w:type="gramStart"/>
      <w:r w:rsidRPr="00751B58">
        <w:rPr>
          <w:rFonts w:ascii="Times New Roman" w:eastAsiaTheme="majorEastAsia" w:hAnsi="Times New Roman" w:cs="Times New Roman"/>
          <w:b/>
          <w:sz w:val="28"/>
          <w:szCs w:val="28"/>
          <w:lang w:eastAsia="ru-RU"/>
        </w:rPr>
        <w:t xml:space="preserve">   (</w:t>
      </w:r>
      <w:proofErr w:type="gramEnd"/>
      <w:r w:rsidRPr="00751B58">
        <w:rPr>
          <w:rFonts w:ascii="Times New Roman" w:eastAsiaTheme="majorEastAsia" w:hAnsi="Times New Roman" w:cs="Times New Roman"/>
          <w:b/>
          <w:sz w:val="28"/>
          <w:szCs w:val="28"/>
          <w:lang w:eastAsia="ru-RU"/>
        </w:rPr>
        <w:t>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5464F9A7" w14:textId="779FDDAF" w:rsidR="00490198" w:rsidRPr="00490198" w:rsidRDefault="00490198" w:rsidP="00A56CAF">
      <w:pPr>
        <w:widowControl w:val="0"/>
        <w:numPr>
          <w:ilvl w:val="0"/>
          <w:numId w:val="17"/>
        </w:numPr>
        <w:suppressAutoHyphens/>
        <w:spacing w:after="0"/>
        <w:ind w:left="0" w:firstLine="709"/>
        <w:jc w:val="both"/>
        <w:rPr>
          <w:rFonts w:ascii="Times New Roman" w:hAnsi="Times New Roman"/>
          <w:color w:val="000000"/>
          <w:sz w:val="28"/>
          <w:szCs w:val="28"/>
        </w:rPr>
      </w:pPr>
      <w:r w:rsidRPr="00490198">
        <w:rPr>
          <w:rFonts w:ascii="Times New Roman" w:hAnsi="Times New Roman"/>
          <w:color w:val="000000"/>
          <w:sz w:val="28"/>
          <w:szCs w:val="28"/>
        </w:rPr>
        <w:t xml:space="preserve">Прогноз развития промышленного комплекса городского округа Тольятти формируется с учетом тенденций развития промышленности на основании отчетных статистических данных о деятельности промышленных предприятий, отраслевых индексов-дефляторов цен на продукцию, произведенную для внутреннего и внешнего рынка, прогнозируемых </w:t>
      </w:r>
      <w:r w:rsidR="0077624F">
        <w:rPr>
          <w:rFonts w:ascii="Times New Roman" w:hAnsi="Times New Roman"/>
          <w:color w:val="000000"/>
          <w:sz w:val="28"/>
          <w:szCs w:val="28"/>
        </w:rPr>
        <w:t>министерством экономического развития и инвестиций Самарской области</w:t>
      </w:r>
      <w:r w:rsidRPr="00490198">
        <w:rPr>
          <w:rFonts w:ascii="Times New Roman" w:hAnsi="Times New Roman"/>
          <w:color w:val="000000"/>
          <w:sz w:val="28"/>
          <w:szCs w:val="28"/>
        </w:rPr>
        <w:t>, и сведений, предоставленных крупными промышленными предприятиями городского округа Тольятти.</w:t>
      </w:r>
    </w:p>
    <w:p w14:paraId="1DB97EA2" w14:textId="77777777" w:rsidR="0077624F" w:rsidRDefault="00AF7BA3" w:rsidP="00A56CAF">
      <w:pPr>
        <w:tabs>
          <w:tab w:val="left" w:pos="720"/>
        </w:tabs>
        <w:spacing w:after="0"/>
        <w:ind w:firstLine="709"/>
        <w:jc w:val="both"/>
        <w:rPr>
          <w:rFonts w:ascii="Times New Roman" w:hAnsi="Times New Roman"/>
          <w:sz w:val="28"/>
          <w:szCs w:val="28"/>
        </w:rPr>
      </w:pPr>
      <w:r w:rsidRPr="00281C35">
        <w:rPr>
          <w:rFonts w:ascii="Times New Roman" w:hAnsi="Times New Roman"/>
          <w:sz w:val="28"/>
          <w:szCs w:val="28"/>
        </w:rPr>
        <w:lastRenderedPageBreak/>
        <w:t>Ускорению темпов роста в 202</w:t>
      </w:r>
      <w:r w:rsidR="00BF3399" w:rsidRPr="00281C35">
        <w:rPr>
          <w:rFonts w:ascii="Times New Roman" w:hAnsi="Times New Roman"/>
          <w:sz w:val="28"/>
          <w:szCs w:val="28"/>
        </w:rPr>
        <w:t>2</w:t>
      </w:r>
      <w:r w:rsidRPr="00281C35">
        <w:rPr>
          <w:rFonts w:ascii="Times New Roman" w:hAnsi="Times New Roman"/>
          <w:sz w:val="28"/>
          <w:szCs w:val="28"/>
        </w:rPr>
        <w:t>-202</w:t>
      </w:r>
      <w:r w:rsidR="00BF3399" w:rsidRPr="00281C35">
        <w:rPr>
          <w:rFonts w:ascii="Times New Roman" w:hAnsi="Times New Roman"/>
          <w:sz w:val="28"/>
          <w:szCs w:val="28"/>
        </w:rPr>
        <w:t>4</w:t>
      </w:r>
      <w:r w:rsidRPr="00281C35">
        <w:rPr>
          <w:rFonts w:ascii="Times New Roman" w:hAnsi="Times New Roman"/>
          <w:sz w:val="28"/>
          <w:szCs w:val="28"/>
        </w:rPr>
        <w:t xml:space="preserve"> годах будут способствовать ослабление ограничительных мероприятий, восстановление платежеспособного спроса со стороны населения</w:t>
      </w:r>
      <w:r w:rsidR="00281C35" w:rsidRPr="00281C35">
        <w:rPr>
          <w:rFonts w:ascii="Times New Roman" w:hAnsi="Times New Roman"/>
          <w:sz w:val="28"/>
          <w:szCs w:val="28"/>
        </w:rPr>
        <w:t xml:space="preserve"> и</w:t>
      </w:r>
      <w:r w:rsidRPr="00281C35">
        <w:rPr>
          <w:rFonts w:ascii="Times New Roman" w:hAnsi="Times New Roman"/>
          <w:sz w:val="28"/>
          <w:szCs w:val="28"/>
        </w:rPr>
        <w:t xml:space="preserve"> реализация мер, направленных на восстановление и развитие пострадавших отраслей.</w:t>
      </w:r>
      <w:r w:rsidR="00B56045" w:rsidRPr="00281C35">
        <w:rPr>
          <w:rFonts w:ascii="Times New Roman" w:hAnsi="Times New Roman"/>
          <w:sz w:val="28"/>
          <w:szCs w:val="28"/>
        </w:rPr>
        <w:t xml:space="preserve"> </w:t>
      </w:r>
    </w:p>
    <w:p w14:paraId="5000F4F4" w14:textId="167612B5" w:rsidR="00CE0AC9" w:rsidRPr="00281C35" w:rsidRDefault="00CE0AC9" w:rsidP="00A56CAF">
      <w:pPr>
        <w:tabs>
          <w:tab w:val="left" w:pos="720"/>
        </w:tabs>
        <w:spacing w:after="0"/>
        <w:ind w:firstLine="709"/>
        <w:jc w:val="both"/>
        <w:rPr>
          <w:rFonts w:ascii="Times New Roman" w:hAnsi="Times New Roman"/>
          <w:sz w:val="28"/>
          <w:szCs w:val="28"/>
        </w:rPr>
      </w:pPr>
      <w:r w:rsidRPr="00281C35">
        <w:rPr>
          <w:rFonts w:ascii="Times New Roman" w:hAnsi="Times New Roman"/>
          <w:sz w:val="28"/>
          <w:szCs w:val="28"/>
        </w:rPr>
        <w:t xml:space="preserve">На развитие обрабатывающих производств в </w:t>
      </w:r>
      <w:r w:rsidRPr="00281C35">
        <w:rPr>
          <w:rFonts w:ascii="Times New Roman" w:hAnsi="Times New Roman"/>
          <w:bCs/>
          <w:sz w:val="28"/>
          <w:szCs w:val="28"/>
        </w:rPr>
        <w:t>202</w:t>
      </w:r>
      <w:r w:rsidR="00281C35" w:rsidRPr="00281C35">
        <w:rPr>
          <w:rFonts w:ascii="Times New Roman" w:hAnsi="Times New Roman"/>
          <w:bCs/>
          <w:sz w:val="28"/>
          <w:szCs w:val="28"/>
        </w:rPr>
        <w:t>2</w:t>
      </w:r>
      <w:r w:rsidR="0038323A">
        <w:rPr>
          <w:rFonts w:ascii="Times New Roman" w:hAnsi="Times New Roman"/>
          <w:bCs/>
          <w:sz w:val="28"/>
          <w:szCs w:val="28"/>
        </w:rPr>
        <w:t>-</w:t>
      </w:r>
      <w:r w:rsidRPr="00281C35">
        <w:rPr>
          <w:rFonts w:ascii="Times New Roman" w:hAnsi="Times New Roman"/>
          <w:bCs/>
          <w:sz w:val="28"/>
          <w:szCs w:val="28"/>
        </w:rPr>
        <w:t>202</w:t>
      </w:r>
      <w:r w:rsidR="00281C35" w:rsidRPr="00281C35">
        <w:rPr>
          <w:rFonts w:ascii="Times New Roman" w:hAnsi="Times New Roman"/>
          <w:bCs/>
          <w:sz w:val="28"/>
          <w:szCs w:val="28"/>
        </w:rPr>
        <w:t>4</w:t>
      </w:r>
      <w:r w:rsidRPr="00281C35">
        <w:rPr>
          <w:rFonts w:ascii="Times New Roman" w:hAnsi="Times New Roman"/>
          <w:bCs/>
          <w:sz w:val="28"/>
          <w:szCs w:val="28"/>
        </w:rPr>
        <w:t xml:space="preserve"> годах будут оказывать влияние </w:t>
      </w:r>
      <w:r w:rsidRPr="00281C35">
        <w:rPr>
          <w:rFonts w:ascii="Times New Roman" w:hAnsi="Times New Roman"/>
          <w:sz w:val="28"/>
          <w:szCs w:val="28"/>
        </w:rPr>
        <w:t>следующие факторы:</w:t>
      </w:r>
    </w:p>
    <w:p w14:paraId="4FC223E9" w14:textId="4E56E9D2" w:rsidR="00CE0AC9" w:rsidRPr="00D20874" w:rsidRDefault="00CE0AC9" w:rsidP="00A56CAF">
      <w:pPr>
        <w:spacing w:after="0"/>
        <w:ind w:firstLine="708"/>
        <w:jc w:val="both"/>
        <w:rPr>
          <w:rFonts w:ascii="Times New Roman" w:hAnsi="Times New Roman"/>
          <w:sz w:val="28"/>
          <w:szCs w:val="28"/>
        </w:rPr>
      </w:pPr>
      <w:r w:rsidRPr="00D20874">
        <w:rPr>
          <w:rFonts w:ascii="Times New Roman" w:hAnsi="Times New Roman"/>
          <w:sz w:val="28"/>
          <w:szCs w:val="28"/>
        </w:rPr>
        <w:t xml:space="preserve">- увеличение потребления населением продовольственных товаров, произведенных в </w:t>
      </w:r>
      <w:r w:rsidR="00D4056C" w:rsidRPr="00D20874">
        <w:rPr>
          <w:rFonts w:ascii="Times New Roman" w:hAnsi="Times New Roman"/>
          <w:sz w:val="28"/>
          <w:szCs w:val="28"/>
        </w:rPr>
        <w:t>городско</w:t>
      </w:r>
      <w:r w:rsidR="0038323A" w:rsidRPr="00D20874">
        <w:rPr>
          <w:rFonts w:ascii="Times New Roman" w:hAnsi="Times New Roman"/>
          <w:sz w:val="28"/>
          <w:szCs w:val="28"/>
        </w:rPr>
        <w:t>м</w:t>
      </w:r>
      <w:r w:rsidR="00D4056C" w:rsidRPr="00D20874">
        <w:rPr>
          <w:rFonts w:ascii="Times New Roman" w:hAnsi="Times New Roman"/>
          <w:sz w:val="28"/>
          <w:szCs w:val="28"/>
        </w:rPr>
        <w:t xml:space="preserve"> округ</w:t>
      </w:r>
      <w:r w:rsidR="0038323A" w:rsidRPr="00D20874">
        <w:rPr>
          <w:rFonts w:ascii="Times New Roman" w:hAnsi="Times New Roman"/>
          <w:sz w:val="28"/>
          <w:szCs w:val="28"/>
        </w:rPr>
        <w:t>е</w:t>
      </w:r>
      <w:r w:rsidR="00D3298E">
        <w:rPr>
          <w:rFonts w:ascii="Times New Roman" w:hAnsi="Times New Roman"/>
          <w:sz w:val="28"/>
          <w:szCs w:val="28"/>
        </w:rPr>
        <w:t xml:space="preserve"> Тольятти</w:t>
      </w:r>
      <w:r w:rsidRPr="00D20874">
        <w:rPr>
          <w:rFonts w:ascii="Times New Roman" w:hAnsi="Times New Roman"/>
          <w:sz w:val="28"/>
          <w:szCs w:val="28"/>
        </w:rPr>
        <w:t xml:space="preserve">; </w:t>
      </w:r>
    </w:p>
    <w:p w14:paraId="65E8715E" w14:textId="77777777" w:rsidR="00CE0AC9" w:rsidRPr="00D20874" w:rsidRDefault="00CE0AC9" w:rsidP="00A56CAF">
      <w:pPr>
        <w:spacing w:after="0"/>
        <w:ind w:firstLine="708"/>
        <w:jc w:val="both"/>
        <w:rPr>
          <w:rFonts w:ascii="Times New Roman" w:hAnsi="Times New Roman"/>
          <w:sz w:val="28"/>
          <w:szCs w:val="28"/>
        </w:rPr>
      </w:pPr>
      <w:r w:rsidRPr="00D20874">
        <w:rPr>
          <w:rFonts w:ascii="Times New Roman" w:hAnsi="Times New Roman"/>
          <w:sz w:val="28"/>
          <w:szCs w:val="28"/>
        </w:rPr>
        <w:t>- развитие импортозамещающих производств, обеспеченных бесперебойными поставками сырья и материалов, в связи с рисками временной приостановки работы производителей в других странах;</w:t>
      </w:r>
    </w:p>
    <w:p w14:paraId="2152072E" w14:textId="77777777" w:rsidR="00CE0AC9" w:rsidRPr="00D20874" w:rsidRDefault="00F17610" w:rsidP="00A56CAF">
      <w:pPr>
        <w:spacing w:after="0"/>
        <w:ind w:firstLine="708"/>
        <w:jc w:val="both"/>
        <w:rPr>
          <w:rFonts w:ascii="Times New Roman" w:hAnsi="Times New Roman"/>
          <w:sz w:val="28"/>
          <w:szCs w:val="28"/>
        </w:rPr>
      </w:pPr>
      <w:r w:rsidRPr="00D20874">
        <w:rPr>
          <w:rFonts w:ascii="Times New Roman" w:hAnsi="Times New Roman"/>
          <w:sz w:val="28"/>
          <w:szCs w:val="28"/>
        </w:rPr>
        <w:t>-</w:t>
      </w:r>
      <w:r w:rsidR="00CE0AC9" w:rsidRPr="00D20874">
        <w:rPr>
          <w:rFonts w:ascii="Times New Roman" w:hAnsi="Times New Roman"/>
          <w:sz w:val="28"/>
          <w:szCs w:val="28"/>
        </w:rPr>
        <w:t xml:space="preserve"> наращивание объема реализации производимой химической продукции при сохранении потребительского спроса на внутреннем и мировом рынках;</w:t>
      </w:r>
    </w:p>
    <w:p w14:paraId="62EA35FE" w14:textId="77777777" w:rsidR="00CE0AC9" w:rsidRPr="00D20874" w:rsidRDefault="00CE0AC9" w:rsidP="00A56CAF">
      <w:pPr>
        <w:spacing w:after="0"/>
        <w:ind w:firstLine="708"/>
        <w:jc w:val="both"/>
        <w:rPr>
          <w:rFonts w:ascii="Times New Roman" w:hAnsi="Times New Roman"/>
          <w:sz w:val="28"/>
          <w:szCs w:val="28"/>
        </w:rPr>
      </w:pPr>
      <w:r w:rsidRPr="00D20874">
        <w:rPr>
          <w:rFonts w:ascii="Times New Roman" w:hAnsi="Times New Roman"/>
          <w:sz w:val="28"/>
          <w:szCs w:val="28"/>
        </w:rPr>
        <w:t>- развитие экспортного потенциала предприятий конкурентоспособной промышленной продукции, в том числе в результате создания новых ниш;</w:t>
      </w:r>
    </w:p>
    <w:p w14:paraId="4E2639A6" w14:textId="77777777" w:rsidR="00CE0AC9" w:rsidRPr="00D20874" w:rsidRDefault="00CE0AC9" w:rsidP="00A56CAF">
      <w:pPr>
        <w:spacing w:after="0"/>
        <w:ind w:firstLine="708"/>
        <w:jc w:val="both"/>
        <w:rPr>
          <w:rFonts w:ascii="Times New Roman" w:hAnsi="Times New Roman"/>
          <w:sz w:val="28"/>
          <w:szCs w:val="28"/>
          <w:lang w:eastAsia="en-US"/>
        </w:rPr>
      </w:pPr>
      <w:r w:rsidRPr="00D20874">
        <w:rPr>
          <w:rFonts w:ascii="Times New Roman" w:hAnsi="Times New Roman"/>
          <w:sz w:val="28"/>
          <w:szCs w:val="28"/>
        </w:rPr>
        <w:t xml:space="preserve">- </w:t>
      </w:r>
      <w:r w:rsidRPr="00D20874">
        <w:rPr>
          <w:rFonts w:ascii="Times New Roman" w:hAnsi="Times New Roman"/>
          <w:sz w:val="28"/>
          <w:szCs w:val="28"/>
          <w:lang w:eastAsia="en-US"/>
        </w:rPr>
        <w:t>модернизация и техническое перевооружение предприятий, оптимизация производственных процессов на базе современных технологий и оборудования;</w:t>
      </w:r>
    </w:p>
    <w:p w14:paraId="2B7E701F" w14:textId="77777777" w:rsidR="00CE0AC9" w:rsidRPr="00D20874" w:rsidRDefault="00CE0AC9" w:rsidP="00A56CAF">
      <w:pPr>
        <w:spacing w:after="0"/>
        <w:ind w:firstLine="708"/>
        <w:jc w:val="both"/>
        <w:rPr>
          <w:rFonts w:ascii="Times New Roman" w:hAnsi="Times New Roman"/>
          <w:sz w:val="28"/>
          <w:szCs w:val="28"/>
          <w:lang w:eastAsia="en-US"/>
        </w:rPr>
      </w:pPr>
      <w:r w:rsidRPr="00D20874">
        <w:rPr>
          <w:rFonts w:ascii="Times New Roman" w:hAnsi="Times New Roman"/>
          <w:sz w:val="28"/>
          <w:szCs w:val="28"/>
        </w:rPr>
        <w:t>-  расширение продуктового портфеля за счет выпуска товаров с высоким уровнем качества, применением инновационных технологий разработки продуктов и процессов;</w:t>
      </w:r>
    </w:p>
    <w:p w14:paraId="2CA00E6F" w14:textId="77777777" w:rsidR="00CE0AC9" w:rsidRPr="00D20874" w:rsidRDefault="00CE0AC9" w:rsidP="00A56CAF">
      <w:pPr>
        <w:spacing w:after="0"/>
        <w:ind w:firstLine="708"/>
        <w:jc w:val="both"/>
        <w:rPr>
          <w:rFonts w:ascii="Times New Roman" w:hAnsi="Times New Roman"/>
          <w:sz w:val="28"/>
          <w:szCs w:val="28"/>
        </w:rPr>
      </w:pPr>
      <w:r w:rsidRPr="00D20874">
        <w:rPr>
          <w:rFonts w:ascii="Times New Roman" w:hAnsi="Times New Roman"/>
          <w:sz w:val="28"/>
          <w:szCs w:val="28"/>
        </w:rPr>
        <w:t xml:space="preserve">- повышение производительности труда и внедрение принципов бережливого производства на предприятиях </w:t>
      </w:r>
      <w:r w:rsidR="00D4056C" w:rsidRPr="00D20874">
        <w:rPr>
          <w:rFonts w:ascii="Times New Roman" w:hAnsi="Times New Roman"/>
          <w:sz w:val="28"/>
          <w:szCs w:val="28"/>
        </w:rPr>
        <w:t>городского округа</w:t>
      </w:r>
      <w:r w:rsidRPr="00D20874">
        <w:rPr>
          <w:rFonts w:ascii="Times New Roman" w:hAnsi="Times New Roman"/>
          <w:sz w:val="28"/>
          <w:szCs w:val="28"/>
        </w:rPr>
        <w:t>;</w:t>
      </w:r>
    </w:p>
    <w:p w14:paraId="13568282" w14:textId="7228E977" w:rsidR="00CE0AC9" w:rsidRPr="00D20874" w:rsidRDefault="00CE0AC9" w:rsidP="00A56CAF">
      <w:pPr>
        <w:spacing w:after="0"/>
        <w:ind w:firstLine="708"/>
        <w:jc w:val="both"/>
        <w:rPr>
          <w:rFonts w:ascii="Times New Roman" w:hAnsi="Times New Roman"/>
          <w:sz w:val="28"/>
          <w:szCs w:val="28"/>
        </w:rPr>
      </w:pPr>
      <w:r w:rsidRPr="00D20874">
        <w:rPr>
          <w:rFonts w:ascii="Times New Roman" w:hAnsi="Times New Roman"/>
          <w:sz w:val="28"/>
          <w:szCs w:val="28"/>
        </w:rPr>
        <w:t xml:space="preserve">- развитие инвестиционной инфраструктуры; </w:t>
      </w:r>
    </w:p>
    <w:p w14:paraId="468FDEB4" w14:textId="77777777" w:rsidR="00CE0AC9" w:rsidRPr="00D20874" w:rsidRDefault="00CE0AC9" w:rsidP="00A56CAF">
      <w:pPr>
        <w:spacing w:after="0"/>
        <w:ind w:firstLine="708"/>
        <w:jc w:val="both"/>
        <w:rPr>
          <w:rFonts w:ascii="Times New Roman" w:hAnsi="Times New Roman"/>
          <w:sz w:val="28"/>
          <w:szCs w:val="28"/>
        </w:rPr>
      </w:pPr>
      <w:r w:rsidRPr="00D20874">
        <w:rPr>
          <w:rFonts w:ascii="Times New Roman" w:hAnsi="Times New Roman"/>
          <w:sz w:val="28"/>
          <w:szCs w:val="28"/>
        </w:rPr>
        <w:t>- реализация государственных программ поддержки автомобиле- и машиностроения;</w:t>
      </w:r>
    </w:p>
    <w:p w14:paraId="185F6C0C" w14:textId="77777777" w:rsidR="00CE0AC9" w:rsidRPr="00D20874" w:rsidRDefault="00CE0AC9" w:rsidP="00A56CAF">
      <w:pPr>
        <w:spacing w:after="0"/>
        <w:ind w:firstLine="708"/>
        <w:jc w:val="both"/>
        <w:rPr>
          <w:rFonts w:ascii="Times New Roman" w:hAnsi="Times New Roman"/>
          <w:sz w:val="28"/>
          <w:szCs w:val="28"/>
        </w:rPr>
      </w:pPr>
      <w:r w:rsidRPr="00D20874">
        <w:rPr>
          <w:rFonts w:ascii="Times New Roman" w:hAnsi="Times New Roman"/>
          <w:sz w:val="28"/>
          <w:szCs w:val="28"/>
        </w:rPr>
        <w:t>- продолжение программ поддержки спроса на автотранспортные средства;</w:t>
      </w:r>
    </w:p>
    <w:p w14:paraId="1FC0B4DE" w14:textId="77777777" w:rsidR="00CE0AC9" w:rsidRPr="00D20874" w:rsidRDefault="00CE0AC9" w:rsidP="00A56CAF">
      <w:pPr>
        <w:spacing w:after="0"/>
        <w:ind w:firstLine="708"/>
        <w:jc w:val="both"/>
        <w:outlineLvl w:val="0"/>
        <w:rPr>
          <w:rFonts w:ascii="Times New Roman" w:hAnsi="Times New Roman"/>
          <w:sz w:val="28"/>
          <w:szCs w:val="28"/>
        </w:rPr>
      </w:pPr>
      <w:r w:rsidRPr="00D20874">
        <w:rPr>
          <w:rFonts w:ascii="Times New Roman" w:hAnsi="Times New Roman"/>
          <w:sz w:val="28"/>
          <w:szCs w:val="28"/>
        </w:rPr>
        <w:t>- увеличение доли продукции отечественных производителей автокомпонентов в формировании добавленной стоимости готовых автомобилей;</w:t>
      </w:r>
    </w:p>
    <w:p w14:paraId="3EE77E71" w14:textId="77777777" w:rsidR="00CE0AC9" w:rsidRPr="00D20874" w:rsidRDefault="00CE0AC9" w:rsidP="00A56CAF">
      <w:pPr>
        <w:spacing w:after="0"/>
        <w:ind w:firstLine="708"/>
        <w:jc w:val="both"/>
        <w:outlineLvl w:val="0"/>
        <w:rPr>
          <w:rFonts w:ascii="Times New Roman" w:hAnsi="Times New Roman"/>
          <w:sz w:val="28"/>
          <w:szCs w:val="28"/>
        </w:rPr>
      </w:pPr>
      <w:r w:rsidRPr="00D20874">
        <w:rPr>
          <w:rFonts w:ascii="Times New Roman" w:hAnsi="Times New Roman"/>
          <w:sz w:val="28"/>
          <w:szCs w:val="28"/>
        </w:rPr>
        <w:t>- реализация мер государственной политики в рамках государственной программы Самарской области «Развитие промышленности Самарской области и повышение ее конкурентоспособности»;</w:t>
      </w:r>
    </w:p>
    <w:p w14:paraId="51EA8E11" w14:textId="77777777" w:rsidR="00CE0AC9" w:rsidRPr="00D20874" w:rsidRDefault="00CE0AC9" w:rsidP="00A56CAF">
      <w:pPr>
        <w:spacing w:after="0"/>
        <w:ind w:firstLine="708"/>
        <w:jc w:val="both"/>
        <w:outlineLvl w:val="0"/>
        <w:rPr>
          <w:rFonts w:ascii="Times New Roman" w:hAnsi="Times New Roman"/>
          <w:sz w:val="28"/>
          <w:szCs w:val="28"/>
        </w:rPr>
      </w:pPr>
      <w:r w:rsidRPr="00D20874">
        <w:rPr>
          <w:rFonts w:ascii="Times New Roman" w:hAnsi="Times New Roman"/>
          <w:sz w:val="28"/>
          <w:szCs w:val="28"/>
        </w:rPr>
        <w:t>- предоставление государственной поддержки предприятиям Самарской области в рамках деятельности Фонда развития промышленности.</w:t>
      </w:r>
    </w:p>
    <w:p w14:paraId="2E58F3ED" w14:textId="77777777" w:rsidR="00CE0AC9" w:rsidRPr="00D20874" w:rsidRDefault="00AF2438" w:rsidP="00A56CAF">
      <w:pPr>
        <w:spacing w:after="0"/>
        <w:ind w:firstLine="709"/>
        <w:jc w:val="both"/>
        <w:outlineLvl w:val="0"/>
        <w:rPr>
          <w:rFonts w:ascii="Times New Roman" w:hAnsi="Times New Roman"/>
          <w:sz w:val="28"/>
          <w:szCs w:val="28"/>
        </w:rPr>
      </w:pPr>
      <w:r w:rsidRPr="00D20874">
        <w:rPr>
          <w:rFonts w:ascii="Times New Roman" w:hAnsi="Times New Roman"/>
          <w:sz w:val="28"/>
          <w:szCs w:val="28"/>
        </w:rPr>
        <w:t>При этом существенное влияние на промышленный сектор оказывают риски, которые не позволят достичь высоких темпов экономического роста</w:t>
      </w:r>
      <w:r w:rsidR="00CE0AC9" w:rsidRPr="00D20874">
        <w:rPr>
          <w:rFonts w:ascii="Times New Roman" w:hAnsi="Times New Roman"/>
          <w:sz w:val="28"/>
          <w:szCs w:val="28"/>
        </w:rPr>
        <w:t>:</w:t>
      </w:r>
    </w:p>
    <w:p w14:paraId="0108B3D4" w14:textId="77777777" w:rsidR="00CE0AC9" w:rsidRPr="00D20874" w:rsidRDefault="00CE0AC9" w:rsidP="00A56CAF">
      <w:pPr>
        <w:spacing w:after="0"/>
        <w:ind w:firstLine="709"/>
        <w:contextualSpacing/>
        <w:jc w:val="both"/>
        <w:rPr>
          <w:rFonts w:ascii="Times New Roman" w:hAnsi="Times New Roman"/>
          <w:sz w:val="28"/>
          <w:szCs w:val="28"/>
        </w:rPr>
      </w:pPr>
      <w:r w:rsidRPr="00D20874">
        <w:rPr>
          <w:rFonts w:ascii="Times New Roman" w:hAnsi="Times New Roman"/>
          <w:sz w:val="28"/>
          <w:szCs w:val="28"/>
        </w:rPr>
        <w:lastRenderedPageBreak/>
        <w:t>- временные нарушения сформировавшихся производственных цепочек;</w:t>
      </w:r>
    </w:p>
    <w:p w14:paraId="45E771C8" w14:textId="77777777" w:rsidR="00CE0AC9" w:rsidRPr="00D20874" w:rsidRDefault="00CE0AC9" w:rsidP="00A56CAF">
      <w:pPr>
        <w:spacing w:after="0"/>
        <w:ind w:firstLine="709"/>
        <w:contextualSpacing/>
        <w:jc w:val="both"/>
        <w:rPr>
          <w:rFonts w:ascii="Times New Roman" w:hAnsi="Times New Roman"/>
          <w:sz w:val="28"/>
          <w:szCs w:val="28"/>
        </w:rPr>
      </w:pPr>
      <w:r w:rsidRPr="00D20874">
        <w:rPr>
          <w:rFonts w:ascii="Times New Roman" w:hAnsi="Times New Roman"/>
          <w:sz w:val="28"/>
          <w:szCs w:val="28"/>
        </w:rPr>
        <w:t xml:space="preserve">- нарушение непрерывной работы предприятий-поставщиков и доставки материалов до предприятий-производителей;  </w:t>
      </w:r>
    </w:p>
    <w:p w14:paraId="5B04CE1D" w14:textId="3EB6852F" w:rsidR="00CE0AC9" w:rsidRPr="00D20874" w:rsidRDefault="00CE0AC9" w:rsidP="00A56CAF">
      <w:pPr>
        <w:spacing w:after="0"/>
        <w:ind w:firstLine="709"/>
        <w:contextualSpacing/>
        <w:jc w:val="both"/>
        <w:rPr>
          <w:rFonts w:ascii="Times New Roman" w:hAnsi="Times New Roman"/>
          <w:sz w:val="28"/>
          <w:szCs w:val="28"/>
        </w:rPr>
      </w:pPr>
      <w:r w:rsidRPr="00D20874">
        <w:rPr>
          <w:rFonts w:ascii="Times New Roman" w:hAnsi="Times New Roman"/>
          <w:sz w:val="28"/>
          <w:szCs w:val="28"/>
        </w:rPr>
        <w:t xml:space="preserve">- повышение тарифов на транспортные услуги;   </w:t>
      </w:r>
    </w:p>
    <w:p w14:paraId="62640646" w14:textId="77777777" w:rsidR="00CE0AC9" w:rsidRPr="00D20874" w:rsidRDefault="00CE0AC9" w:rsidP="00A56CAF">
      <w:pPr>
        <w:spacing w:after="0"/>
        <w:ind w:firstLine="567"/>
        <w:jc w:val="both"/>
        <w:rPr>
          <w:rFonts w:ascii="Times New Roman" w:hAnsi="Times New Roman"/>
          <w:sz w:val="28"/>
          <w:szCs w:val="28"/>
        </w:rPr>
      </w:pPr>
      <w:r w:rsidRPr="00D20874">
        <w:rPr>
          <w:rFonts w:ascii="Times New Roman" w:hAnsi="Times New Roman"/>
          <w:sz w:val="28"/>
          <w:szCs w:val="28"/>
        </w:rPr>
        <w:t>- сокращение экспорта товаров из-за снижения потребительского спроса со стороны иностранных компаний;</w:t>
      </w:r>
    </w:p>
    <w:p w14:paraId="3251A02B" w14:textId="77777777" w:rsidR="00CE0AC9" w:rsidRPr="00D20874" w:rsidRDefault="00CE0AC9" w:rsidP="00A56CAF">
      <w:pPr>
        <w:spacing w:after="0"/>
        <w:ind w:firstLine="708"/>
        <w:jc w:val="both"/>
        <w:outlineLvl w:val="0"/>
        <w:rPr>
          <w:rFonts w:ascii="Times New Roman" w:hAnsi="Times New Roman"/>
          <w:sz w:val="28"/>
          <w:szCs w:val="28"/>
        </w:rPr>
      </w:pPr>
      <w:r w:rsidRPr="00D20874">
        <w:rPr>
          <w:rFonts w:ascii="Times New Roman" w:hAnsi="Times New Roman"/>
          <w:sz w:val="28"/>
          <w:szCs w:val="28"/>
        </w:rPr>
        <w:t xml:space="preserve">- недостаточный уровень платежеспособного спроса на продукцию со стороны основных потребителей – населения и отраслей промышленности; </w:t>
      </w:r>
    </w:p>
    <w:p w14:paraId="0F5D7F33" w14:textId="77777777" w:rsidR="006950A3" w:rsidRDefault="00CE0AC9" w:rsidP="00A56CAF">
      <w:pPr>
        <w:spacing w:after="0"/>
        <w:ind w:firstLine="708"/>
        <w:jc w:val="both"/>
        <w:outlineLvl w:val="0"/>
        <w:rPr>
          <w:rFonts w:ascii="Times New Roman" w:hAnsi="Times New Roman"/>
          <w:sz w:val="28"/>
          <w:szCs w:val="28"/>
        </w:rPr>
      </w:pPr>
      <w:r w:rsidRPr="00D20874">
        <w:rPr>
          <w:rFonts w:ascii="Times New Roman" w:hAnsi="Times New Roman"/>
          <w:sz w:val="28"/>
          <w:szCs w:val="28"/>
        </w:rPr>
        <w:t xml:space="preserve">- высокий уровень материальных издержек в видах экономической деятельности с высокой </w:t>
      </w:r>
      <w:proofErr w:type="spellStart"/>
      <w:r w:rsidRPr="00D20874">
        <w:rPr>
          <w:rFonts w:ascii="Times New Roman" w:hAnsi="Times New Roman"/>
          <w:sz w:val="28"/>
          <w:szCs w:val="28"/>
        </w:rPr>
        <w:t>импортозависимостью</w:t>
      </w:r>
      <w:proofErr w:type="spellEnd"/>
      <w:r w:rsidR="006950A3">
        <w:rPr>
          <w:rFonts w:ascii="Times New Roman" w:hAnsi="Times New Roman"/>
          <w:sz w:val="28"/>
          <w:szCs w:val="28"/>
        </w:rPr>
        <w:t>;</w:t>
      </w:r>
    </w:p>
    <w:p w14:paraId="633257DA" w14:textId="77777777" w:rsidR="006950A3" w:rsidRDefault="006950A3" w:rsidP="00A56CAF">
      <w:pPr>
        <w:spacing w:after="0"/>
        <w:ind w:firstLine="708"/>
        <w:jc w:val="both"/>
        <w:outlineLvl w:val="0"/>
        <w:rPr>
          <w:rFonts w:ascii="Times New Roman" w:hAnsi="Times New Roman"/>
          <w:sz w:val="28"/>
          <w:szCs w:val="28"/>
        </w:rPr>
      </w:pPr>
      <w:r>
        <w:rPr>
          <w:rFonts w:ascii="Times New Roman" w:hAnsi="Times New Roman"/>
          <w:sz w:val="28"/>
          <w:szCs w:val="28"/>
        </w:rPr>
        <w:t>- высокая степень износа основных производственных фондов;</w:t>
      </w:r>
    </w:p>
    <w:p w14:paraId="35C636BE" w14:textId="37E76566" w:rsidR="00CE0AC9" w:rsidRPr="00D20874" w:rsidRDefault="006950A3" w:rsidP="00A56CAF">
      <w:pPr>
        <w:spacing w:after="0"/>
        <w:ind w:firstLine="708"/>
        <w:jc w:val="both"/>
        <w:outlineLvl w:val="0"/>
        <w:rPr>
          <w:rFonts w:ascii="Times New Roman" w:hAnsi="Times New Roman"/>
          <w:sz w:val="28"/>
          <w:szCs w:val="28"/>
        </w:rPr>
      </w:pPr>
      <w:r>
        <w:rPr>
          <w:rFonts w:ascii="Times New Roman" w:hAnsi="Times New Roman"/>
          <w:sz w:val="28"/>
          <w:szCs w:val="28"/>
        </w:rPr>
        <w:t xml:space="preserve">- </w:t>
      </w:r>
      <w:r w:rsidRPr="00B0092D">
        <w:rPr>
          <w:rFonts w:ascii="Times New Roman" w:hAnsi="Times New Roman"/>
          <w:sz w:val="28"/>
          <w:szCs w:val="28"/>
          <w:lang w:eastAsia="en-US"/>
        </w:rPr>
        <w:t>недостаточно высокий уровень развития наукоемких производств и инновационной активности</w:t>
      </w:r>
      <w:r w:rsidR="00AF2438" w:rsidRPr="00D20874">
        <w:rPr>
          <w:rFonts w:ascii="Times New Roman" w:hAnsi="Times New Roman"/>
          <w:sz w:val="28"/>
          <w:szCs w:val="28"/>
        </w:rPr>
        <w:t>.</w:t>
      </w:r>
    </w:p>
    <w:p w14:paraId="6FB993E3" w14:textId="232B420B" w:rsidR="00490198" w:rsidRPr="00490198" w:rsidRDefault="00490198" w:rsidP="00A56CAF">
      <w:pPr>
        <w:tabs>
          <w:tab w:val="left" w:pos="720"/>
        </w:tabs>
        <w:spacing w:after="0"/>
        <w:ind w:firstLine="709"/>
        <w:jc w:val="both"/>
        <w:rPr>
          <w:rFonts w:ascii="Times New Roman" w:hAnsi="Times New Roman"/>
          <w:sz w:val="28"/>
          <w:szCs w:val="28"/>
        </w:rPr>
      </w:pPr>
      <w:bookmarkStart w:id="2" w:name="_Hlk80976744"/>
      <w:r w:rsidRPr="00490198">
        <w:rPr>
          <w:rFonts w:ascii="Times New Roman" w:hAnsi="Times New Roman"/>
          <w:sz w:val="28"/>
          <w:szCs w:val="28"/>
        </w:rPr>
        <w:t>Развитие промышленного комплекса городского округа в прогнозном периоде будет происходить в условиях влияния последствий эпидемиологического кризиса</w:t>
      </w:r>
      <w:bookmarkEnd w:id="2"/>
      <w:r w:rsidRPr="00490198">
        <w:rPr>
          <w:rFonts w:ascii="Times New Roman" w:hAnsi="Times New Roman"/>
          <w:sz w:val="28"/>
          <w:szCs w:val="28"/>
        </w:rPr>
        <w:t xml:space="preserve"> и определяться перспективами развития ключевых кластеров, локализованных на территории городского округа Тольятти (химического и автомобилестроительного), а также федеральной поддержкой организаций промышленности по линии Фонда развития промышленности, запуском новых производств, расширение продуктового портфеля за счет выпуска товаров с высоким уровнем качества, повышение производительности труда, развитием </w:t>
      </w:r>
      <w:r w:rsidR="00932FEC" w:rsidRPr="00D20874">
        <w:rPr>
          <w:rFonts w:ascii="Times New Roman" w:hAnsi="Times New Roman"/>
          <w:sz w:val="28"/>
          <w:szCs w:val="28"/>
        </w:rPr>
        <w:t>особ</w:t>
      </w:r>
      <w:r w:rsidR="00932FEC">
        <w:rPr>
          <w:rFonts w:ascii="Times New Roman" w:hAnsi="Times New Roman"/>
          <w:sz w:val="28"/>
          <w:szCs w:val="28"/>
        </w:rPr>
        <w:t>ой</w:t>
      </w:r>
      <w:r w:rsidR="00932FEC" w:rsidRPr="00D20874">
        <w:rPr>
          <w:rFonts w:ascii="Times New Roman" w:hAnsi="Times New Roman"/>
          <w:sz w:val="28"/>
          <w:szCs w:val="28"/>
        </w:rPr>
        <w:t xml:space="preserve"> экономическ</w:t>
      </w:r>
      <w:r w:rsidR="00932FEC">
        <w:rPr>
          <w:rFonts w:ascii="Times New Roman" w:hAnsi="Times New Roman"/>
          <w:sz w:val="28"/>
          <w:szCs w:val="28"/>
        </w:rPr>
        <w:t>ой</w:t>
      </w:r>
      <w:r w:rsidR="00932FEC" w:rsidRPr="00D20874">
        <w:rPr>
          <w:rFonts w:ascii="Times New Roman" w:hAnsi="Times New Roman"/>
          <w:sz w:val="28"/>
          <w:szCs w:val="28"/>
        </w:rPr>
        <w:t xml:space="preserve"> зон</w:t>
      </w:r>
      <w:r w:rsidR="00932FEC">
        <w:rPr>
          <w:rFonts w:ascii="Times New Roman" w:hAnsi="Times New Roman"/>
          <w:sz w:val="28"/>
          <w:szCs w:val="28"/>
        </w:rPr>
        <w:t>ы</w:t>
      </w:r>
      <w:r w:rsidR="00932FEC" w:rsidRPr="00D20874">
        <w:rPr>
          <w:rFonts w:ascii="Times New Roman" w:hAnsi="Times New Roman"/>
          <w:sz w:val="28"/>
          <w:szCs w:val="28"/>
        </w:rPr>
        <w:t xml:space="preserve"> промышленно-производственного типа «Тольятти» (далее - ОЭЗ ППТ «Тольятти»), территори</w:t>
      </w:r>
      <w:r w:rsidR="00932FEC">
        <w:rPr>
          <w:rFonts w:ascii="Times New Roman" w:hAnsi="Times New Roman"/>
          <w:sz w:val="28"/>
          <w:szCs w:val="28"/>
        </w:rPr>
        <w:t>и</w:t>
      </w:r>
      <w:r w:rsidR="00932FEC" w:rsidRPr="00D20874">
        <w:rPr>
          <w:rFonts w:ascii="Times New Roman" w:hAnsi="Times New Roman"/>
          <w:sz w:val="28"/>
          <w:szCs w:val="28"/>
        </w:rPr>
        <w:t xml:space="preserve"> опережающего социально-экономического развития «Тольятти» (далее – ТОСЭР «Тольятти»)</w:t>
      </w:r>
      <w:r w:rsidRPr="00490198">
        <w:rPr>
          <w:rFonts w:ascii="Times New Roman" w:hAnsi="Times New Roman"/>
          <w:sz w:val="28"/>
          <w:szCs w:val="28"/>
        </w:rPr>
        <w:t>, технопарка в сфере высоких технологий «Жигулевская долина», индустриальных парк</w:t>
      </w:r>
      <w:r w:rsidR="00932FEC">
        <w:rPr>
          <w:rFonts w:ascii="Times New Roman" w:hAnsi="Times New Roman"/>
          <w:sz w:val="28"/>
          <w:szCs w:val="28"/>
        </w:rPr>
        <w:t>ов «</w:t>
      </w:r>
      <w:proofErr w:type="spellStart"/>
      <w:r w:rsidR="00932FEC">
        <w:rPr>
          <w:rFonts w:ascii="Times New Roman" w:hAnsi="Times New Roman"/>
          <w:sz w:val="28"/>
          <w:szCs w:val="28"/>
        </w:rPr>
        <w:t>Тольяттисинтез</w:t>
      </w:r>
      <w:proofErr w:type="spellEnd"/>
      <w:r w:rsidR="00932FEC">
        <w:rPr>
          <w:rFonts w:ascii="Times New Roman" w:hAnsi="Times New Roman"/>
          <w:sz w:val="28"/>
          <w:szCs w:val="28"/>
        </w:rPr>
        <w:t>»</w:t>
      </w:r>
      <w:r w:rsidRPr="00490198">
        <w:rPr>
          <w:rFonts w:ascii="Times New Roman" w:hAnsi="Times New Roman"/>
          <w:sz w:val="28"/>
          <w:szCs w:val="28"/>
        </w:rPr>
        <w:t>.</w:t>
      </w:r>
    </w:p>
    <w:p w14:paraId="3D6B6ED1" w14:textId="773C9272" w:rsidR="00490198" w:rsidRPr="00490198" w:rsidRDefault="00490198" w:rsidP="00A56CAF">
      <w:pPr>
        <w:spacing w:after="0"/>
        <w:ind w:firstLine="709"/>
        <w:jc w:val="both"/>
        <w:outlineLvl w:val="0"/>
        <w:rPr>
          <w:rFonts w:ascii="Times New Roman" w:hAnsi="Times New Roman"/>
          <w:sz w:val="28"/>
          <w:szCs w:val="28"/>
        </w:rPr>
      </w:pPr>
      <w:r w:rsidRPr="00490198">
        <w:rPr>
          <w:rFonts w:ascii="Times New Roman" w:hAnsi="Times New Roman"/>
          <w:sz w:val="28"/>
          <w:szCs w:val="28"/>
        </w:rPr>
        <w:t>В случае реализации консервативного варианта прогноза индекс промышленного производства относительно предыдущего года составит: в 2022 году – 101,</w:t>
      </w:r>
      <w:r w:rsidR="00281C35">
        <w:rPr>
          <w:rFonts w:ascii="Times New Roman" w:hAnsi="Times New Roman"/>
          <w:sz w:val="28"/>
          <w:szCs w:val="28"/>
        </w:rPr>
        <w:t>9</w:t>
      </w:r>
      <w:r w:rsidRPr="00490198">
        <w:rPr>
          <w:rFonts w:ascii="Times New Roman" w:hAnsi="Times New Roman"/>
          <w:sz w:val="28"/>
          <w:szCs w:val="28"/>
        </w:rPr>
        <w:t>%, в 2023 году – 10</w:t>
      </w:r>
      <w:r w:rsidR="00281C35">
        <w:rPr>
          <w:rFonts w:ascii="Times New Roman" w:hAnsi="Times New Roman"/>
          <w:sz w:val="28"/>
          <w:szCs w:val="28"/>
        </w:rPr>
        <w:t>2</w:t>
      </w:r>
      <w:r w:rsidRPr="00490198">
        <w:rPr>
          <w:rFonts w:ascii="Times New Roman" w:hAnsi="Times New Roman"/>
          <w:sz w:val="28"/>
          <w:szCs w:val="28"/>
        </w:rPr>
        <w:t>,</w:t>
      </w:r>
      <w:r w:rsidR="00281C35">
        <w:rPr>
          <w:rFonts w:ascii="Times New Roman" w:hAnsi="Times New Roman"/>
          <w:sz w:val="28"/>
          <w:szCs w:val="28"/>
        </w:rPr>
        <w:t>4</w:t>
      </w:r>
      <w:r w:rsidRPr="00490198">
        <w:rPr>
          <w:rFonts w:ascii="Times New Roman" w:hAnsi="Times New Roman"/>
          <w:sz w:val="28"/>
          <w:szCs w:val="28"/>
        </w:rPr>
        <w:t>%, в 2024 году – 102,</w:t>
      </w:r>
      <w:r w:rsidR="00281C35">
        <w:rPr>
          <w:rFonts w:ascii="Times New Roman" w:hAnsi="Times New Roman"/>
          <w:sz w:val="28"/>
          <w:szCs w:val="28"/>
        </w:rPr>
        <w:t>6</w:t>
      </w:r>
      <w:r w:rsidRPr="00490198">
        <w:rPr>
          <w:rFonts w:ascii="Times New Roman" w:hAnsi="Times New Roman"/>
          <w:sz w:val="28"/>
          <w:szCs w:val="28"/>
        </w:rPr>
        <w:t xml:space="preserve">%. </w:t>
      </w:r>
    </w:p>
    <w:p w14:paraId="5D870B6F" w14:textId="6FE81E85"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Индекс производства относительно предыдущего года по базовому варианту будет расти умеренными темпами</w:t>
      </w:r>
      <w:r w:rsidR="00281C35">
        <w:rPr>
          <w:rFonts w:ascii="Times New Roman" w:hAnsi="Times New Roman"/>
          <w:sz w:val="28"/>
          <w:szCs w:val="28"/>
        </w:rPr>
        <w:t xml:space="preserve"> и составит: в 2022 году - 103,8%, в 2023 году – 104</w:t>
      </w:r>
      <w:r w:rsidRPr="00490198">
        <w:rPr>
          <w:rFonts w:ascii="Times New Roman" w:hAnsi="Times New Roman"/>
          <w:sz w:val="28"/>
          <w:szCs w:val="28"/>
        </w:rPr>
        <w:t>,</w:t>
      </w:r>
      <w:r w:rsidR="00281C35">
        <w:rPr>
          <w:rFonts w:ascii="Times New Roman" w:hAnsi="Times New Roman"/>
          <w:sz w:val="28"/>
          <w:szCs w:val="28"/>
        </w:rPr>
        <w:t>3</w:t>
      </w:r>
      <w:r w:rsidRPr="00490198">
        <w:rPr>
          <w:rFonts w:ascii="Times New Roman" w:hAnsi="Times New Roman"/>
          <w:sz w:val="28"/>
          <w:szCs w:val="28"/>
        </w:rPr>
        <w:t>%, в 2024 году – 104,</w:t>
      </w:r>
      <w:r w:rsidR="00281C35">
        <w:rPr>
          <w:rFonts w:ascii="Times New Roman" w:hAnsi="Times New Roman"/>
          <w:sz w:val="28"/>
          <w:szCs w:val="28"/>
        </w:rPr>
        <w:t>6</w:t>
      </w:r>
      <w:r w:rsidRPr="00490198">
        <w:rPr>
          <w:rFonts w:ascii="Times New Roman" w:hAnsi="Times New Roman"/>
          <w:sz w:val="28"/>
          <w:szCs w:val="28"/>
        </w:rPr>
        <w:t xml:space="preserve">%. </w:t>
      </w:r>
    </w:p>
    <w:p w14:paraId="20CE946B" w14:textId="77777777"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 xml:space="preserve">Объем отгруженной промышленной продукции в 2022–2024 годах также будет расти и составит: </w:t>
      </w:r>
    </w:p>
    <w:p w14:paraId="30208059" w14:textId="4D9177F6"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 xml:space="preserve">- в 2022 году - по консервативному варианту – </w:t>
      </w:r>
      <w:r w:rsidR="00281C35">
        <w:rPr>
          <w:rFonts w:ascii="Times New Roman" w:hAnsi="Times New Roman"/>
          <w:sz w:val="28"/>
          <w:szCs w:val="28"/>
        </w:rPr>
        <w:t>648 258,7</w:t>
      </w:r>
      <w:r w:rsidRPr="00490198">
        <w:rPr>
          <w:rFonts w:ascii="Times New Roman" w:hAnsi="Times New Roman"/>
          <w:sz w:val="28"/>
          <w:szCs w:val="28"/>
        </w:rPr>
        <w:t xml:space="preserve"> млн. </w:t>
      </w:r>
      <w:r w:rsidR="00EA5C0A">
        <w:rPr>
          <w:rFonts w:ascii="Times New Roman" w:hAnsi="Times New Roman"/>
          <w:sz w:val="28"/>
          <w:szCs w:val="28"/>
        </w:rPr>
        <w:t>рублей</w:t>
      </w:r>
      <w:r w:rsidRPr="00490198">
        <w:rPr>
          <w:rFonts w:ascii="Times New Roman" w:hAnsi="Times New Roman"/>
          <w:sz w:val="28"/>
          <w:szCs w:val="28"/>
        </w:rPr>
        <w:t xml:space="preserve">, по базовому варианту прогноза – </w:t>
      </w:r>
      <w:r w:rsidR="00281C35">
        <w:rPr>
          <w:rFonts w:ascii="Times New Roman" w:hAnsi="Times New Roman"/>
          <w:sz w:val="28"/>
          <w:szCs w:val="28"/>
        </w:rPr>
        <w:t>658 089,7</w:t>
      </w:r>
      <w:r w:rsidRPr="00490198">
        <w:rPr>
          <w:rFonts w:ascii="Times New Roman" w:hAnsi="Times New Roman"/>
          <w:sz w:val="28"/>
          <w:szCs w:val="28"/>
        </w:rPr>
        <w:t xml:space="preserve"> млн. </w:t>
      </w:r>
      <w:r w:rsidR="00EA5C0A">
        <w:rPr>
          <w:rFonts w:ascii="Times New Roman" w:hAnsi="Times New Roman"/>
          <w:sz w:val="28"/>
          <w:szCs w:val="28"/>
        </w:rPr>
        <w:t>рублей</w:t>
      </w:r>
      <w:r w:rsidRPr="00490198">
        <w:rPr>
          <w:rFonts w:ascii="Times New Roman" w:hAnsi="Times New Roman"/>
          <w:sz w:val="28"/>
          <w:szCs w:val="28"/>
        </w:rPr>
        <w:t>;</w:t>
      </w:r>
    </w:p>
    <w:p w14:paraId="69E8A800" w14:textId="60B40726"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lastRenderedPageBreak/>
        <w:t xml:space="preserve">- в 2023 году - по консервативному варианту – </w:t>
      </w:r>
      <w:r w:rsidR="00281C35">
        <w:rPr>
          <w:rFonts w:ascii="Times New Roman" w:hAnsi="Times New Roman"/>
          <w:sz w:val="28"/>
          <w:szCs w:val="28"/>
        </w:rPr>
        <w:t>692 005,0</w:t>
      </w:r>
      <w:r w:rsidRPr="00490198">
        <w:rPr>
          <w:rFonts w:ascii="Times New Roman" w:hAnsi="Times New Roman"/>
          <w:sz w:val="28"/>
          <w:szCs w:val="28"/>
        </w:rPr>
        <w:t xml:space="preserve"> млн. </w:t>
      </w:r>
      <w:r w:rsidR="00EA5C0A">
        <w:rPr>
          <w:rFonts w:ascii="Times New Roman" w:hAnsi="Times New Roman"/>
          <w:sz w:val="28"/>
          <w:szCs w:val="28"/>
        </w:rPr>
        <w:t>рублей</w:t>
      </w:r>
      <w:r w:rsidRPr="00490198">
        <w:rPr>
          <w:rFonts w:ascii="Times New Roman" w:hAnsi="Times New Roman"/>
          <w:sz w:val="28"/>
          <w:szCs w:val="28"/>
        </w:rPr>
        <w:t xml:space="preserve">, по базовому варианту прогноза – </w:t>
      </w:r>
      <w:r w:rsidR="00281C35">
        <w:rPr>
          <w:rFonts w:ascii="Times New Roman" w:hAnsi="Times New Roman"/>
          <w:sz w:val="28"/>
          <w:szCs w:val="28"/>
        </w:rPr>
        <w:t>713 964,7</w:t>
      </w:r>
      <w:r w:rsidRPr="00490198">
        <w:rPr>
          <w:rFonts w:ascii="Times New Roman" w:hAnsi="Times New Roman"/>
          <w:sz w:val="28"/>
          <w:szCs w:val="28"/>
        </w:rPr>
        <w:t xml:space="preserve"> млн. </w:t>
      </w:r>
      <w:r w:rsidR="00EA5C0A">
        <w:rPr>
          <w:rFonts w:ascii="Times New Roman" w:hAnsi="Times New Roman"/>
          <w:sz w:val="28"/>
          <w:szCs w:val="28"/>
        </w:rPr>
        <w:t>рублей</w:t>
      </w:r>
      <w:r w:rsidRPr="00490198">
        <w:rPr>
          <w:rFonts w:ascii="Times New Roman" w:hAnsi="Times New Roman"/>
          <w:sz w:val="28"/>
          <w:szCs w:val="28"/>
        </w:rPr>
        <w:t>;</w:t>
      </w:r>
    </w:p>
    <w:p w14:paraId="1D8207C1" w14:textId="79777F7D" w:rsid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 xml:space="preserve">- в 2024 году - по консервативному варианту – </w:t>
      </w:r>
      <w:r w:rsidR="00281C35">
        <w:rPr>
          <w:rFonts w:ascii="Times New Roman" w:hAnsi="Times New Roman"/>
          <w:sz w:val="28"/>
          <w:szCs w:val="28"/>
        </w:rPr>
        <w:t>741 652,0</w:t>
      </w:r>
      <w:r w:rsidRPr="00490198">
        <w:rPr>
          <w:rFonts w:ascii="Times New Roman" w:hAnsi="Times New Roman"/>
          <w:sz w:val="28"/>
          <w:szCs w:val="28"/>
        </w:rPr>
        <w:t xml:space="preserve"> млн. </w:t>
      </w:r>
      <w:r w:rsidR="00EA5C0A">
        <w:rPr>
          <w:rFonts w:ascii="Times New Roman" w:hAnsi="Times New Roman"/>
          <w:sz w:val="28"/>
          <w:szCs w:val="28"/>
        </w:rPr>
        <w:t>рублей</w:t>
      </w:r>
      <w:r w:rsidRPr="00490198">
        <w:rPr>
          <w:rFonts w:ascii="Times New Roman" w:hAnsi="Times New Roman"/>
          <w:sz w:val="28"/>
          <w:szCs w:val="28"/>
        </w:rPr>
        <w:t xml:space="preserve">, по базовому варианту прогноза – </w:t>
      </w:r>
      <w:r w:rsidR="00281C35">
        <w:rPr>
          <w:rFonts w:ascii="Times New Roman" w:hAnsi="Times New Roman"/>
          <w:sz w:val="28"/>
          <w:szCs w:val="28"/>
        </w:rPr>
        <w:t>779 104,4</w:t>
      </w:r>
      <w:r w:rsidRPr="00490198">
        <w:rPr>
          <w:rFonts w:ascii="Times New Roman" w:hAnsi="Times New Roman"/>
          <w:sz w:val="28"/>
          <w:szCs w:val="28"/>
        </w:rPr>
        <w:t xml:space="preserve"> млн. </w:t>
      </w:r>
      <w:r w:rsidR="00EA5C0A">
        <w:rPr>
          <w:rFonts w:ascii="Times New Roman" w:hAnsi="Times New Roman"/>
          <w:sz w:val="28"/>
          <w:szCs w:val="28"/>
        </w:rPr>
        <w:t>рублей</w:t>
      </w:r>
      <w:r w:rsidRPr="00490198">
        <w:rPr>
          <w:rFonts w:ascii="Times New Roman" w:hAnsi="Times New Roman"/>
          <w:sz w:val="28"/>
          <w:szCs w:val="28"/>
        </w:rPr>
        <w:t>.</w:t>
      </w:r>
    </w:p>
    <w:p w14:paraId="7103E76D" w14:textId="0B409603" w:rsidR="006950A3" w:rsidRDefault="00090D4B" w:rsidP="00A56CAF">
      <w:pPr>
        <w:spacing w:after="0"/>
        <w:ind w:firstLine="709"/>
        <w:jc w:val="both"/>
        <w:rPr>
          <w:rFonts w:ascii="Times New Roman" w:hAnsi="Times New Roman"/>
          <w:sz w:val="28"/>
          <w:szCs w:val="28"/>
        </w:rPr>
      </w:pPr>
      <w:r w:rsidRPr="000F5EC3">
        <w:rPr>
          <w:rFonts w:ascii="Times New Roman" w:hAnsi="Times New Roman"/>
          <w:sz w:val="28"/>
          <w:szCs w:val="28"/>
        </w:rPr>
        <w:t xml:space="preserve">Прогнозные значения показателей промышленного сектора скорректированы </w:t>
      </w:r>
      <w:r w:rsidR="000F5EC3">
        <w:rPr>
          <w:rFonts w:ascii="Times New Roman" w:hAnsi="Times New Roman"/>
          <w:sz w:val="28"/>
          <w:szCs w:val="28"/>
        </w:rPr>
        <w:t>относительно прошлогодних параметров</w:t>
      </w:r>
      <w:r w:rsidR="006950A3">
        <w:rPr>
          <w:rFonts w:ascii="Times New Roman" w:hAnsi="Times New Roman"/>
          <w:sz w:val="28"/>
          <w:szCs w:val="28"/>
        </w:rPr>
        <w:t xml:space="preserve"> прогноза с </w:t>
      </w:r>
      <w:proofErr w:type="gramStart"/>
      <w:r w:rsidR="006950A3">
        <w:rPr>
          <w:rFonts w:ascii="Times New Roman" w:hAnsi="Times New Roman"/>
          <w:sz w:val="28"/>
          <w:szCs w:val="28"/>
        </w:rPr>
        <w:t xml:space="preserve">учетом </w:t>
      </w:r>
      <w:r w:rsidR="000F5EC3">
        <w:rPr>
          <w:rFonts w:ascii="Times New Roman" w:hAnsi="Times New Roman"/>
          <w:sz w:val="28"/>
          <w:szCs w:val="28"/>
        </w:rPr>
        <w:t xml:space="preserve"> </w:t>
      </w:r>
      <w:r w:rsidR="006950A3" w:rsidRPr="000F5EC3">
        <w:rPr>
          <w:rFonts w:ascii="Times New Roman" w:hAnsi="Times New Roman"/>
          <w:sz w:val="28"/>
          <w:szCs w:val="28"/>
        </w:rPr>
        <w:t>фактически</w:t>
      </w:r>
      <w:r w:rsidR="006950A3">
        <w:rPr>
          <w:rFonts w:ascii="Times New Roman" w:hAnsi="Times New Roman"/>
          <w:sz w:val="28"/>
          <w:szCs w:val="28"/>
        </w:rPr>
        <w:t>х</w:t>
      </w:r>
      <w:proofErr w:type="gramEnd"/>
      <w:r w:rsidR="006950A3" w:rsidRPr="000F5EC3">
        <w:rPr>
          <w:rFonts w:ascii="Times New Roman" w:hAnsi="Times New Roman"/>
          <w:sz w:val="28"/>
          <w:szCs w:val="28"/>
        </w:rPr>
        <w:t xml:space="preserve"> значени</w:t>
      </w:r>
      <w:r w:rsidR="006950A3">
        <w:rPr>
          <w:rFonts w:ascii="Times New Roman" w:hAnsi="Times New Roman"/>
          <w:sz w:val="28"/>
          <w:szCs w:val="28"/>
        </w:rPr>
        <w:t>й</w:t>
      </w:r>
      <w:r w:rsidR="006950A3" w:rsidRPr="000F5EC3">
        <w:rPr>
          <w:rFonts w:ascii="Times New Roman" w:hAnsi="Times New Roman"/>
          <w:sz w:val="28"/>
          <w:szCs w:val="28"/>
        </w:rPr>
        <w:t xml:space="preserve"> показателей промышленного производства, сложившихся в 2020-2021 годах</w:t>
      </w:r>
      <w:r w:rsidR="006950A3">
        <w:rPr>
          <w:rFonts w:ascii="Times New Roman" w:hAnsi="Times New Roman"/>
          <w:sz w:val="28"/>
          <w:szCs w:val="28"/>
        </w:rPr>
        <w:t>, что, в свою очередь привело к  корректировке производственных планов крупных промышленных предприятий города.</w:t>
      </w:r>
    </w:p>
    <w:p w14:paraId="2AB8DF1D" w14:textId="565C081D" w:rsidR="00090D4B" w:rsidRPr="00490198" w:rsidRDefault="006950A3" w:rsidP="00A56CAF">
      <w:pPr>
        <w:spacing w:after="0"/>
        <w:ind w:firstLine="709"/>
        <w:jc w:val="both"/>
        <w:rPr>
          <w:rFonts w:ascii="Times New Roman" w:hAnsi="Times New Roman"/>
          <w:sz w:val="28"/>
          <w:szCs w:val="28"/>
        </w:rPr>
      </w:pPr>
      <w:r>
        <w:rPr>
          <w:rFonts w:ascii="Times New Roman" w:hAnsi="Times New Roman"/>
          <w:sz w:val="28"/>
          <w:szCs w:val="28"/>
        </w:rPr>
        <w:t xml:space="preserve">Так, </w:t>
      </w:r>
      <w:r w:rsidR="000F5EC3" w:rsidRPr="000F5EC3">
        <w:rPr>
          <w:rFonts w:ascii="Times New Roman" w:hAnsi="Times New Roman"/>
          <w:sz w:val="28"/>
          <w:szCs w:val="28"/>
        </w:rPr>
        <w:t>в связи с более высокими</w:t>
      </w:r>
      <w:r>
        <w:rPr>
          <w:rFonts w:ascii="Times New Roman" w:hAnsi="Times New Roman"/>
          <w:sz w:val="28"/>
          <w:szCs w:val="28"/>
        </w:rPr>
        <w:t xml:space="preserve"> </w:t>
      </w:r>
      <w:r w:rsidR="007B0774">
        <w:rPr>
          <w:rFonts w:ascii="Times New Roman" w:hAnsi="Times New Roman"/>
          <w:sz w:val="28"/>
          <w:szCs w:val="28"/>
        </w:rPr>
        <w:t xml:space="preserve">фактическими </w:t>
      </w:r>
      <w:r>
        <w:rPr>
          <w:rFonts w:ascii="Times New Roman" w:hAnsi="Times New Roman"/>
          <w:sz w:val="28"/>
          <w:szCs w:val="28"/>
        </w:rPr>
        <w:t xml:space="preserve">значениями индексов-дефляторов </w:t>
      </w:r>
      <w:r w:rsidR="007B0774">
        <w:rPr>
          <w:rFonts w:ascii="Times New Roman" w:hAnsi="Times New Roman"/>
          <w:sz w:val="28"/>
          <w:szCs w:val="28"/>
        </w:rPr>
        <w:t xml:space="preserve">промышленности (в 2021 году оценочно составит 117,1% вместо ранее прогнозируемого 105,2%-104,0%), </w:t>
      </w:r>
      <w:r>
        <w:rPr>
          <w:rFonts w:ascii="Times New Roman" w:hAnsi="Times New Roman"/>
          <w:sz w:val="28"/>
          <w:szCs w:val="28"/>
        </w:rPr>
        <w:t>которые сложились в ре</w:t>
      </w:r>
      <w:r w:rsidR="007B0774">
        <w:rPr>
          <w:rFonts w:ascii="Times New Roman" w:hAnsi="Times New Roman"/>
          <w:sz w:val="28"/>
          <w:szCs w:val="28"/>
        </w:rPr>
        <w:t xml:space="preserve">зультате роста цен на </w:t>
      </w:r>
      <w:r w:rsidR="00593886">
        <w:rPr>
          <w:rFonts w:ascii="Times New Roman" w:hAnsi="Times New Roman"/>
          <w:sz w:val="28"/>
          <w:szCs w:val="28"/>
        </w:rPr>
        <w:t xml:space="preserve">российском и </w:t>
      </w:r>
      <w:r w:rsidR="007B0774">
        <w:rPr>
          <w:rFonts w:ascii="Times New Roman" w:hAnsi="Times New Roman"/>
          <w:sz w:val="28"/>
          <w:szCs w:val="28"/>
        </w:rPr>
        <w:t xml:space="preserve">мировом рынке, прогнозные объемы отгруженной промышленной продукции </w:t>
      </w:r>
      <w:r w:rsidR="000F5EC3">
        <w:rPr>
          <w:rFonts w:ascii="Times New Roman" w:hAnsi="Times New Roman"/>
          <w:sz w:val="28"/>
          <w:szCs w:val="28"/>
        </w:rPr>
        <w:t xml:space="preserve"> увеличены </w:t>
      </w:r>
      <w:r>
        <w:rPr>
          <w:rFonts w:ascii="Times New Roman" w:hAnsi="Times New Roman"/>
          <w:sz w:val="28"/>
          <w:szCs w:val="28"/>
        </w:rPr>
        <w:t xml:space="preserve">на 88 и 68 млрд. рублей на 2022 год, и на 91 и 63 млрд. рублей на 2023 год по вариантам прогноза. При этом значения индекса промышленного производства </w:t>
      </w:r>
      <w:r w:rsidR="007B0774">
        <w:rPr>
          <w:rFonts w:ascii="Times New Roman" w:hAnsi="Times New Roman"/>
          <w:sz w:val="28"/>
          <w:szCs w:val="28"/>
        </w:rPr>
        <w:t>скорректированы незначительно ввиду наличия негативных факторов, сдерживающих более динамичный рост производства.</w:t>
      </w:r>
    </w:p>
    <w:p w14:paraId="20704557" w14:textId="77777777"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Существенный вклад в формирование динамики объемов производства внесет эффективная деятельность основных крупных промышленных предприятий автомобилестроения и химической отрасли.</w:t>
      </w:r>
    </w:p>
    <w:p w14:paraId="1F322367" w14:textId="48D9B847" w:rsidR="00490198" w:rsidRPr="00490198" w:rsidRDefault="00490198" w:rsidP="00A56CAF">
      <w:pPr>
        <w:spacing w:after="0"/>
        <w:ind w:firstLine="709"/>
        <w:jc w:val="both"/>
        <w:rPr>
          <w:rFonts w:ascii="Times New Roman" w:hAnsi="Times New Roman"/>
          <w:iCs/>
          <w:sz w:val="28"/>
          <w:szCs w:val="28"/>
        </w:rPr>
      </w:pPr>
      <w:r w:rsidRPr="00490198">
        <w:rPr>
          <w:rFonts w:ascii="Times New Roman" w:hAnsi="Times New Roman"/>
          <w:sz w:val="28"/>
          <w:szCs w:val="28"/>
        </w:rPr>
        <w:t xml:space="preserve">На динамику промышленного производства окажет влияние реализация инвестиционных проектов </w:t>
      </w:r>
      <w:r w:rsidR="00123D5E">
        <w:rPr>
          <w:rFonts w:ascii="Times New Roman" w:hAnsi="Times New Roman"/>
          <w:sz w:val="28"/>
          <w:szCs w:val="28"/>
        </w:rPr>
        <w:t xml:space="preserve">резидентов </w:t>
      </w:r>
      <w:r w:rsidRPr="00490198">
        <w:rPr>
          <w:rFonts w:ascii="Times New Roman" w:hAnsi="Times New Roman"/>
          <w:iCs/>
          <w:sz w:val="28"/>
          <w:szCs w:val="28"/>
        </w:rPr>
        <w:t xml:space="preserve">ТОСЭР </w:t>
      </w:r>
      <w:r w:rsidR="00123D5E">
        <w:rPr>
          <w:rFonts w:ascii="Times New Roman" w:hAnsi="Times New Roman"/>
          <w:iCs/>
          <w:sz w:val="28"/>
          <w:szCs w:val="28"/>
        </w:rPr>
        <w:t>«Тольятти»</w:t>
      </w:r>
      <w:r w:rsidR="00932FEC">
        <w:rPr>
          <w:rFonts w:ascii="Times New Roman" w:hAnsi="Times New Roman"/>
          <w:iCs/>
          <w:sz w:val="28"/>
          <w:szCs w:val="28"/>
        </w:rPr>
        <w:t>, б</w:t>
      </w:r>
      <w:r w:rsidRPr="00490198">
        <w:rPr>
          <w:rFonts w:ascii="Times New Roman" w:hAnsi="Times New Roman"/>
          <w:iCs/>
          <w:sz w:val="28"/>
          <w:szCs w:val="28"/>
        </w:rPr>
        <w:t xml:space="preserve">ольшинство </w:t>
      </w:r>
      <w:r w:rsidR="00932FEC">
        <w:rPr>
          <w:rFonts w:ascii="Times New Roman" w:hAnsi="Times New Roman"/>
          <w:iCs/>
          <w:sz w:val="28"/>
          <w:szCs w:val="28"/>
        </w:rPr>
        <w:t>из которых</w:t>
      </w:r>
      <w:r w:rsidRPr="00490198">
        <w:rPr>
          <w:rFonts w:ascii="Times New Roman" w:hAnsi="Times New Roman"/>
          <w:iCs/>
          <w:sz w:val="28"/>
          <w:szCs w:val="28"/>
        </w:rPr>
        <w:t xml:space="preserve"> приступили к реализации проектов в различных видах промышленной деятельности (производство пищевых продуктов, кожгалантерейных изделий, вентиляционного оборудования, светодиодного оборудования, радиаторов отопления, мебели и т.д.), что будет способствовать росту объемов и разнообразию видов производимой в городе продукции.</w:t>
      </w:r>
    </w:p>
    <w:p w14:paraId="6BD8F2C3" w14:textId="2EF98280" w:rsidR="009A17C3" w:rsidRPr="009A17C3" w:rsidRDefault="00490198" w:rsidP="009A17C3">
      <w:pPr>
        <w:spacing w:after="0"/>
        <w:ind w:firstLine="709"/>
        <w:jc w:val="both"/>
        <w:rPr>
          <w:rFonts w:ascii="Times New Roman" w:hAnsi="Times New Roman"/>
          <w:sz w:val="28"/>
          <w:szCs w:val="28"/>
        </w:rPr>
      </w:pPr>
      <w:r w:rsidRPr="00490198">
        <w:rPr>
          <w:rFonts w:ascii="Times New Roman" w:hAnsi="Times New Roman"/>
          <w:sz w:val="28"/>
          <w:szCs w:val="28"/>
        </w:rPr>
        <w:t>По виду экономической деятельности «Производство автотранспортных средств, прицепов и полуприцепов» по обоим вариантам прогнозируется умеренный рост объемов производства</w:t>
      </w:r>
      <w:r w:rsidR="009A17C3">
        <w:rPr>
          <w:rFonts w:ascii="Times New Roman" w:hAnsi="Times New Roman"/>
          <w:sz w:val="28"/>
          <w:szCs w:val="28"/>
        </w:rPr>
        <w:t xml:space="preserve">, который будет достигнут при условии </w:t>
      </w:r>
      <w:r w:rsidR="009A17C3" w:rsidRPr="009A17C3">
        <w:rPr>
          <w:rFonts w:ascii="Times New Roman" w:hAnsi="Times New Roman"/>
          <w:sz w:val="28"/>
          <w:szCs w:val="28"/>
        </w:rPr>
        <w:t xml:space="preserve">стабильного положения </w:t>
      </w:r>
      <w:r w:rsidR="009A17C3">
        <w:rPr>
          <w:rFonts w:ascii="Times New Roman" w:hAnsi="Times New Roman"/>
          <w:sz w:val="28"/>
          <w:szCs w:val="28"/>
        </w:rPr>
        <w:t xml:space="preserve">как </w:t>
      </w:r>
      <w:r w:rsidR="009A17C3" w:rsidRPr="009A17C3">
        <w:rPr>
          <w:rFonts w:ascii="Times New Roman" w:hAnsi="Times New Roman"/>
          <w:sz w:val="28"/>
          <w:szCs w:val="28"/>
        </w:rPr>
        <w:t>градообразующего предприятия АО «АВТОВАЗ»</w:t>
      </w:r>
      <w:r w:rsidR="009A17C3">
        <w:rPr>
          <w:rFonts w:ascii="Times New Roman" w:hAnsi="Times New Roman"/>
          <w:sz w:val="28"/>
          <w:szCs w:val="28"/>
        </w:rPr>
        <w:t xml:space="preserve">, так и </w:t>
      </w:r>
      <w:r w:rsidR="009A17C3" w:rsidRPr="009A17C3">
        <w:rPr>
          <w:rFonts w:ascii="Times New Roman" w:hAnsi="Times New Roman"/>
          <w:sz w:val="28"/>
          <w:szCs w:val="28"/>
        </w:rPr>
        <w:t>предприятий</w:t>
      </w:r>
      <w:r w:rsidR="009A17C3">
        <w:rPr>
          <w:rFonts w:ascii="Times New Roman" w:hAnsi="Times New Roman"/>
          <w:sz w:val="28"/>
          <w:szCs w:val="28"/>
        </w:rPr>
        <w:t xml:space="preserve"> </w:t>
      </w:r>
      <w:r w:rsidR="009A17C3" w:rsidRPr="009A17C3">
        <w:rPr>
          <w:rFonts w:ascii="Times New Roman" w:hAnsi="Times New Roman"/>
          <w:sz w:val="28"/>
          <w:szCs w:val="28"/>
        </w:rPr>
        <w:t>-</w:t>
      </w:r>
      <w:r w:rsidR="009A17C3">
        <w:rPr>
          <w:rFonts w:ascii="Times New Roman" w:hAnsi="Times New Roman"/>
          <w:sz w:val="28"/>
          <w:szCs w:val="28"/>
        </w:rPr>
        <w:t xml:space="preserve"> </w:t>
      </w:r>
      <w:r w:rsidR="009A17C3" w:rsidRPr="009A17C3">
        <w:rPr>
          <w:rFonts w:ascii="Times New Roman" w:hAnsi="Times New Roman"/>
          <w:sz w:val="28"/>
          <w:szCs w:val="28"/>
        </w:rPr>
        <w:t>производителей автомобильных компонентов.</w:t>
      </w:r>
    </w:p>
    <w:p w14:paraId="41B62BB5" w14:textId="50ECE71E"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 xml:space="preserve">Всего по городскому округу Тольятти по консервативному и базовому вариантам прогноза в 2024 году будет произведено </w:t>
      </w:r>
      <w:r w:rsidR="00281C35">
        <w:rPr>
          <w:rFonts w:ascii="Times New Roman" w:hAnsi="Times New Roman"/>
          <w:sz w:val="28"/>
          <w:szCs w:val="28"/>
        </w:rPr>
        <w:t>370,8</w:t>
      </w:r>
      <w:r w:rsidRPr="00490198">
        <w:rPr>
          <w:rFonts w:ascii="Times New Roman" w:hAnsi="Times New Roman"/>
          <w:sz w:val="28"/>
          <w:szCs w:val="28"/>
        </w:rPr>
        <w:t xml:space="preserve"> </w:t>
      </w:r>
      <w:r w:rsidR="00281C35">
        <w:rPr>
          <w:rFonts w:ascii="Times New Roman" w:hAnsi="Times New Roman"/>
          <w:sz w:val="28"/>
          <w:szCs w:val="28"/>
        </w:rPr>
        <w:t>тыс.</w:t>
      </w:r>
      <w:r w:rsidRPr="00490198">
        <w:rPr>
          <w:rFonts w:ascii="Times New Roman" w:hAnsi="Times New Roman"/>
          <w:sz w:val="28"/>
          <w:szCs w:val="28"/>
        </w:rPr>
        <w:t xml:space="preserve"> </w:t>
      </w:r>
      <w:r w:rsidR="00090D4B" w:rsidRPr="00490198">
        <w:rPr>
          <w:rFonts w:ascii="Times New Roman" w:hAnsi="Times New Roman"/>
          <w:sz w:val="28"/>
          <w:szCs w:val="28"/>
        </w:rPr>
        <w:t xml:space="preserve">легковых </w:t>
      </w:r>
      <w:r w:rsidR="00090D4B" w:rsidRPr="00490198">
        <w:rPr>
          <w:rFonts w:ascii="Times New Roman" w:hAnsi="Times New Roman"/>
          <w:sz w:val="28"/>
          <w:szCs w:val="28"/>
        </w:rPr>
        <w:lastRenderedPageBreak/>
        <w:t>автомобилей</w:t>
      </w:r>
      <w:r w:rsidRPr="00490198">
        <w:rPr>
          <w:rFonts w:ascii="Times New Roman" w:hAnsi="Times New Roman"/>
          <w:sz w:val="28"/>
          <w:szCs w:val="28"/>
        </w:rPr>
        <w:t xml:space="preserve"> (на </w:t>
      </w:r>
      <w:r w:rsidR="00281C35">
        <w:rPr>
          <w:rFonts w:ascii="Times New Roman" w:hAnsi="Times New Roman"/>
          <w:sz w:val="28"/>
          <w:szCs w:val="28"/>
        </w:rPr>
        <w:t>10</w:t>
      </w:r>
      <w:r w:rsidRPr="00490198">
        <w:rPr>
          <w:rFonts w:ascii="Times New Roman" w:hAnsi="Times New Roman"/>
          <w:sz w:val="28"/>
          <w:szCs w:val="28"/>
        </w:rPr>
        <w:t>% больше 202</w:t>
      </w:r>
      <w:r w:rsidR="00281C35">
        <w:rPr>
          <w:rFonts w:ascii="Times New Roman" w:hAnsi="Times New Roman"/>
          <w:sz w:val="28"/>
          <w:szCs w:val="28"/>
        </w:rPr>
        <w:t>1</w:t>
      </w:r>
      <w:r w:rsidRPr="00490198">
        <w:rPr>
          <w:rFonts w:ascii="Times New Roman" w:hAnsi="Times New Roman"/>
          <w:sz w:val="28"/>
          <w:szCs w:val="28"/>
        </w:rPr>
        <w:t xml:space="preserve"> года) и </w:t>
      </w:r>
      <w:r w:rsidR="00281C35">
        <w:rPr>
          <w:rFonts w:ascii="Times New Roman" w:hAnsi="Times New Roman"/>
          <w:sz w:val="28"/>
          <w:szCs w:val="28"/>
        </w:rPr>
        <w:t>394,6</w:t>
      </w:r>
      <w:r w:rsidRPr="00490198">
        <w:rPr>
          <w:rFonts w:ascii="Times New Roman" w:hAnsi="Times New Roman"/>
          <w:sz w:val="28"/>
          <w:szCs w:val="28"/>
        </w:rPr>
        <w:t xml:space="preserve"> </w:t>
      </w:r>
      <w:r w:rsidR="00281C35">
        <w:rPr>
          <w:rFonts w:ascii="Times New Roman" w:hAnsi="Times New Roman"/>
          <w:sz w:val="28"/>
          <w:szCs w:val="28"/>
        </w:rPr>
        <w:t>тыс.</w:t>
      </w:r>
      <w:r w:rsidR="00932FEC">
        <w:rPr>
          <w:rFonts w:ascii="Times New Roman" w:hAnsi="Times New Roman"/>
          <w:sz w:val="28"/>
          <w:szCs w:val="28"/>
        </w:rPr>
        <w:t xml:space="preserve"> </w:t>
      </w:r>
      <w:r w:rsidRPr="00490198">
        <w:rPr>
          <w:rFonts w:ascii="Times New Roman" w:hAnsi="Times New Roman"/>
          <w:sz w:val="28"/>
          <w:szCs w:val="28"/>
        </w:rPr>
        <w:t xml:space="preserve">штук (на </w:t>
      </w:r>
      <w:r w:rsidR="00281C35">
        <w:rPr>
          <w:rFonts w:ascii="Times New Roman" w:hAnsi="Times New Roman"/>
          <w:sz w:val="28"/>
          <w:szCs w:val="28"/>
        </w:rPr>
        <w:t>17,1</w:t>
      </w:r>
      <w:r w:rsidRPr="00490198">
        <w:rPr>
          <w:rFonts w:ascii="Times New Roman" w:hAnsi="Times New Roman"/>
          <w:sz w:val="28"/>
          <w:szCs w:val="28"/>
        </w:rPr>
        <w:t>% больше 202</w:t>
      </w:r>
      <w:r w:rsidR="00281C35">
        <w:rPr>
          <w:rFonts w:ascii="Times New Roman" w:hAnsi="Times New Roman"/>
          <w:sz w:val="28"/>
          <w:szCs w:val="28"/>
        </w:rPr>
        <w:t>1</w:t>
      </w:r>
      <w:r w:rsidRPr="00490198">
        <w:rPr>
          <w:rFonts w:ascii="Times New Roman" w:hAnsi="Times New Roman"/>
          <w:sz w:val="28"/>
          <w:szCs w:val="28"/>
        </w:rPr>
        <w:t xml:space="preserve"> года) соответственно. </w:t>
      </w:r>
    </w:p>
    <w:p w14:paraId="04B79467" w14:textId="248F75D9"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 xml:space="preserve">Объем отгруженной продукции автомобильной промышленности к 2024 году достигнет: по консервативному варианту прогноза – </w:t>
      </w:r>
      <w:r w:rsidR="00281C35">
        <w:rPr>
          <w:rFonts w:ascii="Times New Roman" w:hAnsi="Times New Roman"/>
          <w:sz w:val="28"/>
          <w:szCs w:val="28"/>
        </w:rPr>
        <w:t>422 696,3</w:t>
      </w:r>
      <w:r w:rsidRPr="00490198">
        <w:rPr>
          <w:rFonts w:ascii="Times New Roman" w:hAnsi="Times New Roman"/>
          <w:sz w:val="28"/>
          <w:szCs w:val="28"/>
        </w:rPr>
        <w:t xml:space="preserve"> млн. </w:t>
      </w:r>
      <w:r w:rsidR="00EA5C0A">
        <w:rPr>
          <w:rFonts w:ascii="Times New Roman" w:hAnsi="Times New Roman"/>
          <w:sz w:val="28"/>
          <w:szCs w:val="28"/>
        </w:rPr>
        <w:t>рублей</w:t>
      </w:r>
      <w:r w:rsidRPr="00490198">
        <w:rPr>
          <w:rFonts w:ascii="Times New Roman" w:hAnsi="Times New Roman"/>
          <w:sz w:val="28"/>
          <w:szCs w:val="28"/>
        </w:rPr>
        <w:t xml:space="preserve">, по базовому варианту – </w:t>
      </w:r>
      <w:r w:rsidR="00281C35">
        <w:rPr>
          <w:rFonts w:ascii="Times New Roman" w:hAnsi="Times New Roman"/>
          <w:sz w:val="28"/>
          <w:szCs w:val="28"/>
        </w:rPr>
        <w:t>446 424,1</w:t>
      </w:r>
      <w:r w:rsidRPr="00490198">
        <w:rPr>
          <w:rFonts w:ascii="Times New Roman" w:hAnsi="Times New Roman"/>
          <w:sz w:val="28"/>
          <w:szCs w:val="28"/>
        </w:rPr>
        <w:t xml:space="preserve"> млн. </w:t>
      </w:r>
      <w:r w:rsidR="00EA5C0A">
        <w:rPr>
          <w:rFonts w:ascii="Times New Roman" w:hAnsi="Times New Roman"/>
          <w:sz w:val="28"/>
          <w:szCs w:val="28"/>
        </w:rPr>
        <w:t>рублей</w:t>
      </w:r>
      <w:r w:rsidRPr="00490198">
        <w:rPr>
          <w:rFonts w:ascii="Times New Roman" w:hAnsi="Times New Roman"/>
          <w:sz w:val="28"/>
          <w:szCs w:val="28"/>
        </w:rPr>
        <w:t xml:space="preserve">.  </w:t>
      </w:r>
    </w:p>
    <w:p w14:paraId="76395150" w14:textId="6E303206" w:rsidR="00490198" w:rsidRDefault="00281C35" w:rsidP="00A56CAF">
      <w:pPr>
        <w:spacing w:after="0"/>
        <w:ind w:firstLine="709"/>
        <w:jc w:val="both"/>
        <w:rPr>
          <w:rFonts w:ascii="Times New Roman" w:hAnsi="Times New Roman"/>
          <w:sz w:val="28"/>
          <w:szCs w:val="28"/>
        </w:rPr>
      </w:pPr>
      <w:r>
        <w:rPr>
          <w:rFonts w:ascii="Times New Roman" w:hAnsi="Times New Roman"/>
          <w:sz w:val="28"/>
          <w:szCs w:val="28"/>
        </w:rPr>
        <w:t>АО «</w:t>
      </w:r>
      <w:r w:rsidR="00490198" w:rsidRPr="00281C35">
        <w:rPr>
          <w:rFonts w:ascii="Times New Roman" w:hAnsi="Times New Roman"/>
          <w:sz w:val="28"/>
          <w:szCs w:val="28"/>
        </w:rPr>
        <w:t>АВТОВАЗ</w:t>
      </w:r>
      <w:r>
        <w:rPr>
          <w:rFonts w:ascii="Times New Roman" w:hAnsi="Times New Roman"/>
          <w:sz w:val="28"/>
          <w:szCs w:val="28"/>
        </w:rPr>
        <w:t>»</w:t>
      </w:r>
      <w:r w:rsidR="00490198" w:rsidRPr="00281C35">
        <w:rPr>
          <w:rFonts w:ascii="Times New Roman" w:hAnsi="Times New Roman"/>
          <w:sz w:val="28"/>
          <w:szCs w:val="28"/>
        </w:rPr>
        <w:t xml:space="preserve"> планирует усилить свой продуктовый план пятью новыми моделями LADA до 2025 года, включая новое семейство автомобилей B-сегмента и полностью новое поколение Niva. При этом будет использована высококонкурентная по стоимости и гибкая платформа Альянса CMF-B, которую планируется в значительной степени локализовать. </w:t>
      </w:r>
    </w:p>
    <w:p w14:paraId="47A46A57" w14:textId="77777777" w:rsidR="00490198" w:rsidRPr="00490198" w:rsidRDefault="00490198" w:rsidP="00A56CAF">
      <w:pPr>
        <w:spacing w:after="0"/>
        <w:ind w:firstLine="709"/>
        <w:jc w:val="both"/>
        <w:rPr>
          <w:rFonts w:ascii="Times New Roman" w:hAnsi="Times New Roman"/>
          <w:bCs/>
          <w:sz w:val="28"/>
          <w:szCs w:val="28"/>
        </w:rPr>
      </w:pPr>
      <w:r w:rsidRPr="00490198">
        <w:rPr>
          <w:rFonts w:ascii="Times New Roman" w:hAnsi="Times New Roman"/>
          <w:sz w:val="28"/>
          <w:szCs w:val="28"/>
        </w:rPr>
        <w:t>Ситуация в химическом комплексе</w:t>
      </w:r>
      <w:r w:rsidRPr="00490198">
        <w:rPr>
          <w:rFonts w:ascii="Times New Roman" w:hAnsi="Times New Roman"/>
          <w:bCs/>
          <w:sz w:val="28"/>
          <w:szCs w:val="28"/>
        </w:rPr>
        <w:t xml:space="preserve"> города будет определяться макроэкономическими условиями, влияющими на инвестиционную активность предприятий, колебанием цен и усилением конкуренции на </w:t>
      </w:r>
      <w:proofErr w:type="gramStart"/>
      <w:r w:rsidRPr="00490198">
        <w:rPr>
          <w:rFonts w:ascii="Times New Roman" w:hAnsi="Times New Roman"/>
          <w:bCs/>
          <w:sz w:val="28"/>
          <w:szCs w:val="28"/>
        </w:rPr>
        <w:t>мировом  рынке</w:t>
      </w:r>
      <w:proofErr w:type="gramEnd"/>
      <w:r w:rsidRPr="00490198">
        <w:rPr>
          <w:rFonts w:ascii="Times New Roman" w:hAnsi="Times New Roman"/>
          <w:bCs/>
          <w:sz w:val="28"/>
          <w:szCs w:val="28"/>
        </w:rPr>
        <w:t xml:space="preserve"> химической продукции. </w:t>
      </w:r>
    </w:p>
    <w:p w14:paraId="09906B38" w14:textId="77777777" w:rsidR="00490198" w:rsidRPr="00490198" w:rsidRDefault="00490198" w:rsidP="00A56CAF">
      <w:pPr>
        <w:widowControl w:val="0"/>
        <w:spacing w:after="0"/>
        <w:ind w:firstLine="709"/>
        <w:jc w:val="both"/>
        <w:rPr>
          <w:rFonts w:ascii="Times New Roman" w:hAnsi="Times New Roman"/>
          <w:bCs/>
          <w:sz w:val="28"/>
          <w:szCs w:val="28"/>
        </w:rPr>
      </w:pPr>
      <w:r w:rsidRPr="00490198">
        <w:rPr>
          <w:rFonts w:ascii="Times New Roman" w:hAnsi="Times New Roman"/>
          <w:bCs/>
          <w:sz w:val="28"/>
          <w:szCs w:val="28"/>
        </w:rPr>
        <w:t>Дальнейшее развитие химического производства обусловлено реализацией инвестиционных проектов на предприятиях городского округа Тольятти, а также развитием промышленной площадки индустриального парка «</w:t>
      </w:r>
      <w:proofErr w:type="spellStart"/>
      <w:r w:rsidRPr="00490198">
        <w:rPr>
          <w:rFonts w:ascii="Times New Roman" w:hAnsi="Times New Roman"/>
          <w:bCs/>
          <w:sz w:val="28"/>
          <w:szCs w:val="28"/>
        </w:rPr>
        <w:t>Тольяттисинтез</w:t>
      </w:r>
      <w:proofErr w:type="spellEnd"/>
      <w:r w:rsidRPr="00490198">
        <w:rPr>
          <w:rFonts w:ascii="Times New Roman" w:hAnsi="Times New Roman"/>
          <w:bCs/>
          <w:sz w:val="28"/>
          <w:szCs w:val="28"/>
        </w:rPr>
        <w:t>».</w:t>
      </w:r>
    </w:p>
    <w:p w14:paraId="046DEE22" w14:textId="1E2986B3"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Химическое производств</w:t>
      </w:r>
      <w:r w:rsidR="00281C35">
        <w:rPr>
          <w:rFonts w:ascii="Times New Roman" w:hAnsi="Times New Roman"/>
          <w:sz w:val="28"/>
          <w:szCs w:val="28"/>
        </w:rPr>
        <w:t>о</w:t>
      </w:r>
      <w:r w:rsidRPr="00490198">
        <w:rPr>
          <w:rFonts w:ascii="Times New Roman" w:hAnsi="Times New Roman"/>
          <w:sz w:val="28"/>
          <w:szCs w:val="28"/>
        </w:rPr>
        <w:t xml:space="preserve"> будет расти в соответствии с производственными планами крупнейших химических предприятий города.</w:t>
      </w:r>
    </w:p>
    <w:p w14:paraId="085536F7" w14:textId="0ECFE828"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 xml:space="preserve">Так, </w:t>
      </w:r>
      <w:r w:rsidR="00090D4B">
        <w:rPr>
          <w:rFonts w:ascii="Times New Roman" w:hAnsi="Times New Roman"/>
          <w:sz w:val="28"/>
          <w:szCs w:val="28"/>
        </w:rPr>
        <w:t>н</w:t>
      </w:r>
      <w:r w:rsidRPr="00490198">
        <w:rPr>
          <w:rFonts w:ascii="Times New Roman" w:hAnsi="Times New Roman"/>
          <w:sz w:val="28"/>
          <w:szCs w:val="28"/>
        </w:rPr>
        <w:t>а ПАО «</w:t>
      </w:r>
      <w:proofErr w:type="spellStart"/>
      <w:r w:rsidRPr="00490198">
        <w:rPr>
          <w:rFonts w:ascii="Times New Roman" w:hAnsi="Times New Roman"/>
          <w:sz w:val="28"/>
          <w:szCs w:val="28"/>
        </w:rPr>
        <w:t>КуйбышевАзот</w:t>
      </w:r>
      <w:proofErr w:type="spellEnd"/>
      <w:r w:rsidRPr="00490198">
        <w:rPr>
          <w:rFonts w:ascii="Times New Roman" w:hAnsi="Times New Roman"/>
          <w:sz w:val="28"/>
          <w:szCs w:val="28"/>
        </w:rPr>
        <w:t xml:space="preserve">» в прогнозном периоде в результате завершения инвестиционных проектов планируется наращивание производства минеральных удобрений, </w:t>
      </w:r>
      <w:proofErr w:type="spellStart"/>
      <w:r w:rsidRPr="00490198">
        <w:rPr>
          <w:rFonts w:ascii="Times New Roman" w:hAnsi="Times New Roman"/>
          <w:sz w:val="28"/>
          <w:szCs w:val="28"/>
        </w:rPr>
        <w:t>капролактама</w:t>
      </w:r>
      <w:proofErr w:type="spellEnd"/>
      <w:r w:rsidRPr="00490198">
        <w:rPr>
          <w:rFonts w:ascii="Times New Roman" w:hAnsi="Times New Roman"/>
          <w:sz w:val="28"/>
          <w:szCs w:val="28"/>
        </w:rPr>
        <w:t>, карбамида, полиамида-6, аммиачной селитры и друг</w:t>
      </w:r>
      <w:r w:rsidR="00090D4B">
        <w:rPr>
          <w:rFonts w:ascii="Times New Roman" w:hAnsi="Times New Roman"/>
          <w:sz w:val="28"/>
          <w:szCs w:val="28"/>
        </w:rPr>
        <w:t>их</w:t>
      </w:r>
      <w:r w:rsidRPr="00490198">
        <w:rPr>
          <w:rFonts w:ascii="Times New Roman" w:hAnsi="Times New Roman"/>
          <w:sz w:val="28"/>
          <w:szCs w:val="28"/>
        </w:rPr>
        <w:t xml:space="preserve">. </w:t>
      </w:r>
    </w:p>
    <w:p w14:paraId="482A6671" w14:textId="007B4D31"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 xml:space="preserve">ПАО «Тольяттиазот» построит третий агрегат карбамида, который позволит увеличить производство до 2200 тонн/сутки (в среднем в год – 3,5 тыс. тонн аммиака), продолжит модернизировать установки производства аммиака. </w:t>
      </w:r>
    </w:p>
    <w:p w14:paraId="1DA8C62F" w14:textId="48AF5230"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По данным ООО «</w:t>
      </w:r>
      <w:proofErr w:type="spellStart"/>
      <w:r w:rsidRPr="00490198">
        <w:rPr>
          <w:rFonts w:ascii="Times New Roman" w:hAnsi="Times New Roman"/>
          <w:sz w:val="28"/>
          <w:szCs w:val="28"/>
        </w:rPr>
        <w:t>Тольяттикаучук</w:t>
      </w:r>
      <w:proofErr w:type="spellEnd"/>
      <w:r w:rsidRPr="00490198">
        <w:rPr>
          <w:rFonts w:ascii="Times New Roman" w:hAnsi="Times New Roman"/>
          <w:sz w:val="28"/>
          <w:szCs w:val="28"/>
        </w:rPr>
        <w:t>» производство каучука ежегодно составит 205,4 тыс. тонн.</w:t>
      </w:r>
    </w:p>
    <w:p w14:paraId="6EC7B756" w14:textId="77777777"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t>Резиденты ТОСЭР «Тольятти» ООО «</w:t>
      </w:r>
      <w:proofErr w:type="spellStart"/>
      <w:r w:rsidRPr="00490198">
        <w:rPr>
          <w:rFonts w:ascii="Times New Roman" w:hAnsi="Times New Roman"/>
          <w:sz w:val="28"/>
          <w:szCs w:val="28"/>
        </w:rPr>
        <w:t>Волгатехноол</w:t>
      </w:r>
      <w:proofErr w:type="spellEnd"/>
      <w:r w:rsidRPr="00490198">
        <w:rPr>
          <w:rFonts w:ascii="Times New Roman" w:hAnsi="Times New Roman"/>
          <w:sz w:val="28"/>
          <w:szCs w:val="28"/>
        </w:rPr>
        <w:t xml:space="preserve">» и ООО «ВОЛГАФЕРТ» приступили к реализации крупных инвестиционных проектов по строительству установки по производству серной кислоты марки "К" и улучшенного олеума суммарной мощностью 500 000 т/год в перерасчете на моногидрат </w:t>
      </w:r>
      <w:proofErr w:type="gramStart"/>
      <w:r w:rsidRPr="00490198">
        <w:rPr>
          <w:rFonts w:ascii="Times New Roman" w:hAnsi="Times New Roman"/>
          <w:sz w:val="28"/>
          <w:szCs w:val="28"/>
        </w:rPr>
        <w:t>и  строительству</w:t>
      </w:r>
      <w:proofErr w:type="gramEnd"/>
      <w:r w:rsidRPr="00490198">
        <w:rPr>
          <w:rFonts w:ascii="Times New Roman" w:hAnsi="Times New Roman"/>
          <w:sz w:val="28"/>
          <w:szCs w:val="28"/>
        </w:rPr>
        <w:t xml:space="preserve"> установки гранулированного карбамида мощностью 1500 </w:t>
      </w:r>
      <w:proofErr w:type="spellStart"/>
      <w:r w:rsidRPr="00490198">
        <w:rPr>
          <w:rFonts w:ascii="Times New Roman" w:hAnsi="Times New Roman"/>
          <w:sz w:val="28"/>
          <w:szCs w:val="28"/>
        </w:rPr>
        <w:t>тн</w:t>
      </w:r>
      <w:proofErr w:type="spellEnd"/>
      <w:r w:rsidRPr="00490198">
        <w:rPr>
          <w:rFonts w:ascii="Times New Roman" w:hAnsi="Times New Roman"/>
          <w:sz w:val="28"/>
          <w:szCs w:val="28"/>
        </w:rPr>
        <w:t>/сутки. ООО «СП «</w:t>
      </w:r>
      <w:proofErr w:type="spellStart"/>
      <w:r w:rsidRPr="00490198">
        <w:rPr>
          <w:rFonts w:ascii="Times New Roman" w:hAnsi="Times New Roman"/>
          <w:sz w:val="28"/>
          <w:szCs w:val="28"/>
        </w:rPr>
        <w:t>Граниферт</w:t>
      </w:r>
      <w:proofErr w:type="spellEnd"/>
      <w:r w:rsidRPr="00490198">
        <w:rPr>
          <w:rFonts w:ascii="Times New Roman" w:hAnsi="Times New Roman"/>
          <w:sz w:val="28"/>
          <w:szCs w:val="28"/>
        </w:rPr>
        <w:t>» запущено производство гранулированного сульфата аммония мощностью 140 000 тонн/год.</w:t>
      </w:r>
    </w:p>
    <w:p w14:paraId="7ED15C45" w14:textId="590A05EC" w:rsidR="00490198" w:rsidRPr="00490198" w:rsidRDefault="00490198" w:rsidP="00A56CAF">
      <w:pPr>
        <w:spacing w:after="0"/>
        <w:ind w:firstLine="709"/>
        <w:jc w:val="both"/>
        <w:rPr>
          <w:rFonts w:ascii="Times New Roman" w:hAnsi="Times New Roman"/>
          <w:sz w:val="28"/>
          <w:szCs w:val="28"/>
        </w:rPr>
      </w:pPr>
      <w:r w:rsidRPr="00490198">
        <w:rPr>
          <w:rFonts w:ascii="Times New Roman" w:hAnsi="Times New Roman"/>
          <w:sz w:val="28"/>
          <w:szCs w:val="28"/>
        </w:rPr>
        <w:lastRenderedPageBreak/>
        <w:t xml:space="preserve">К 2024 году объем отгруженной химической продукции составит </w:t>
      </w:r>
      <w:r w:rsidR="00281C35">
        <w:rPr>
          <w:rFonts w:ascii="Times New Roman" w:hAnsi="Times New Roman"/>
          <w:sz w:val="28"/>
          <w:szCs w:val="28"/>
        </w:rPr>
        <w:t>221 908,</w:t>
      </w:r>
      <w:proofErr w:type="gramStart"/>
      <w:r w:rsidR="00281C35">
        <w:rPr>
          <w:rFonts w:ascii="Times New Roman" w:hAnsi="Times New Roman"/>
          <w:sz w:val="28"/>
          <w:szCs w:val="28"/>
        </w:rPr>
        <w:t>2</w:t>
      </w:r>
      <w:r w:rsidRPr="00490198">
        <w:rPr>
          <w:rFonts w:ascii="Times New Roman" w:hAnsi="Times New Roman"/>
          <w:sz w:val="28"/>
          <w:szCs w:val="28"/>
        </w:rPr>
        <w:t> </w:t>
      </w:r>
      <w:r w:rsidR="00090D4B">
        <w:rPr>
          <w:rFonts w:ascii="Times New Roman" w:hAnsi="Times New Roman"/>
          <w:sz w:val="28"/>
          <w:szCs w:val="28"/>
        </w:rPr>
        <w:t xml:space="preserve"> </w:t>
      </w:r>
      <w:r w:rsidRPr="00490198">
        <w:rPr>
          <w:rFonts w:ascii="Times New Roman" w:hAnsi="Times New Roman"/>
          <w:sz w:val="28"/>
          <w:szCs w:val="28"/>
        </w:rPr>
        <w:t>млн.</w:t>
      </w:r>
      <w:proofErr w:type="gramEnd"/>
      <w:r w:rsidRPr="00490198">
        <w:rPr>
          <w:rFonts w:ascii="Times New Roman" w:hAnsi="Times New Roman"/>
          <w:sz w:val="28"/>
          <w:szCs w:val="28"/>
        </w:rPr>
        <w:t xml:space="preserve"> </w:t>
      </w:r>
      <w:r w:rsidR="00EA5C0A">
        <w:rPr>
          <w:rFonts w:ascii="Times New Roman" w:hAnsi="Times New Roman"/>
          <w:sz w:val="28"/>
          <w:szCs w:val="28"/>
        </w:rPr>
        <w:t>рублей</w:t>
      </w:r>
      <w:r w:rsidRPr="00490198">
        <w:rPr>
          <w:rFonts w:ascii="Times New Roman" w:hAnsi="Times New Roman"/>
          <w:sz w:val="28"/>
          <w:szCs w:val="28"/>
        </w:rPr>
        <w:t xml:space="preserve"> и </w:t>
      </w:r>
      <w:r w:rsidR="00281C35">
        <w:rPr>
          <w:rFonts w:ascii="Times New Roman" w:hAnsi="Times New Roman"/>
          <w:sz w:val="28"/>
          <w:szCs w:val="28"/>
        </w:rPr>
        <w:t>227 876,8</w:t>
      </w:r>
      <w:r w:rsidRPr="00490198">
        <w:rPr>
          <w:rFonts w:ascii="Times New Roman" w:hAnsi="Times New Roman"/>
          <w:sz w:val="28"/>
          <w:szCs w:val="28"/>
        </w:rPr>
        <w:t xml:space="preserve"> млн. </w:t>
      </w:r>
      <w:r w:rsidR="00EA5C0A">
        <w:rPr>
          <w:rFonts w:ascii="Times New Roman" w:hAnsi="Times New Roman"/>
          <w:sz w:val="28"/>
          <w:szCs w:val="28"/>
        </w:rPr>
        <w:t>рублей</w:t>
      </w:r>
      <w:r w:rsidRPr="00490198">
        <w:rPr>
          <w:rFonts w:ascii="Times New Roman" w:hAnsi="Times New Roman"/>
          <w:sz w:val="28"/>
          <w:szCs w:val="28"/>
        </w:rPr>
        <w:t xml:space="preserve"> по вариантам прогноза соответственно. </w:t>
      </w:r>
    </w:p>
    <w:p w14:paraId="40CDB0FD" w14:textId="2D30533F" w:rsidR="00490198" w:rsidRPr="00490198" w:rsidRDefault="00490198" w:rsidP="00A56CAF">
      <w:pPr>
        <w:autoSpaceDE w:val="0"/>
        <w:autoSpaceDN w:val="0"/>
        <w:adjustRightInd w:val="0"/>
        <w:spacing w:after="0"/>
        <w:ind w:firstLine="709"/>
        <w:jc w:val="both"/>
        <w:rPr>
          <w:rFonts w:ascii="Times New Roman" w:hAnsi="Times New Roman"/>
          <w:color w:val="000000"/>
          <w:sz w:val="28"/>
          <w:szCs w:val="28"/>
        </w:rPr>
      </w:pPr>
      <w:r w:rsidRPr="00490198">
        <w:rPr>
          <w:rFonts w:ascii="Times New Roman" w:hAnsi="Times New Roman"/>
          <w:color w:val="000000"/>
          <w:sz w:val="28"/>
          <w:szCs w:val="28"/>
        </w:rPr>
        <w:t xml:space="preserve">За счёт расширения ассортимента и качества производимой продукции, а также технического перевооружения и модернизации производства в прогнозном периоде </w:t>
      </w:r>
      <w:r w:rsidR="00090D4B">
        <w:rPr>
          <w:rFonts w:ascii="Times New Roman" w:hAnsi="Times New Roman"/>
          <w:color w:val="000000"/>
          <w:sz w:val="28"/>
          <w:szCs w:val="28"/>
        </w:rPr>
        <w:t>ожидается</w:t>
      </w:r>
      <w:r w:rsidRPr="00490198">
        <w:rPr>
          <w:rFonts w:ascii="Times New Roman" w:hAnsi="Times New Roman"/>
          <w:color w:val="000000"/>
          <w:sz w:val="28"/>
          <w:szCs w:val="28"/>
        </w:rPr>
        <w:t xml:space="preserve"> рост производства пищевых продуктов. Прогнозируется увеличение выпуска колбасных изделий, полуфабрикатов мясных, хлеба и хлебобулочных изделий, производство кондитерских изделий будет снижаться.</w:t>
      </w:r>
    </w:p>
    <w:p w14:paraId="2E0B9F5F" w14:textId="3619A9B1" w:rsidR="00490198" w:rsidRPr="00490198" w:rsidRDefault="00490198" w:rsidP="00A56CAF">
      <w:pPr>
        <w:widowControl w:val="0"/>
        <w:spacing w:after="0"/>
        <w:ind w:right="2" w:firstLine="709"/>
        <w:jc w:val="both"/>
        <w:rPr>
          <w:rFonts w:ascii="Times New Roman" w:hAnsi="Times New Roman"/>
          <w:spacing w:val="-2"/>
          <w:sz w:val="28"/>
          <w:szCs w:val="28"/>
        </w:rPr>
      </w:pPr>
      <w:proofErr w:type="gramStart"/>
      <w:r w:rsidRPr="00490198">
        <w:rPr>
          <w:rFonts w:ascii="Times New Roman" w:hAnsi="Times New Roman"/>
          <w:spacing w:val="-2"/>
          <w:sz w:val="28"/>
          <w:szCs w:val="28"/>
        </w:rPr>
        <w:t>В  производстве</w:t>
      </w:r>
      <w:proofErr w:type="gramEnd"/>
      <w:r w:rsidRPr="00490198">
        <w:rPr>
          <w:rFonts w:ascii="Times New Roman" w:hAnsi="Times New Roman"/>
          <w:spacing w:val="-2"/>
          <w:sz w:val="28"/>
          <w:szCs w:val="28"/>
        </w:rPr>
        <w:t xml:space="preserve"> пищевых продуктов резидентом ТОСЭР «Тольятти» АО «КАРАТ-Тольятти» реализуется крупный проект по строительству завода по производству твердых, сливочных, творожных и других типов сыров (9 тыс. тонн продукции в год). ООО Мясокомбинат «Лада» осуществляет проект по модернизации производства полного цикла переработки и выпуска продукции (2 тыс. тонн продукции в год). ООО «ФАБРИКА БИСКВИТА» реализует проект по строительству фабрики по производству бисквитных мучных изделий (22 тыс. тонн продукции в год).  </w:t>
      </w:r>
      <w:r w:rsidRPr="00490198">
        <w:rPr>
          <w:rFonts w:ascii="Times New Roman" w:hAnsi="Times New Roman"/>
          <w:sz w:val="28"/>
          <w:szCs w:val="28"/>
        </w:rPr>
        <w:t xml:space="preserve">ООО «БИСКО ТТИ», ООО «ПАРМА» и ООО «АГРОПАРТНЕР» реализуют проекты </w:t>
      </w:r>
      <w:proofErr w:type="gramStart"/>
      <w:r w:rsidRPr="00490198">
        <w:rPr>
          <w:rFonts w:ascii="Times New Roman" w:hAnsi="Times New Roman"/>
          <w:sz w:val="28"/>
          <w:szCs w:val="28"/>
        </w:rPr>
        <w:t>по  созданию</w:t>
      </w:r>
      <w:proofErr w:type="gramEnd"/>
      <w:r w:rsidRPr="00490198">
        <w:rPr>
          <w:rFonts w:ascii="Times New Roman" w:hAnsi="Times New Roman"/>
          <w:sz w:val="28"/>
          <w:szCs w:val="28"/>
        </w:rPr>
        <w:t xml:space="preserve"> производства макарон, мучных кондитерских изделий и производству сыров по итальянской технологии (77 тон продукции в год, 800 тонн и 22472 тонн продукции в год соответственно).</w:t>
      </w:r>
    </w:p>
    <w:p w14:paraId="0EEDC19A" w14:textId="77777777" w:rsidR="00490198" w:rsidRPr="00490198" w:rsidRDefault="00490198" w:rsidP="00A56CAF">
      <w:pPr>
        <w:spacing w:after="0"/>
        <w:ind w:firstLine="709"/>
        <w:jc w:val="both"/>
        <w:rPr>
          <w:rFonts w:ascii="Times New Roman" w:hAnsi="Times New Roman"/>
          <w:iCs/>
          <w:sz w:val="28"/>
          <w:szCs w:val="28"/>
        </w:rPr>
      </w:pPr>
      <w:r w:rsidRPr="00490198">
        <w:rPr>
          <w:rFonts w:ascii="Times New Roman" w:hAnsi="Times New Roman"/>
          <w:sz w:val="28"/>
          <w:szCs w:val="28"/>
        </w:rPr>
        <w:t xml:space="preserve">Положительная динамика в автомобилестроении обеспечит в прогнозном периоде рост объемов смежных производств: производства текстильных </w:t>
      </w:r>
      <w:proofErr w:type="gramStart"/>
      <w:r w:rsidRPr="00490198">
        <w:rPr>
          <w:rFonts w:ascii="Times New Roman" w:hAnsi="Times New Roman"/>
          <w:sz w:val="28"/>
          <w:szCs w:val="28"/>
        </w:rPr>
        <w:t xml:space="preserve">изделий </w:t>
      </w:r>
      <w:r w:rsidRPr="00490198">
        <w:rPr>
          <w:rFonts w:ascii="Times New Roman" w:hAnsi="Times New Roman"/>
          <w:iCs/>
          <w:sz w:val="28"/>
          <w:szCs w:val="28"/>
        </w:rPr>
        <w:t xml:space="preserve"> и</w:t>
      </w:r>
      <w:proofErr w:type="gramEnd"/>
      <w:r w:rsidRPr="00490198">
        <w:rPr>
          <w:rFonts w:ascii="Times New Roman" w:hAnsi="Times New Roman"/>
          <w:iCs/>
          <w:sz w:val="28"/>
          <w:szCs w:val="28"/>
        </w:rPr>
        <w:t xml:space="preserve"> </w:t>
      </w:r>
      <w:r w:rsidRPr="00490198">
        <w:rPr>
          <w:rFonts w:ascii="Times New Roman" w:hAnsi="Times New Roman"/>
          <w:sz w:val="28"/>
          <w:szCs w:val="28"/>
        </w:rPr>
        <w:t>резиновых и пластмассовых изделий будут демонстрировать умеренный, но стабильный рост</w:t>
      </w:r>
      <w:r w:rsidRPr="00490198">
        <w:rPr>
          <w:rFonts w:ascii="Times New Roman" w:hAnsi="Times New Roman"/>
          <w:iCs/>
          <w:sz w:val="28"/>
          <w:szCs w:val="28"/>
        </w:rPr>
        <w:t>.</w:t>
      </w:r>
    </w:p>
    <w:p w14:paraId="5228EC5D" w14:textId="77777777" w:rsidR="00490198" w:rsidRPr="00490198" w:rsidRDefault="00490198" w:rsidP="00A56CAF">
      <w:pPr>
        <w:spacing w:after="0"/>
        <w:ind w:firstLine="709"/>
        <w:jc w:val="both"/>
        <w:rPr>
          <w:rFonts w:ascii="Times New Roman" w:hAnsi="Times New Roman"/>
          <w:spacing w:val="-2"/>
          <w:sz w:val="28"/>
          <w:szCs w:val="28"/>
        </w:rPr>
      </w:pPr>
      <w:r w:rsidRPr="00490198">
        <w:rPr>
          <w:rFonts w:ascii="Times New Roman" w:hAnsi="Times New Roman"/>
          <w:sz w:val="28"/>
          <w:szCs w:val="28"/>
        </w:rPr>
        <w:t xml:space="preserve">С учетом низкой базы предыдущих периодов на основании планов по техническому перевооружению и модернизации производственных мощностей, освоению новых видов продукции увеличится производство: прочей неметаллической минеральной продукции, металлургическое </w:t>
      </w:r>
      <w:proofErr w:type="gramStart"/>
      <w:r w:rsidRPr="00490198">
        <w:rPr>
          <w:rFonts w:ascii="Times New Roman" w:hAnsi="Times New Roman"/>
          <w:sz w:val="28"/>
          <w:szCs w:val="28"/>
        </w:rPr>
        <w:t>производство,  производство</w:t>
      </w:r>
      <w:proofErr w:type="gramEnd"/>
      <w:r w:rsidRPr="00490198">
        <w:rPr>
          <w:rFonts w:ascii="Times New Roman" w:hAnsi="Times New Roman"/>
          <w:sz w:val="28"/>
          <w:szCs w:val="28"/>
        </w:rPr>
        <w:t xml:space="preserve"> электрического оборудования  и производстве готовых металлических изделий.</w:t>
      </w:r>
    </w:p>
    <w:p w14:paraId="045BEF3C" w14:textId="77777777" w:rsidR="00883ADC" w:rsidRPr="00EC146F" w:rsidRDefault="00883ADC" w:rsidP="00A56CAF">
      <w:pPr>
        <w:widowControl w:val="0"/>
        <w:spacing w:after="0"/>
        <w:ind w:right="2" w:firstLine="709"/>
        <w:jc w:val="both"/>
        <w:rPr>
          <w:rFonts w:ascii="Times New Roman" w:hAnsi="Times New Roman"/>
          <w:spacing w:val="-2"/>
          <w:sz w:val="28"/>
          <w:szCs w:val="28"/>
        </w:rPr>
      </w:pPr>
      <w:r w:rsidRPr="00883ADC">
        <w:rPr>
          <w:rFonts w:ascii="Times New Roman" w:hAnsi="Times New Roman"/>
          <w:spacing w:val="-2"/>
          <w:sz w:val="28"/>
          <w:szCs w:val="28"/>
        </w:rPr>
        <w:t>Резидент ТОСЭР «Тольятти» ООО «</w:t>
      </w:r>
      <w:proofErr w:type="spellStart"/>
      <w:r w:rsidRPr="00883ADC">
        <w:rPr>
          <w:rFonts w:ascii="Times New Roman" w:hAnsi="Times New Roman"/>
          <w:spacing w:val="-2"/>
          <w:sz w:val="28"/>
          <w:szCs w:val="28"/>
        </w:rPr>
        <w:t>Феррони</w:t>
      </w:r>
      <w:proofErr w:type="spellEnd"/>
      <w:r w:rsidRPr="00883ADC">
        <w:rPr>
          <w:rFonts w:ascii="Times New Roman" w:hAnsi="Times New Roman"/>
          <w:spacing w:val="-2"/>
          <w:sz w:val="28"/>
          <w:szCs w:val="28"/>
        </w:rPr>
        <w:t xml:space="preserve"> Тольятти» реализует масштабный инвестиционный проект: в полном режиме заработал крупнейший завод по производству входных металлических дверей. В рамках реализации проекта планируется производство широкого ассортимента входных металлических дверей. С выходом на плановые мощности предприятие планирует производить по 5-6 тысяч дверей в сутки.</w:t>
      </w:r>
    </w:p>
    <w:p w14:paraId="3A4F7A15" w14:textId="77777777" w:rsidR="00490198" w:rsidRPr="00490198" w:rsidRDefault="00490198" w:rsidP="00A56CAF">
      <w:pPr>
        <w:widowControl w:val="0"/>
        <w:spacing w:after="0"/>
        <w:ind w:right="2" w:firstLine="709"/>
        <w:jc w:val="both"/>
        <w:rPr>
          <w:rFonts w:ascii="Times New Roman" w:hAnsi="Times New Roman"/>
          <w:spacing w:val="-2"/>
          <w:sz w:val="28"/>
          <w:szCs w:val="28"/>
        </w:rPr>
      </w:pPr>
      <w:r w:rsidRPr="00490198">
        <w:rPr>
          <w:rFonts w:ascii="Times New Roman" w:hAnsi="Times New Roman"/>
          <w:spacing w:val="-2"/>
          <w:sz w:val="28"/>
          <w:szCs w:val="28"/>
        </w:rPr>
        <w:t xml:space="preserve">В производстве строительных материалов резидент ТОСЭР «Тольятти» ООО «Завод ЖБИ ФЛОРКОН» намерен реализовать проект по созданию </w:t>
      </w:r>
      <w:proofErr w:type="spellStart"/>
      <w:r w:rsidRPr="00490198">
        <w:rPr>
          <w:rFonts w:ascii="Times New Roman" w:hAnsi="Times New Roman"/>
          <w:spacing w:val="-2"/>
          <w:sz w:val="28"/>
          <w:szCs w:val="28"/>
        </w:rPr>
        <w:lastRenderedPageBreak/>
        <w:t>быстроразвертываемого</w:t>
      </w:r>
      <w:proofErr w:type="spellEnd"/>
      <w:r w:rsidRPr="00490198">
        <w:rPr>
          <w:rFonts w:ascii="Times New Roman" w:hAnsi="Times New Roman"/>
          <w:spacing w:val="-2"/>
          <w:sz w:val="28"/>
          <w:szCs w:val="28"/>
        </w:rPr>
        <w:t xml:space="preserve"> высокотехнологичного производства железобетонных изделий. </w:t>
      </w:r>
    </w:p>
    <w:p w14:paraId="160B4735" w14:textId="77777777" w:rsidR="00490198" w:rsidRPr="00490198" w:rsidRDefault="00490198" w:rsidP="00A56CAF">
      <w:pPr>
        <w:widowControl w:val="0"/>
        <w:spacing w:after="0"/>
        <w:ind w:right="2" w:firstLine="709"/>
        <w:jc w:val="both"/>
        <w:rPr>
          <w:rFonts w:ascii="Times New Roman" w:hAnsi="Times New Roman"/>
          <w:spacing w:val="-2"/>
          <w:sz w:val="28"/>
          <w:szCs w:val="28"/>
        </w:rPr>
      </w:pPr>
      <w:r w:rsidRPr="00490198">
        <w:rPr>
          <w:rFonts w:ascii="Times New Roman" w:hAnsi="Times New Roman"/>
          <w:spacing w:val="-2"/>
          <w:sz w:val="28"/>
          <w:szCs w:val="28"/>
        </w:rPr>
        <w:t>В производстве электрического оборудования АО «АКОМ» планирует организовать производство промышленных свинцовых аккумуляторных батарей. Еще один резидент ТОСЭР «</w:t>
      </w:r>
      <w:proofErr w:type="gramStart"/>
      <w:r w:rsidRPr="00490198">
        <w:rPr>
          <w:rFonts w:ascii="Times New Roman" w:hAnsi="Times New Roman"/>
          <w:spacing w:val="-2"/>
          <w:sz w:val="28"/>
          <w:szCs w:val="28"/>
        </w:rPr>
        <w:t>Тольятти»  –</w:t>
      </w:r>
      <w:proofErr w:type="gramEnd"/>
      <w:r w:rsidRPr="00490198">
        <w:rPr>
          <w:rFonts w:ascii="Times New Roman" w:hAnsi="Times New Roman"/>
          <w:spacing w:val="-2"/>
          <w:sz w:val="28"/>
          <w:szCs w:val="28"/>
        </w:rPr>
        <w:t xml:space="preserve"> ООО «</w:t>
      </w:r>
      <w:proofErr w:type="spellStart"/>
      <w:r w:rsidRPr="00490198">
        <w:rPr>
          <w:rFonts w:ascii="Times New Roman" w:hAnsi="Times New Roman"/>
          <w:spacing w:val="-2"/>
          <w:sz w:val="28"/>
          <w:szCs w:val="28"/>
        </w:rPr>
        <w:t>Валео</w:t>
      </w:r>
      <w:proofErr w:type="spellEnd"/>
      <w:r w:rsidRPr="00490198">
        <w:rPr>
          <w:rFonts w:ascii="Times New Roman" w:hAnsi="Times New Roman"/>
          <w:spacing w:val="-2"/>
          <w:sz w:val="28"/>
          <w:szCs w:val="28"/>
        </w:rPr>
        <w:t xml:space="preserve"> Технолоджи Рус» – намерен реализовать проект по</w:t>
      </w:r>
      <w:r w:rsidRPr="00490198">
        <w:rPr>
          <w:rFonts w:ascii="Times New Roman" w:hAnsi="Times New Roman"/>
          <w:sz w:val="28"/>
          <w:szCs w:val="28"/>
        </w:rPr>
        <w:t xml:space="preserve"> </w:t>
      </w:r>
      <w:r w:rsidRPr="00490198">
        <w:rPr>
          <w:rFonts w:ascii="Times New Roman" w:hAnsi="Times New Roman"/>
          <w:spacing w:val="-2"/>
          <w:sz w:val="28"/>
          <w:szCs w:val="28"/>
        </w:rPr>
        <w:t xml:space="preserve">производству компонентов и систем для автомобильной индустрии.  </w:t>
      </w:r>
    </w:p>
    <w:p w14:paraId="49B76BFC" w14:textId="26D35295" w:rsidR="00490198" w:rsidRPr="00490198" w:rsidRDefault="00490198" w:rsidP="00A56CAF">
      <w:pPr>
        <w:widowControl w:val="0"/>
        <w:spacing w:after="0"/>
        <w:ind w:right="2" w:firstLine="709"/>
        <w:jc w:val="both"/>
        <w:rPr>
          <w:rFonts w:ascii="Times New Roman" w:hAnsi="Times New Roman"/>
          <w:spacing w:val="-2"/>
          <w:sz w:val="28"/>
          <w:szCs w:val="28"/>
        </w:rPr>
      </w:pPr>
      <w:r w:rsidRPr="00490198">
        <w:rPr>
          <w:rFonts w:ascii="Times New Roman" w:hAnsi="Times New Roman"/>
          <w:sz w:val="28"/>
          <w:szCs w:val="28"/>
        </w:rPr>
        <w:t xml:space="preserve">В июле 2021 года состоялся запуск второй линии производства лекарственных препаратов компании «Озон фарм», что позволит дополнительно производить 17 лекарственных наименований, большинство из которых относятся к жизненно важным препаратам, в </w:t>
      </w:r>
      <w:r w:rsidR="00805AD9">
        <w:rPr>
          <w:rFonts w:ascii="Times New Roman" w:hAnsi="Times New Roman"/>
          <w:sz w:val="28"/>
          <w:szCs w:val="28"/>
        </w:rPr>
        <w:t>том числе</w:t>
      </w:r>
      <w:r w:rsidRPr="00490198">
        <w:rPr>
          <w:rFonts w:ascii="Times New Roman" w:hAnsi="Times New Roman"/>
          <w:sz w:val="28"/>
          <w:szCs w:val="28"/>
        </w:rPr>
        <w:t xml:space="preserve"> его для лечения больных коронавирусной инфекций.</w:t>
      </w:r>
    </w:p>
    <w:p w14:paraId="1CB67113" w14:textId="77777777" w:rsidR="00490198" w:rsidRPr="00490198" w:rsidRDefault="00490198" w:rsidP="00A56CAF">
      <w:pPr>
        <w:spacing w:after="0"/>
        <w:ind w:firstLine="709"/>
        <w:jc w:val="both"/>
        <w:rPr>
          <w:rFonts w:ascii="Times New Roman" w:hAnsi="Times New Roman"/>
          <w:iCs/>
          <w:sz w:val="28"/>
          <w:szCs w:val="28"/>
        </w:rPr>
      </w:pPr>
      <w:r w:rsidRPr="00490198">
        <w:rPr>
          <w:rFonts w:ascii="Times New Roman" w:hAnsi="Times New Roman"/>
          <w:sz w:val="28"/>
          <w:szCs w:val="28"/>
        </w:rPr>
        <w:t>По виду деятельности «Обеспечение электрической энергией, газом и паром; кондиционирование воздуха» прогнозируется умеренный рост. Продолжится</w:t>
      </w:r>
      <w:r w:rsidRPr="00490198">
        <w:rPr>
          <w:rFonts w:ascii="Times New Roman" w:hAnsi="Times New Roman"/>
          <w:iCs/>
          <w:sz w:val="28"/>
          <w:szCs w:val="28"/>
        </w:rPr>
        <w:t xml:space="preserve"> тенденция внедрения энергосберегающих технологий и повсеместная установка приборов учета, снижение электропотребления, в том числе под влиянием температурного фактора, повышение энергетической эффективности.</w:t>
      </w:r>
    </w:p>
    <w:p w14:paraId="1E1CA72B" w14:textId="77777777" w:rsidR="00490198" w:rsidRPr="00490198" w:rsidRDefault="00490198" w:rsidP="00A56CAF">
      <w:pPr>
        <w:spacing w:after="0"/>
        <w:ind w:firstLine="709"/>
        <w:jc w:val="both"/>
        <w:rPr>
          <w:rFonts w:ascii="Times New Roman" w:hAnsi="Times New Roman"/>
          <w:iCs/>
          <w:sz w:val="28"/>
          <w:szCs w:val="28"/>
        </w:rPr>
      </w:pPr>
      <w:r w:rsidRPr="00490198">
        <w:rPr>
          <w:rFonts w:ascii="Times New Roman" w:hAnsi="Times New Roman"/>
          <w:iCs/>
          <w:sz w:val="28"/>
          <w:szCs w:val="28"/>
        </w:rPr>
        <w:t xml:space="preserve">По виду деятельности «Водоснабжение; водоотведение, организация сбора и утилизации отходов, деятельность по ликвидации загрязнений» рост производства не ожидается. К факторам, определяющим тенденции развития данного вида деятельности, можно отнести продолжение предприятиями модернизации и реконструкции водопроводных и канализационных сетей, очистных сооружений, а также уровень объемов сбора и переработки отходов производства и потребления. </w:t>
      </w:r>
    </w:p>
    <w:p w14:paraId="4C45D81D" w14:textId="77777777" w:rsidR="00490198" w:rsidRPr="00490198" w:rsidRDefault="00490198" w:rsidP="00A56CAF">
      <w:pPr>
        <w:spacing w:after="0"/>
        <w:ind w:right="-1" w:firstLine="709"/>
        <w:jc w:val="both"/>
        <w:rPr>
          <w:rFonts w:ascii="Times New Roman" w:eastAsia="Calibri" w:hAnsi="Times New Roman"/>
          <w:sz w:val="28"/>
          <w:szCs w:val="28"/>
          <w:lang w:eastAsia="en-US"/>
        </w:rPr>
      </w:pPr>
      <w:r w:rsidRPr="00490198">
        <w:rPr>
          <w:rFonts w:ascii="Times New Roman" w:eastAsia="Calibri" w:hAnsi="Times New Roman"/>
          <w:sz w:val="28"/>
          <w:szCs w:val="28"/>
          <w:lang w:eastAsia="en-US"/>
        </w:rPr>
        <w:t xml:space="preserve">Одним из важных факторов экономического роста является увеличение производительности труда, основанное на технологической модернизации производств, внедрении принципов бережливого производства, цифровых технологий, стимулировании инновационной деятельности, повышении квалификации персонала. Росту производительности труда будет способствовать реализация региональной составляющей национального проекта «Производительность труда и поддержка занятости».  </w:t>
      </w:r>
    </w:p>
    <w:p w14:paraId="2E80B2EB" w14:textId="77777777" w:rsidR="00490198" w:rsidRDefault="00490198" w:rsidP="00A56CAF">
      <w:pPr>
        <w:spacing w:after="0"/>
        <w:ind w:right="-1" w:firstLine="709"/>
        <w:jc w:val="both"/>
        <w:rPr>
          <w:rFonts w:ascii="Times New Roman" w:eastAsia="Calibri" w:hAnsi="Times New Roman"/>
          <w:sz w:val="28"/>
          <w:szCs w:val="28"/>
          <w:lang w:eastAsia="en-US"/>
        </w:rPr>
      </w:pPr>
      <w:r w:rsidRPr="00490198">
        <w:rPr>
          <w:rFonts w:ascii="Times New Roman" w:eastAsia="Calibri" w:hAnsi="Times New Roman"/>
          <w:sz w:val="28"/>
          <w:szCs w:val="28"/>
          <w:lang w:eastAsia="en-US"/>
        </w:rPr>
        <w:t>В настоящее время участниками национального проекта стали 35 тольяттинских организаций, которые должны повысить производительность труда не менее чем на 30% за 3 года.</w:t>
      </w:r>
    </w:p>
    <w:p w14:paraId="4E7DAE49" w14:textId="77777777" w:rsidR="00660D37" w:rsidRPr="00660D37" w:rsidRDefault="00660D37" w:rsidP="00A56CAF">
      <w:pPr>
        <w:widowControl w:val="0"/>
        <w:spacing w:after="0"/>
        <w:ind w:firstLine="709"/>
        <w:jc w:val="both"/>
        <w:rPr>
          <w:rFonts w:ascii="Times New Roman" w:eastAsia="Calibri" w:hAnsi="Times New Roman"/>
          <w:sz w:val="28"/>
          <w:szCs w:val="28"/>
          <w:lang w:eastAsia="en-US"/>
        </w:rPr>
      </w:pPr>
      <w:r w:rsidRPr="00660D37">
        <w:rPr>
          <w:rFonts w:ascii="Times New Roman" w:eastAsia="Calibri" w:hAnsi="Times New Roman"/>
          <w:sz w:val="28"/>
          <w:szCs w:val="28"/>
          <w:lang w:eastAsia="en-US"/>
        </w:rPr>
        <w:t xml:space="preserve">Многими из </w:t>
      </w:r>
      <w:proofErr w:type="gramStart"/>
      <w:r w:rsidRPr="00660D37">
        <w:rPr>
          <w:rFonts w:ascii="Times New Roman" w:eastAsia="Calibri" w:hAnsi="Times New Roman"/>
          <w:sz w:val="28"/>
          <w:szCs w:val="28"/>
          <w:lang w:eastAsia="en-US"/>
        </w:rPr>
        <w:t>участников  уже</w:t>
      </w:r>
      <w:proofErr w:type="gramEnd"/>
      <w:r w:rsidRPr="00660D37">
        <w:rPr>
          <w:rFonts w:ascii="Times New Roman" w:eastAsia="Calibri" w:hAnsi="Times New Roman"/>
          <w:sz w:val="28"/>
          <w:szCs w:val="28"/>
          <w:lang w:eastAsia="en-US"/>
        </w:rPr>
        <w:t xml:space="preserve"> успешно реализованы пилотные проекты по внедрению инструментов бережливого производства. На всех 24 тольяттинских предприятиях-участниках, завершивших реализацию пилотного проекта, успешно внедрены инструменты бережливого </w:t>
      </w:r>
      <w:r w:rsidRPr="00660D37">
        <w:rPr>
          <w:rFonts w:ascii="Times New Roman" w:eastAsia="Calibri" w:hAnsi="Times New Roman"/>
          <w:sz w:val="28"/>
          <w:szCs w:val="28"/>
          <w:lang w:eastAsia="en-US"/>
        </w:rPr>
        <w:lastRenderedPageBreak/>
        <w:t xml:space="preserve">производства, при этом выработка на одного сотрудника на предприятиях увеличилась в среднем на 96%, незавершенное производство снизилось в среднем на 52%, время протекания </w:t>
      </w:r>
      <w:proofErr w:type="gramStart"/>
      <w:r w:rsidRPr="00660D37">
        <w:rPr>
          <w:rFonts w:ascii="Times New Roman" w:eastAsia="Calibri" w:hAnsi="Times New Roman"/>
          <w:sz w:val="28"/>
          <w:szCs w:val="28"/>
          <w:lang w:eastAsia="en-US"/>
        </w:rPr>
        <w:t>процессов  сократилось</w:t>
      </w:r>
      <w:proofErr w:type="gramEnd"/>
      <w:r w:rsidRPr="00660D37">
        <w:rPr>
          <w:rFonts w:ascii="Times New Roman" w:eastAsia="Calibri" w:hAnsi="Times New Roman"/>
          <w:sz w:val="28"/>
          <w:szCs w:val="28"/>
          <w:lang w:eastAsia="en-US"/>
        </w:rPr>
        <w:t xml:space="preserve"> в среднем на 44%. </w:t>
      </w:r>
    </w:p>
    <w:p w14:paraId="7579CAAD" w14:textId="77777777" w:rsidR="003D3198" w:rsidRPr="00F105B1" w:rsidRDefault="003D3198" w:rsidP="00B56045">
      <w:pPr>
        <w:pStyle w:val="a8"/>
        <w:spacing w:after="240" w:line="276" w:lineRule="auto"/>
        <w:jc w:val="center"/>
        <w:rPr>
          <w:rFonts w:ascii="Times New Roman" w:eastAsiaTheme="majorEastAsia" w:hAnsi="Times New Roman" w:cs="Times New Roman"/>
          <w:b/>
          <w:sz w:val="28"/>
          <w:szCs w:val="28"/>
          <w:lang w:eastAsia="ru-RU"/>
        </w:rPr>
      </w:pPr>
      <w:r w:rsidRPr="00F105B1">
        <w:rPr>
          <w:rFonts w:ascii="Times New Roman" w:eastAsiaTheme="majorEastAsia" w:hAnsi="Times New Roman" w:cs="Times New Roman"/>
          <w:b/>
          <w:sz w:val="28"/>
          <w:szCs w:val="28"/>
          <w:lang w:eastAsia="ru-RU"/>
        </w:rPr>
        <w:t>Малое и среднее предпринимательство</w:t>
      </w:r>
      <w:bookmarkStart w:id="3" w:name="предприним"/>
      <w:bookmarkEnd w:id="3"/>
    </w:p>
    <w:p w14:paraId="5C614190" w14:textId="7BC4F1C3" w:rsidR="005F7BC9" w:rsidRPr="00805AD9" w:rsidRDefault="003D3198" w:rsidP="00A56CAF">
      <w:pPr>
        <w:spacing w:after="0"/>
        <w:ind w:right="-1" w:firstLine="709"/>
        <w:jc w:val="both"/>
        <w:rPr>
          <w:rFonts w:ascii="Times New Roman" w:eastAsia="Calibri" w:hAnsi="Times New Roman"/>
          <w:sz w:val="28"/>
          <w:szCs w:val="28"/>
          <w:lang w:eastAsia="en-US"/>
        </w:rPr>
      </w:pPr>
      <w:r w:rsidRPr="00805AD9">
        <w:rPr>
          <w:rFonts w:ascii="Times New Roman" w:eastAsia="Calibri" w:hAnsi="Times New Roman"/>
          <w:sz w:val="28"/>
          <w:szCs w:val="28"/>
          <w:lang w:eastAsia="en-US"/>
        </w:rPr>
        <w:t>Прогноз развития малого и среднего предпринимательства по городскому округу Тольятти на 20</w:t>
      </w:r>
      <w:r w:rsidR="00730526" w:rsidRPr="00805AD9">
        <w:rPr>
          <w:rFonts w:ascii="Times New Roman" w:eastAsia="Calibri" w:hAnsi="Times New Roman"/>
          <w:sz w:val="28"/>
          <w:szCs w:val="28"/>
          <w:lang w:eastAsia="en-US"/>
        </w:rPr>
        <w:t>2</w:t>
      </w:r>
      <w:r w:rsidR="00805AD9" w:rsidRPr="00805AD9">
        <w:rPr>
          <w:rFonts w:ascii="Times New Roman" w:eastAsia="Calibri" w:hAnsi="Times New Roman"/>
          <w:sz w:val="28"/>
          <w:szCs w:val="28"/>
          <w:lang w:eastAsia="en-US"/>
        </w:rPr>
        <w:t>2</w:t>
      </w:r>
      <w:r w:rsidR="00730526" w:rsidRPr="00805AD9">
        <w:rPr>
          <w:rFonts w:ascii="Times New Roman" w:eastAsia="Calibri" w:hAnsi="Times New Roman"/>
          <w:sz w:val="28"/>
          <w:szCs w:val="28"/>
          <w:lang w:eastAsia="en-US"/>
        </w:rPr>
        <w:t xml:space="preserve"> </w:t>
      </w:r>
      <w:r w:rsidRPr="00805AD9">
        <w:rPr>
          <w:rFonts w:ascii="Times New Roman" w:eastAsia="Calibri" w:hAnsi="Times New Roman"/>
          <w:sz w:val="28"/>
          <w:szCs w:val="28"/>
          <w:lang w:eastAsia="en-US"/>
        </w:rPr>
        <w:t>-</w:t>
      </w:r>
      <w:r w:rsidR="00730526" w:rsidRPr="00805AD9">
        <w:rPr>
          <w:rFonts w:ascii="Times New Roman" w:eastAsia="Calibri" w:hAnsi="Times New Roman"/>
          <w:sz w:val="28"/>
          <w:szCs w:val="28"/>
          <w:lang w:eastAsia="en-US"/>
        </w:rPr>
        <w:t xml:space="preserve"> </w:t>
      </w:r>
      <w:r w:rsidRPr="00805AD9">
        <w:rPr>
          <w:rFonts w:ascii="Times New Roman" w:eastAsia="Calibri" w:hAnsi="Times New Roman"/>
          <w:sz w:val="28"/>
          <w:szCs w:val="28"/>
          <w:lang w:eastAsia="en-US"/>
        </w:rPr>
        <w:t>202</w:t>
      </w:r>
      <w:r w:rsidR="00805AD9" w:rsidRPr="00805AD9">
        <w:rPr>
          <w:rFonts w:ascii="Times New Roman" w:eastAsia="Calibri" w:hAnsi="Times New Roman"/>
          <w:sz w:val="28"/>
          <w:szCs w:val="28"/>
          <w:lang w:eastAsia="en-US"/>
        </w:rPr>
        <w:t>4</w:t>
      </w:r>
      <w:r w:rsidRPr="00805AD9">
        <w:rPr>
          <w:rFonts w:ascii="Times New Roman" w:eastAsia="Calibri" w:hAnsi="Times New Roman"/>
          <w:sz w:val="28"/>
          <w:szCs w:val="28"/>
          <w:lang w:eastAsia="en-US"/>
        </w:rPr>
        <w:t xml:space="preserve"> годы </w:t>
      </w:r>
      <w:r w:rsidR="00E859E3">
        <w:rPr>
          <w:rFonts w:ascii="Times New Roman" w:eastAsia="Calibri" w:hAnsi="Times New Roman"/>
          <w:sz w:val="28"/>
          <w:szCs w:val="28"/>
          <w:lang w:eastAsia="en-US"/>
        </w:rPr>
        <w:t xml:space="preserve">предполагает умеренный рост числа субъектов малого и среднего предпринимательства </w:t>
      </w:r>
      <w:r w:rsidR="00A56CAF">
        <w:rPr>
          <w:rFonts w:ascii="Times New Roman" w:eastAsia="Calibri" w:hAnsi="Times New Roman"/>
          <w:sz w:val="28"/>
          <w:szCs w:val="28"/>
          <w:lang w:eastAsia="en-US"/>
        </w:rPr>
        <w:t xml:space="preserve">(далее по разделу – СМСП) </w:t>
      </w:r>
      <w:r w:rsidR="00E859E3">
        <w:rPr>
          <w:rFonts w:ascii="Times New Roman" w:eastAsia="Calibri" w:hAnsi="Times New Roman"/>
          <w:sz w:val="28"/>
          <w:szCs w:val="28"/>
          <w:lang w:eastAsia="en-US"/>
        </w:rPr>
        <w:t>по консервативному варианту в условиях наличия рисков экономического роста и более динамичный рост - по базовому</w:t>
      </w:r>
      <w:r w:rsidR="005F7BC9" w:rsidRPr="00805AD9">
        <w:rPr>
          <w:rFonts w:ascii="Times New Roman" w:eastAsia="Calibri" w:hAnsi="Times New Roman"/>
          <w:sz w:val="28"/>
          <w:szCs w:val="28"/>
          <w:lang w:eastAsia="en-US"/>
        </w:rPr>
        <w:t>.</w:t>
      </w:r>
    </w:p>
    <w:p w14:paraId="0A2AF440" w14:textId="703D43F2" w:rsidR="00772F0C" w:rsidRPr="00805AD9" w:rsidRDefault="00AF7BA3" w:rsidP="00A56CAF">
      <w:pPr>
        <w:suppressAutoHyphens/>
        <w:spacing w:after="0"/>
        <w:ind w:firstLine="709"/>
        <w:jc w:val="both"/>
        <w:rPr>
          <w:rFonts w:ascii="Times New Roman" w:hAnsi="Times New Roman"/>
          <w:color w:val="000000"/>
          <w:sz w:val="28"/>
          <w:szCs w:val="28"/>
        </w:rPr>
      </w:pPr>
      <w:r w:rsidRPr="00805AD9">
        <w:rPr>
          <w:rFonts w:ascii="Times New Roman" w:hAnsi="Times New Roman"/>
          <w:color w:val="000000"/>
          <w:sz w:val="28"/>
          <w:szCs w:val="28"/>
        </w:rPr>
        <w:t xml:space="preserve">В прогнозном периоде увеличению количества </w:t>
      </w:r>
      <w:r w:rsidR="00A56CAF">
        <w:rPr>
          <w:rFonts w:ascii="Times New Roman" w:hAnsi="Times New Roman"/>
          <w:color w:val="000000"/>
          <w:sz w:val="28"/>
          <w:szCs w:val="28"/>
        </w:rPr>
        <w:t>СМСП</w:t>
      </w:r>
      <w:r w:rsidRPr="00805AD9">
        <w:rPr>
          <w:rFonts w:ascii="Times New Roman" w:hAnsi="Times New Roman"/>
          <w:color w:val="000000"/>
          <w:sz w:val="28"/>
          <w:szCs w:val="28"/>
        </w:rPr>
        <w:t xml:space="preserve"> будет способствовать</w:t>
      </w:r>
      <w:r w:rsidR="00772F0C" w:rsidRPr="00805AD9">
        <w:rPr>
          <w:rFonts w:ascii="Times New Roman" w:hAnsi="Times New Roman"/>
          <w:color w:val="000000"/>
          <w:sz w:val="28"/>
          <w:szCs w:val="28"/>
        </w:rPr>
        <w:t>:</w:t>
      </w:r>
    </w:p>
    <w:p w14:paraId="24FD490E" w14:textId="4FBB8D8B" w:rsidR="00805AD9" w:rsidRPr="00805AD9" w:rsidRDefault="00772F0C" w:rsidP="00A56CAF">
      <w:pPr>
        <w:spacing w:after="0"/>
        <w:ind w:right="-1" w:firstLine="709"/>
        <w:jc w:val="both"/>
        <w:rPr>
          <w:rFonts w:ascii="Times New Roman" w:eastAsia="Calibri" w:hAnsi="Times New Roman"/>
          <w:sz w:val="28"/>
          <w:szCs w:val="28"/>
          <w:lang w:eastAsia="en-US"/>
        </w:rPr>
      </w:pPr>
      <w:r w:rsidRPr="00805AD9">
        <w:rPr>
          <w:rFonts w:ascii="Times New Roman" w:hAnsi="Times New Roman"/>
          <w:color w:val="000000"/>
          <w:sz w:val="28"/>
          <w:szCs w:val="28"/>
        </w:rPr>
        <w:t>-</w:t>
      </w:r>
      <w:r w:rsidR="00AB31C6" w:rsidRPr="00805AD9">
        <w:rPr>
          <w:rFonts w:ascii="Times New Roman" w:hAnsi="Times New Roman"/>
          <w:color w:val="000000"/>
          <w:sz w:val="28"/>
          <w:szCs w:val="28"/>
        </w:rPr>
        <w:t xml:space="preserve"> </w:t>
      </w:r>
      <w:r w:rsidR="00AF7BA3" w:rsidRPr="00805AD9">
        <w:rPr>
          <w:rFonts w:ascii="Times New Roman" w:hAnsi="Times New Roman"/>
          <w:color w:val="000000"/>
          <w:sz w:val="28"/>
          <w:szCs w:val="28"/>
        </w:rPr>
        <w:t xml:space="preserve">реализация мероприятий </w:t>
      </w:r>
      <w:r w:rsidR="00847218">
        <w:rPr>
          <w:rFonts w:ascii="Times New Roman" w:hAnsi="Times New Roman"/>
          <w:color w:val="000000"/>
          <w:sz w:val="28"/>
          <w:szCs w:val="28"/>
        </w:rPr>
        <w:t>н</w:t>
      </w:r>
      <w:r w:rsidR="00AB31C6" w:rsidRPr="00805AD9">
        <w:rPr>
          <w:rFonts w:ascii="Times New Roman" w:hAnsi="Times New Roman"/>
          <w:color w:val="000000"/>
          <w:sz w:val="28"/>
          <w:szCs w:val="28"/>
        </w:rPr>
        <w:t>ационального проекта</w:t>
      </w:r>
      <w:r w:rsidR="00805AD9" w:rsidRPr="00805AD9">
        <w:rPr>
          <w:rFonts w:ascii="Times New Roman" w:hAnsi="Times New Roman"/>
          <w:color w:val="000000"/>
          <w:sz w:val="28"/>
          <w:szCs w:val="28"/>
        </w:rPr>
        <w:t xml:space="preserve"> </w:t>
      </w:r>
      <w:r w:rsidR="00805AD9" w:rsidRPr="00805AD9">
        <w:rPr>
          <w:rFonts w:ascii="Times New Roman" w:eastAsia="Calibri" w:hAnsi="Times New Roman"/>
          <w:sz w:val="28"/>
          <w:szCs w:val="28"/>
          <w:lang w:eastAsia="en-US"/>
        </w:rPr>
        <w:t>«Малое и среднее предпринимательство и поддержка индивидуальной предпринимательской инициативы»</w:t>
      </w:r>
      <w:r w:rsidR="00E859E3">
        <w:rPr>
          <w:rFonts w:ascii="Times New Roman" w:eastAsia="Calibri" w:hAnsi="Times New Roman"/>
          <w:sz w:val="28"/>
          <w:szCs w:val="28"/>
          <w:lang w:eastAsia="en-US"/>
        </w:rPr>
        <w:t>;</w:t>
      </w:r>
    </w:p>
    <w:p w14:paraId="6D1E779E" w14:textId="2F1DF51C" w:rsidR="00AF7BA3" w:rsidRPr="00805AD9" w:rsidRDefault="00772F0C" w:rsidP="00A56CAF">
      <w:pPr>
        <w:suppressAutoHyphens/>
        <w:spacing w:after="0"/>
        <w:ind w:firstLine="709"/>
        <w:jc w:val="both"/>
        <w:rPr>
          <w:rFonts w:ascii="Times New Roman" w:hAnsi="Times New Roman"/>
          <w:color w:val="000000"/>
          <w:sz w:val="28"/>
          <w:szCs w:val="28"/>
        </w:rPr>
      </w:pPr>
      <w:r w:rsidRPr="00805AD9">
        <w:rPr>
          <w:rFonts w:ascii="Times New Roman" w:hAnsi="Times New Roman"/>
          <w:color w:val="000000"/>
          <w:sz w:val="28"/>
          <w:szCs w:val="28"/>
        </w:rPr>
        <w:t>- реализация мероприятий государственной программы Самарской области «Развитие малого и среднего предпринимательства в Самарской области» на 2019-2030 годы</w:t>
      </w:r>
      <w:r w:rsidR="001A52B7">
        <w:rPr>
          <w:rFonts w:ascii="Times New Roman" w:hAnsi="Times New Roman"/>
          <w:color w:val="000000"/>
          <w:sz w:val="28"/>
          <w:szCs w:val="28"/>
        </w:rPr>
        <w:t xml:space="preserve"> и </w:t>
      </w:r>
      <w:r w:rsidRPr="00805AD9">
        <w:rPr>
          <w:rFonts w:ascii="Times New Roman" w:hAnsi="Times New Roman"/>
          <w:color w:val="000000"/>
          <w:sz w:val="28"/>
          <w:szCs w:val="28"/>
        </w:rPr>
        <w:t xml:space="preserve">мероприятий </w:t>
      </w:r>
      <w:r w:rsidR="00AF7BA3" w:rsidRPr="00805AD9">
        <w:rPr>
          <w:rFonts w:ascii="Times New Roman" w:hAnsi="Times New Roman"/>
          <w:color w:val="000000"/>
          <w:sz w:val="28"/>
          <w:szCs w:val="28"/>
        </w:rPr>
        <w:t>муниципальной программы городского округа Тольятти «Развитие малого и среднего предпринимательства городского окр</w:t>
      </w:r>
      <w:r w:rsidR="00E038BB" w:rsidRPr="00805AD9">
        <w:rPr>
          <w:rFonts w:ascii="Times New Roman" w:hAnsi="Times New Roman"/>
          <w:color w:val="000000"/>
          <w:sz w:val="28"/>
          <w:szCs w:val="28"/>
        </w:rPr>
        <w:t>уга Тольятти на 2018-2022 годы»</w:t>
      </w:r>
      <w:r w:rsidR="00AB31C6" w:rsidRPr="00805AD9">
        <w:rPr>
          <w:rFonts w:ascii="Times New Roman" w:hAnsi="Times New Roman"/>
          <w:color w:val="000000"/>
          <w:sz w:val="28"/>
          <w:szCs w:val="28"/>
        </w:rPr>
        <w:t xml:space="preserve">; </w:t>
      </w:r>
    </w:p>
    <w:p w14:paraId="1961C80B" w14:textId="4463E41C" w:rsidR="001A52B7" w:rsidRDefault="00AF7BA3" w:rsidP="00A56CAF">
      <w:pPr>
        <w:autoSpaceDE w:val="0"/>
        <w:autoSpaceDN w:val="0"/>
        <w:spacing w:after="0"/>
        <w:ind w:firstLine="709"/>
        <w:contextualSpacing/>
        <w:jc w:val="both"/>
        <w:rPr>
          <w:rFonts w:ascii="Times New Roman" w:hAnsi="Times New Roman"/>
          <w:color w:val="000000"/>
          <w:sz w:val="28"/>
          <w:szCs w:val="28"/>
        </w:rPr>
      </w:pPr>
      <w:r w:rsidRPr="00805AD9">
        <w:rPr>
          <w:rFonts w:ascii="Times New Roman" w:hAnsi="Times New Roman"/>
          <w:color w:val="000000"/>
          <w:sz w:val="28"/>
          <w:szCs w:val="28"/>
        </w:rPr>
        <w:t xml:space="preserve">- развитие ТОСЭР «Тольятти» и ОЭЗ ППТ «Тольятти», позволяющей создавать новые рабочие места, в основном, в малом </w:t>
      </w:r>
      <w:r w:rsidR="00E859E3">
        <w:rPr>
          <w:rFonts w:ascii="Times New Roman" w:hAnsi="Times New Roman"/>
          <w:color w:val="000000"/>
          <w:sz w:val="28"/>
          <w:szCs w:val="28"/>
        </w:rPr>
        <w:t xml:space="preserve">и среднем </w:t>
      </w:r>
      <w:r w:rsidRPr="00805AD9">
        <w:rPr>
          <w:rFonts w:ascii="Times New Roman" w:hAnsi="Times New Roman"/>
          <w:color w:val="000000"/>
          <w:sz w:val="28"/>
          <w:szCs w:val="28"/>
        </w:rPr>
        <w:t>бизнесе</w:t>
      </w:r>
      <w:r w:rsidR="00735763">
        <w:rPr>
          <w:rFonts w:ascii="Times New Roman" w:hAnsi="Times New Roman"/>
          <w:color w:val="000000"/>
          <w:sz w:val="28"/>
          <w:szCs w:val="28"/>
        </w:rPr>
        <w:t xml:space="preserve"> (за три прогнозных года резидентами планируется создание не менее 5,3 </w:t>
      </w:r>
      <w:r w:rsidR="006D3FDD">
        <w:rPr>
          <w:rFonts w:ascii="Times New Roman" w:hAnsi="Times New Roman"/>
          <w:color w:val="000000"/>
          <w:sz w:val="28"/>
          <w:szCs w:val="28"/>
        </w:rPr>
        <w:t xml:space="preserve">тыс. </w:t>
      </w:r>
      <w:r w:rsidR="00735763">
        <w:rPr>
          <w:rFonts w:ascii="Times New Roman" w:hAnsi="Times New Roman"/>
          <w:color w:val="000000"/>
          <w:sz w:val="28"/>
          <w:szCs w:val="28"/>
        </w:rPr>
        <w:t>новых рабочих мест)</w:t>
      </w:r>
      <w:r w:rsidR="001A52B7">
        <w:rPr>
          <w:rFonts w:ascii="Times New Roman" w:hAnsi="Times New Roman"/>
          <w:color w:val="000000"/>
          <w:sz w:val="28"/>
          <w:szCs w:val="28"/>
        </w:rPr>
        <w:t>;</w:t>
      </w:r>
    </w:p>
    <w:p w14:paraId="44DFD678" w14:textId="62E17587" w:rsidR="00AF7BA3" w:rsidRPr="00805AD9" w:rsidRDefault="001A52B7" w:rsidP="00A56CAF">
      <w:pPr>
        <w:autoSpaceDE w:val="0"/>
        <w:autoSpaceDN w:val="0"/>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 развитие самозанятости граждан и снижение неформальной занятости</w:t>
      </w:r>
      <w:r w:rsidR="00AF7BA3" w:rsidRPr="00805AD9">
        <w:rPr>
          <w:rFonts w:ascii="Times New Roman" w:hAnsi="Times New Roman"/>
          <w:color w:val="000000"/>
          <w:sz w:val="28"/>
          <w:szCs w:val="28"/>
        </w:rPr>
        <w:t xml:space="preserve">. </w:t>
      </w:r>
    </w:p>
    <w:p w14:paraId="752C13C6" w14:textId="396CC7B2" w:rsidR="00847218" w:rsidRDefault="000E32EA" w:rsidP="005848E6">
      <w:pPr>
        <w:spacing w:after="0"/>
        <w:ind w:firstLine="709"/>
        <w:jc w:val="both"/>
        <w:rPr>
          <w:rFonts w:ascii="Times New Roman" w:hAnsi="Times New Roman"/>
          <w:color w:val="000000"/>
          <w:sz w:val="28"/>
          <w:szCs w:val="28"/>
        </w:rPr>
      </w:pPr>
      <w:hyperlink r:id="rId8" w:history="1">
        <w:r w:rsidR="00847218" w:rsidRPr="00847218">
          <w:rPr>
            <w:rFonts w:ascii="Times New Roman" w:hAnsi="Times New Roman"/>
            <w:color w:val="000000"/>
            <w:sz w:val="28"/>
            <w:szCs w:val="28"/>
          </w:rPr>
          <w:t>По итогам программы «Прямая линия с Владимиром Путиным»</w:t>
        </w:r>
      </w:hyperlink>
      <w:r w:rsidR="00847218" w:rsidRPr="00847218">
        <w:rPr>
          <w:rFonts w:ascii="Times New Roman" w:hAnsi="Times New Roman"/>
          <w:color w:val="000000"/>
          <w:sz w:val="28"/>
          <w:szCs w:val="28"/>
        </w:rPr>
        <w:t xml:space="preserve">, состоявшейся 6 июля 2021 года дано поручение  Правительству Российской Федерации совместно с Банком России и АО «Федеральная корпорация по развитию малого и среднего предпринимательства» при участии системно значимых кредитных организаций принять дополнительные меры по льготному кредитованию </w:t>
      </w:r>
      <w:r w:rsidR="005848E6">
        <w:rPr>
          <w:rFonts w:ascii="Times New Roman" w:hAnsi="Times New Roman"/>
          <w:color w:val="000000"/>
          <w:sz w:val="28"/>
          <w:szCs w:val="28"/>
        </w:rPr>
        <w:t>СМСП</w:t>
      </w:r>
      <w:r w:rsidR="00847218" w:rsidRPr="00847218">
        <w:rPr>
          <w:rFonts w:ascii="Times New Roman" w:hAnsi="Times New Roman"/>
          <w:color w:val="000000"/>
          <w:sz w:val="28"/>
          <w:szCs w:val="28"/>
        </w:rPr>
        <w:t xml:space="preserve">, обеспечивающие в том числе повышение доступности и объемов такого кредитования, а также увеличение охвата льготным кредитованием </w:t>
      </w:r>
      <w:r w:rsidR="005848E6">
        <w:rPr>
          <w:rFonts w:ascii="Times New Roman" w:hAnsi="Times New Roman"/>
          <w:color w:val="000000"/>
          <w:sz w:val="28"/>
          <w:szCs w:val="28"/>
        </w:rPr>
        <w:t>СМСП</w:t>
      </w:r>
      <w:r w:rsidR="00847218" w:rsidRPr="00847218">
        <w:rPr>
          <w:rFonts w:ascii="Times New Roman" w:hAnsi="Times New Roman"/>
          <w:color w:val="000000"/>
          <w:sz w:val="28"/>
          <w:szCs w:val="28"/>
        </w:rPr>
        <w:t>.</w:t>
      </w:r>
      <w:r w:rsidR="00DB0BCD">
        <w:rPr>
          <w:rFonts w:ascii="Times New Roman" w:hAnsi="Times New Roman"/>
          <w:color w:val="000000"/>
          <w:sz w:val="28"/>
          <w:szCs w:val="28"/>
        </w:rPr>
        <w:t xml:space="preserve"> </w:t>
      </w:r>
    </w:p>
    <w:p w14:paraId="2D8BF0AC" w14:textId="252177D9" w:rsidR="005848E6" w:rsidRPr="005848E6" w:rsidRDefault="005848E6" w:rsidP="005848E6">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Кроме этого, Правительству </w:t>
      </w:r>
      <w:r w:rsidRPr="00847218">
        <w:rPr>
          <w:rFonts w:ascii="Times New Roman" w:hAnsi="Times New Roman"/>
          <w:color w:val="000000"/>
          <w:sz w:val="28"/>
          <w:szCs w:val="28"/>
        </w:rPr>
        <w:t>Российской Федерации</w:t>
      </w:r>
      <w:r>
        <w:rPr>
          <w:rFonts w:ascii="Times New Roman" w:hAnsi="Times New Roman"/>
          <w:color w:val="000000"/>
          <w:sz w:val="28"/>
          <w:szCs w:val="28"/>
        </w:rPr>
        <w:t xml:space="preserve"> поручено</w:t>
      </w:r>
      <w:r w:rsidRPr="005848E6">
        <w:rPr>
          <w:rFonts w:ascii="Times New Roman" w:hAnsi="Times New Roman"/>
          <w:color w:val="000000"/>
          <w:sz w:val="28"/>
          <w:szCs w:val="28"/>
        </w:rPr>
        <w:t xml:space="preserve"> представить предложения по внесению в законодательство Российской Федерации изменений, направленных на вовлечение </w:t>
      </w:r>
      <w:r>
        <w:rPr>
          <w:rFonts w:ascii="Times New Roman" w:hAnsi="Times New Roman"/>
          <w:color w:val="000000"/>
          <w:sz w:val="28"/>
          <w:szCs w:val="28"/>
        </w:rPr>
        <w:t>СМСП</w:t>
      </w:r>
      <w:r w:rsidRPr="005848E6">
        <w:rPr>
          <w:rFonts w:ascii="Times New Roman" w:hAnsi="Times New Roman"/>
          <w:color w:val="000000"/>
          <w:sz w:val="28"/>
          <w:szCs w:val="28"/>
        </w:rPr>
        <w:t xml:space="preserve"> в экспортную деятельность, в том числе на увеличение продаж российских товаров на электронных торговых площадках</w:t>
      </w:r>
      <w:r w:rsidR="00DC207E">
        <w:rPr>
          <w:rFonts w:ascii="Times New Roman" w:hAnsi="Times New Roman"/>
          <w:color w:val="000000"/>
          <w:sz w:val="28"/>
          <w:szCs w:val="28"/>
        </w:rPr>
        <w:t>, а также</w:t>
      </w:r>
      <w:r>
        <w:rPr>
          <w:rFonts w:ascii="Times New Roman" w:hAnsi="Times New Roman"/>
          <w:color w:val="000000"/>
          <w:sz w:val="28"/>
          <w:szCs w:val="28"/>
        </w:rPr>
        <w:t xml:space="preserve"> </w:t>
      </w:r>
      <w:r w:rsidRPr="005848E6">
        <w:rPr>
          <w:rFonts w:ascii="Times New Roman" w:hAnsi="Times New Roman"/>
          <w:color w:val="000000"/>
          <w:sz w:val="28"/>
          <w:szCs w:val="28"/>
        </w:rPr>
        <w:t xml:space="preserve">рассмотреть  вопрос </w:t>
      </w:r>
      <w:r w:rsidRPr="005848E6">
        <w:rPr>
          <w:rFonts w:ascii="Times New Roman" w:hAnsi="Times New Roman"/>
          <w:color w:val="000000"/>
          <w:sz w:val="28"/>
          <w:szCs w:val="28"/>
        </w:rPr>
        <w:lastRenderedPageBreak/>
        <w:t xml:space="preserve">об осуществлении с 2022 года финансирования мероприятий по обеспечению льготного доступа </w:t>
      </w:r>
      <w:r>
        <w:rPr>
          <w:rFonts w:ascii="Times New Roman" w:hAnsi="Times New Roman"/>
          <w:color w:val="000000"/>
          <w:sz w:val="28"/>
          <w:szCs w:val="28"/>
        </w:rPr>
        <w:t>СМСП</w:t>
      </w:r>
      <w:r w:rsidRPr="005848E6">
        <w:rPr>
          <w:rFonts w:ascii="Times New Roman" w:hAnsi="Times New Roman"/>
          <w:color w:val="000000"/>
          <w:sz w:val="28"/>
          <w:szCs w:val="28"/>
        </w:rPr>
        <w:t xml:space="preserve"> к инфраструктуре промышленных парков и технопарков, а также поддержки приобретения и (или) внедрения программного обеспечения отечественного производства предприятиями малого и среднего бизнеса</w:t>
      </w:r>
      <w:r>
        <w:rPr>
          <w:rFonts w:ascii="Times New Roman" w:hAnsi="Times New Roman"/>
          <w:color w:val="000000"/>
          <w:sz w:val="28"/>
          <w:szCs w:val="28"/>
        </w:rPr>
        <w:t>.</w:t>
      </w:r>
      <w:r w:rsidRPr="005848E6">
        <w:rPr>
          <w:rFonts w:ascii="Times New Roman" w:hAnsi="Times New Roman"/>
          <w:color w:val="000000"/>
          <w:sz w:val="28"/>
          <w:szCs w:val="28"/>
        </w:rPr>
        <w:fldChar w:fldCharType="begin"/>
      </w:r>
      <w:r w:rsidRPr="005848E6">
        <w:rPr>
          <w:rFonts w:ascii="Times New Roman" w:hAnsi="Times New Roman"/>
          <w:color w:val="000000"/>
          <w:sz w:val="28"/>
          <w:szCs w:val="28"/>
        </w:rPr>
        <w:instrText xml:space="preserve"> HYPERLINK "http://kremlin.ru/acts/assignments/orders/64273" \l "assignment-69" </w:instrText>
      </w:r>
      <w:r w:rsidRPr="005848E6">
        <w:rPr>
          <w:rFonts w:ascii="Times New Roman" w:hAnsi="Times New Roman"/>
          <w:color w:val="000000"/>
          <w:sz w:val="28"/>
          <w:szCs w:val="28"/>
        </w:rPr>
        <w:fldChar w:fldCharType="separate"/>
      </w:r>
    </w:p>
    <w:p w14:paraId="5A339AA0" w14:textId="275FE36C" w:rsidR="00AF7BA3" w:rsidRDefault="005848E6" w:rsidP="005848E6">
      <w:pPr>
        <w:spacing w:after="0"/>
        <w:ind w:firstLine="709"/>
        <w:jc w:val="both"/>
        <w:rPr>
          <w:rFonts w:ascii="Times New Roman" w:hAnsi="Times New Roman"/>
          <w:color w:val="000000"/>
          <w:sz w:val="28"/>
          <w:szCs w:val="28"/>
        </w:rPr>
      </w:pPr>
      <w:r w:rsidRPr="005848E6">
        <w:rPr>
          <w:rFonts w:ascii="Times New Roman" w:hAnsi="Times New Roman"/>
          <w:color w:val="000000"/>
          <w:sz w:val="28"/>
          <w:szCs w:val="28"/>
        </w:rPr>
        <w:fldChar w:fldCharType="end"/>
      </w:r>
      <w:r w:rsidR="00AF7BA3" w:rsidRPr="00805AD9">
        <w:rPr>
          <w:rFonts w:ascii="Times New Roman" w:hAnsi="Times New Roman"/>
          <w:color w:val="000000"/>
          <w:sz w:val="28"/>
          <w:szCs w:val="28"/>
        </w:rPr>
        <w:t xml:space="preserve">Положительной динамике СМСП будет способствовать функционирование развитой инфраструктуры поддержки малого и среднего предпринимательства, которая представлена такими организациями как: Муниципальный фонд поддержки и развития субъектов малого и среднего предпринимательства </w:t>
      </w:r>
      <w:proofErr w:type="spellStart"/>
      <w:r w:rsidR="00AF7BA3" w:rsidRPr="00805AD9">
        <w:rPr>
          <w:rFonts w:ascii="Times New Roman" w:hAnsi="Times New Roman"/>
          <w:color w:val="000000"/>
          <w:sz w:val="28"/>
          <w:szCs w:val="28"/>
        </w:rPr>
        <w:t>микрокредитная</w:t>
      </w:r>
      <w:proofErr w:type="spellEnd"/>
      <w:r w:rsidR="00AF7BA3" w:rsidRPr="00805AD9">
        <w:rPr>
          <w:rFonts w:ascii="Times New Roman" w:hAnsi="Times New Roman"/>
          <w:color w:val="000000"/>
          <w:sz w:val="28"/>
          <w:szCs w:val="28"/>
        </w:rPr>
        <w:t xml:space="preserve"> компания городского округа Тольятти; Муниципальное автономное учреждение городского округа Тольятти «Агентство экономического развития»; Акционерное общество </w:t>
      </w:r>
      <w:proofErr w:type="spellStart"/>
      <w:r w:rsidR="00AF7BA3" w:rsidRPr="00805AD9">
        <w:rPr>
          <w:rFonts w:ascii="Times New Roman" w:hAnsi="Times New Roman"/>
          <w:color w:val="000000"/>
          <w:sz w:val="28"/>
          <w:szCs w:val="28"/>
        </w:rPr>
        <w:t>Микрокредитная</w:t>
      </w:r>
      <w:proofErr w:type="spellEnd"/>
      <w:r w:rsidR="00AF7BA3" w:rsidRPr="00805AD9">
        <w:rPr>
          <w:rFonts w:ascii="Times New Roman" w:hAnsi="Times New Roman"/>
          <w:color w:val="000000"/>
          <w:sz w:val="28"/>
          <w:szCs w:val="28"/>
        </w:rPr>
        <w:t xml:space="preserve"> компания «Гарантийный фонд Самарской области»; Общественная приемная института Уполномоченного при Президенте Российской Федерации по защите прав предпринимателей в г. Тольятти Самарской области.</w:t>
      </w:r>
    </w:p>
    <w:p w14:paraId="31F11BC0" w14:textId="4C78E4BD" w:rsidR="00E859E3" w:rsidRDefault="00805AD9" w:rsidP="00996AD5">
      <w:pPr>
        <w:spacing w:after="0"/>
        <w:ind w:firstLine="708"/>
        <w:jc w:val="both"/>
        <w:rPr>
          <w:rFonts w:ascii="Times New Roman" w:hAnsi="Times New Roman"/>
          <w:color w:val="000000"/>
          <w:sz w:val="28"/>
          <w:szCs w:val="28"/>
        </w:rPr>
      </w:pPr>
      <w:r w:rsidRPr="00805AD9">
        <w:rPr>
          <w:rFonts w:ascii="Times New Roman" w:hAnsi="Times New Roman"/>
          <w:color w:val="000000"/>
          <w:sz w:val="28"/>
          <w:szCs w:val="28"/>
        </w:rPr>
        <w:t xml:space="preserve">По консервативному варианту прогноза </w:t>
      </w:r>
      <w:r w:rsidR="00055327" w:rsidRPr="00055327">
        <w:rPr>
          <w:rFonts w:ascii="Times New Roman" w:hAnsi="Times New Roman"/>
          <w:color w:val="000000"/>
          <w:sz w:val="28"/>
          <w:szCs w:val="28"/>
        </w:rPr>
        <w:t>с учетом менее динамичного выхода экономики городского округа Тольятти из кризиса</w:t>
      </w:r>
      <w:r w:rsidR="00055327">
        <w:rPr>
          <w:rFonts w:ascii="Times New Roman" w:hAnsi="Times New Roman"/>
          <w:color w:val="000000"/>
          <w:sz w:val="28"/>
          <w:szCs w:val="28"/>
        </w:rPr>
        <w:t xml:space="preserve"> </w:t>
      </w:r>
      <w:r>
        <w:rPr>
          <w:rFonts w:ascii="Times New Roman" w:hAnsi="Times New Roman"/>
          <w:color w:val="000000"/>
          <w:sz w:val="28"/>
          <w:szCs w:val="28"/>
        </w:rPr>
        <w:t xml:space="preserve">количество </w:t>
      </w:r>
      <w:proofErr w:type="gramStart"/>
      <w:r>
        <w:rPr>
          <w:rFonts w:ascii="Times New Roman" w:hAnsi="Times New Roman"/>
          <w:color w:val="000000"/>
          <w:sz w:val="28"/>
          <w:szCs w:val="28"/>
        </w:rPr>
        <w:t xml:space="preserve">субъектов </w:t>
      </w:r>
      <w:r w:rsidRPr="00805AD9">
        <w:rPr>
          <w:rFonts w:ascii="Times New Roman" w:hAnsi="Times New Roman"/>
          <w:color w:val="000000"/>
          <w:sz w:val="28"/>
          <w:szCs w:val="28"/>
        </w:rPr>
        <w:t xml:space="preserve"> мал</w:t>
      </w:r>
      <w:r>
        <w:rPr>
          <w:rFonts w:ascii="Times New Roman" w:hAnsi="Times New Roman"/>
          <w:color w:val="000000"/>
          <w:sz w:val="28"/>
          <w:szCs w:val="28"/>
        </w:rPr>
        <w:t>ого</w:t>
      </w:r>
      <w:proofErr w:type="gramEnd"/>
      <w:r>
        <w:rPr>
          <w:rFonts w:ascii="Times New Roman" w:hAnsi="Times New Roman"/>
          <w:color w:val="000000"/>
          <w:sz w:val="28"/>
          <w:szCs w:val="28"/>
        </w:rPr>
        <w:t xml:space="preserve"> и среднего предпринимательства  к</w:t>
      </w:r>
      <w:r w:rsidRPr="00805AD9">
        <w:rPr>
          <w:rFonts w:ascii="Times New Roman" w:hAnsi="Times New Roman"/>
          <w:color w:val="000000"/>
          <w:sz w:val="28"/>
          <w:szCs w:val="28"/>
        </w:rPr>
        <w:t xml:space="preserve"> концу 202</w:t>
      </w:r>
      <w:r>
        <w:rPr>
          <w:rFonts w:ascii="Times New Roman" w:hAnsi="Times New Roman"/>
          <w:color w:val="000000"/>
          <w:sz w:val="28"/>
          <w:szCs w:val="28"/>
        </w:rPr>
        <w:t>4</w:t>
      </w:r>
      <w:r w:rsidRPr="00805AD9">
        <w:rPr>
          <w:rFonts w:ascii="Times New Roman" w:hAnsi="Times New Roman"/>
          <w:color w:val="000000"/>
          <w:sz w:val="28"/>
          <w:szCs w:val="28"/>
        </w:rPr>
        <w:t xml:space="preserve"> года составит </w:t>
      </w:r>
      <w:r w:rsidR="00E859E3">
        <w:rPr>
          <w:rFonts w:ascii="Times New Roman" w:hAnsi="Times New Roman"/>
          <w:color w:val="000000"/>
          <w:sz w:val="28"/>
          <w:szCs w:val="28"/>
        </w:rPr>
        <w:t>32,5</w:t>
      </w:r>
      <w:r w:rsidRPr="00805AD9">
        <w:rPr>
          <w:rFonts w:ascii="Times New Roman" w:hAnsi="Times New Roman"/>
          <w:color w:val="000000"/>
          <w:sz w:val="28"/>
          <w:szCs w:val="28"/>
        </w:rPr>
        <w:t xml:space="preserve"> тыс. единиц, что на </w:t>
      </w:r>
      <w:r w:rsidR="00996AD5">
        <w:rPr>
          <w:rFonts w:ascii="Times New Roman" w:hAnsi="Times New Roman"/>
          <w:color w:val="000000"/>
          <w:sz w:val="28"/>
          <w:szCs w:val="28"/>
        </w:rPr>
        <w:t>2,8</w:t>
      </w:r>
      <w:r w:rsidRPr="00805AD9">
        <w:rPr>
          <w:rFonts w:ascii="Times New Roman" w:hAnsi="Times New Roman"/>
          <w:color w:val="000000"/>
          <w:sz w:val="28"/>
          <w:szCs w:val="28"/>
        </w:rPr>
        <w:t>% выше 202</w:t>
      </w:r>
      <w:r w:rsidR="00055327">
        <w:rPr>
          <w:rFonts w:ascii="Times New Roman" w:hAnsi="Times New Roman"/>
          <w:color w:val="000000"/>
          <w:sz w:val="28"/>
          <w:szCs w:val="28"/>
        </w:rPr>
        <w:t>1</w:t>
      </w:r>
      <w:r w:rsidRPr="00805AD9">
        <w:rPr>
          <w:rFonts w:ascii="Times New Roman" w:hAnsi="Times New Roman"/>
          <w:color w:val="000000"/>
          <w:sz w:val="28"/>
          <w:szCs w:val="28"/>
        </w:rPr>
        <w:t xml:space="preserve"> года. </w:t>
      </w:r>
      <w:r w:rsidR="00593886">
        <w:rPr>
          <w:rFonts w:ascii="Times New Roman" w:hAnsi="Times New Roman"/>
          <w:color w:val="000000"/>
          <w:sz w:val="28"/>
          <w:szCs w:val="28"/>
        </w:rPr>
        <w:t xml:space="preserve">При этом, прогноз количества СМСП на 2022 год скорректирован относительно прошлогоднего прогноза в сторону увеличения (с 29,7 ед. до 31,5 ед.) </w:t>
      </w:r>
      <w:r w:rsidR="009F4823">
        <w:rPr>
          <w:rFonts w:ascii="Times New Roman" w:hAnsi="Times New Roman"/>
          <w:color w:val="000000"/>
          <w:sz w:val="28"/>
          <w:szCs w:val="28"/>
        </w:rPr>
        <w:t xml:space="preserve">на основании сложившейся динамики с учетом предусмотренных мер поддержки малому предпринимательству, направленных на его поддержку и развитие. </w:t>
      </w:r>
    </w:p>
    <w:p w14:paraId="00515858" w14:textId="1F5AFEEF" w:rsidR="009F4823" w:rsidRDefault="00805AD9" w:rsidP="00996AD5">
      <w:pPr>
        <w:spacing w:after="0"/>
        <w:ind w:firstLine="708"/>
        <w:jc w:val="both"/>
        <w:rPr>
          <w:rFonts w:ascii="Times New Roman" w:hAnsi="Times New Roman"/>
          <w:color w:val="000000"/>
          <w:sz w:val="28"/>
          <w:szCs w:val="28"/>
        </w:rPr>
      </w:pPr>
      <w:r w:rsidRPr="00055327">
        <w:rPr>
          <w:rFonts w:ascii="Times New Roman" w:hAnsi="Times New Roman"/>
          <w:color w:val="000000"/>
          <w:sz w:val="28"/>
          <w:szCs w:val="28"/>
        </w:rPr>
        <w:t xml:space="preserve">По </w:t>
      </w:r>
      <w:r w:rsidR="00055327" w:rsidRPr="00055327">
        <w:rPr>
          <w:rFonts w:ascii="Times New Roman" w:hAnsi="Times New Roman"/>
          <w:color w:val="000000"/>
          <w:sz w:val="28"/>
          <w:szCs w:val="28"/>
        </w:rPr>
        <w:t>базовому</w:t>
      </w:r>
      <w:r w:rsidRPr="00055327">
        <w:rPr>
          <w:rFonts w:ascii="Times New Roman" w:hAnsi="Times New Roman"/>
          <w:color w:val="000000"/>
          <w:sz w:val="28"/>
          <w:szCs w:val="28"/>
        </w:rPr>
        <w:t xml:space="preserve"> варианту прирост показателя за три года </w:t>
      </w:r>
      <w:r w:rsidR="00055327">
        <w:rPr>
          <w:rFonts w:ascii="Times New Roman" w:hAnsi="Times New Roman"/>
          <w:color w:val="000000"/>
          <w:sz w:val="28"/>
          <w:szCs w:val="28"/>
        </w:rPr>
        <w:t xml:space="preserve">будет значительнее и </w:t>
      </w:r>
      <w:r w:rsidRPr="00055327">
        <w:rPr>
          <w:rFonts w:ascii="Times New Roman" w:hAnsi="Times New Roman"/>
          <w:color w:val="000000"/>
          <w:sz w:val="28"/>
          <w:szCs w:val="28"/>
        </w:rPr>
        <w:t xml:space="preserve">составит </w:t>
      </w:r>
      <w:r w:rsidR="00E859E3">
        <w:rPr>
          <w:rFonts w:ascii="Times New Roman" w:hAnsi="Times New Roman"/>
          <w:color w:val="000000"/>
          <w:sz w:val="28"/>
          <w:szCs w:val="28"/>
        </w:rPr>
        <w:t>5,</w:t>
      </w:r>
      <w:r w:rsidR="00996AD5">
        <w:rPr>
          <w:rFonts w:ascii="Times New Roman" w:hAnsi="Times New Roman"/>
          <w:color w:val="000000"/>
          <w:sz w:val="28"/>
          <w:szCs w:val="28"/>
        </w:rPr>
        <w:t>1</w:t>
      </w:r>
      <w:r w:rsidRPr="00055327">
        <w:rPr>
          <w:rFonts w:ascii="Times New Roman" w:hAnsi="Times New Roman"/>
          <w:color w:val="000000"/>
          <w:sz w:val="28"/>
          <w:szCs w:val="28"/>
        </w:rPr>
        <w:t>%</w:t>
      </w:r>
      <w:r w:rsidR="00D47788">
        <w:rPr>
          <w:rFonts w:ascii="Times New Roman" w:hAnsi="Times New Roman"/>
          <w:color w:val="000000"/>
          <w:sz w:val="28"/>
          <w:szCs w:val="28"/>
        </w:rPr>
        <w:t xml:space="preserve"> до 33,2 тыс. единиц</w:t>
      </w:r>
      <w:r w:rsidRPr="00055327">
        <w:rPr>
          <w:rFonts w:ascii="Times New Roman" w:hAnsi="Times New Roman"/>
          <w:color w:val="000000"/>
          <w:sz w:val="28"/>
          <w:szCs w:val="28"/>
        </w:rPr>
        <w:t>.</w:t>
      </w:r>
      <w:r w:rsidR="00E859E3">
        <w:rPr>
          <w:rFonts w:ascii="Times New Roman" w:hAnsi="Times New Roman"/>
          <w:color w:val="000000"/>
          <w:sz w:val="28"/>
          <w:szCs w:val="28"/>
        </w:rPr>
        <w:t xml:space="preserve"> </w:t>
      </w:r>
      <w:r w:rsidR="009F4823">
        <w:rPr>
          <w:rFonts w:ascii="Times New Roman" w:hAnsi="Times New Roman"/>
          <w:color w:val="000000"/>
          <w:sz w:val="28"/>
          <w:szCs w:val="28"/>
        </w:rPr>
        <w:t>При этом, сдерживать более динамичный рост показателя будет сложная эпидемиологическая обстановка и возможное принятие ограничительных мер.</w:t>
      </w:r>
    </w:p>
    <w:p w14:paraId="281CB2F8" w14:textId="54EC1793" w:rsidR="00805AD9" w:rsidRPr="00055327" w:rsidRDefault="00E859E3" w:rsidP="00996AD5">
      <w:pPr>
        <w:spacing w:after="0"/>
        <w:ind w:firstLine="708"/>
        <w:jc w:val="both"/>
        <w:rPr>
          <w:rFonts w:ascii="Times New Roman" w:hAnsi="Times New Roman"/>
          <w:color w:val="000000"/>
          <w:sz w:val="28"/>
          <w:szCs w:val="28"/>
        </w:rPr>
      </w:pPr>
      <w:r>
        <w:rPr>
          <w:rFonts w:ascii="Times New Roman" w:hAnsi="Times New Roman"/>
          <w:color w:val="000000"/>
          <w:sz w:val="28"/>
          <w:szCs w:val="28"/>
        </w:rPr>
        <w:t xml:space="preserve">Количество индивидуальных предпринимателей увеличится на </w:t>
      </w:r>
      <w:r w:rsidR="00996AD5">
        <w:rPr>
          <w:rFonts w:ascii="Times New Roman" w:hAnsi="Times New Roman"/>
          <w:color w:val="000000"/>
          <w:sz w:val="28"/>
          <w:szCs w:val="28"/>
        </w:rPr>
        <w:t xml:space="preserve">2,8% и </w:t>
      </w:r>
      <w:r>
        <w:rPr>
          <w:rFonts w:ascii="Times New Roman" w:hAnsi="Times New Roman"/>
          <w:color w:val="000000"/>
          <w:sz w:val="28"/>
          <w:szCs w:val="28"/>
        </w:rPr>
        <w:t xml:space="preserve">5,6%, среднесписочная численность работников </w:t>
      </w:r>
      <w:r w:rsidR="00735763">
        <w:rPr>
          <w:rFonts w:ascii="Times New Roman" w:hAnsi="Times New Roman"/>
          <w:color w:val="000000"/>
          <w:sz w:val="28"/>
          <w:szCs w:val="28"/>
        </w:rPr>
        <w:t xml:space="preserve">СМСП вырастет на </w:t>
      </w:r>
      <w:r w:rsidR="00996AD5">
        <w:rPr>
          <w:rFonts w:ascii="Times New Roman" w:hAnsi="Times New Roman"/>
          <w:color w:val="000000"/>
          <w:sz w:val="28"/>
          <w:szCs w:val="28"/>
        </w:rPr>
        <w:t>2,8</w:t>
      </w:r>
      <w:r w:rsidR="00735763">
        <w:rPr>
          <w:rFonts w:ascii="Times New Roman" w:hAnsi="Times New Roman"/>
          <w:color w:val="000000"/>
          <w:sz w:val="28"/>
          <w:szCs w:val="28"/>
        </w:rPr>
        <w:t xml:space="preserve"> </w:t>
      </w:r>
      <w:r w:rsidR="00996AD5">
        <w:rPr>
          <w:rFonts w:ascii="Times New Roman" w:hAnsi="Times New Roman"/>
          <w:color w:val="000000"/>
          <w:sz w:val="28"/>
          <w:szCs w:val="28"/>
        </w:rPr>
        <w:t xml:space="preserve">тыс. человек </w:t>
      </w:r>
      <w:r w:rsidR="00735763">
        <w:rPr>
          <w:rFonts w:ascii="Times New Roman" w:hAnsi="Times New Roman"/>
          <w:color w:val="000000"/>
          <w:sz w:val="28"/>
          <w:szCs w:val="28"/>
        </w:rPr>
        <w:t>и 5,</w:t>
      </w:r>
      <w:r w:rsidR="00996AD5">
        <w:rPr>
          <w:rFonts w:ascii="Times New Roman" w:hAnsi="Times New Roman"/>
          <w:color w:val="000000"/>
          <w:sz w:val="28"/>
          <w:szCs w:val="28"/>
        </w:rPr>
        <w:t>3</w:t>
      </w:r>
      <w:r w:rsidR="00735763">
        <w:rPr>
          <w:rFonts w:ascii="Times New Roman" w:hAnsi="Times New Roman"/>
          <w:color w:val="000000"/>
          <w:sz w:val="28"/>
          <w:szCs w:val="28"/>
        </w:rPr>
        <w:t xml:space="preserve"> тыс. человек к 2021 году по вариантам прогноза благодаря созданию новых рабочих мест в результате реализации инвестиционных проектов.</w:t>
      </w:r>
      <w:r w:rsidR="00593886">
        <w:rPr>
          <w:rFonts w:ascii="Times New Roman" w:hAnsi="Times New Roman"/>
          <w:color w:val="000000"/>
          <w:sz w:val="28"/>
          <w:szCs w:val="28"/>
        </w:rPr>
        <w:t xml:space="preserve"> </w:t>
      </w:r>
    </w:p>
    <w:p w14:paraId="4164F788" w14:textId="6E358FA4" w:rsidR="00CA48D4" w:rsidRDefault="00CA48D4" w:rsidP="00D47788">
      <w:pPr>
        <w:pStyle w:val="a8"/>
        <w:spacing w:before="120" w:line="276" w:lineRule="auto"/>
        <w:jc w:val="center"/>
        <w:rPr>
          <w:rFonts w:ascii="Times New Roman" w:eastAsiaTheme="majorEastAsia" w:hAnsi="Times New Roman" w:cs="Times New Roman"/>
          <w:b/>
          <w:sz w:val="28"/>
          <w:szCs w:val="28"/>
          <w:lang w:eastAsia="ru-RU"/>
        </w:rPr>
      </w:pPr>
      <w:r w:rsidRPr="004C4873">
        <w:rPr>
          <w:rFonts w:ascii="Times New Roman" w:eastAsiaTheme="majorEastAsia" w:hAnsi="Times New Roman" w:cs="Times New Roman"/>
          <w:b/>
          <w:sz w:val="28"/>
          <w:szCs w:val="28"/>
          <w:lang w:eastAsia="ru-RU"/>
        </w:rPr>
        <w:t>Инвестиции в основной капитал</w:t>
      </w:r>
    </w:p>
    <w:p w14:paraId="3D6F1BE0" w14:textId="77777777" w:rsidR="00FB0050" w:rsidRPr="00FB0050" w:rsidRDefault="00FB0050" w:rsidP="00D47788">
      <w:pPr>
        <w:widowControl w:val="0"/>
        <w:suppressAutoHyphens/>
        <w:spacing w:before="120"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Прогноз социально-экономического развития городского округа Тольятти в сфере инвестиционной политики основан на инвестиционных ожиданиях и среднесрочных планах развития уже действующих проектов.</w:t>
      </w:r>
    </w:p>
    <w:p w14:paraId="6A8D34F7" w14:textId="77777777" w:rsidR="00FB0050" w:rsidRP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 xml:space="preserve">В прогнозном периоде ожидается постепенное восстановление </w:t>
      </w:r>
      <w:r w:rsidRPr="00FB0050">
        <w:rPr>
          <w:rFonts w:ascii="Times New Roman" w:hAnsi="Times New Roman"/>
          <w:sz w:val="28"/>
          <w:szCs w:val="28"/>
          <w:lang w:eastAsia="ar-SA"/>
        </w:rPr>
        <w:lastRenderedPageBreak/>
        <w:t xml:space="preserve">экономики вследствие улучшения ситуации в реальном секторе экономике, активизации экономической деятельности в пострадавших от распространения коронавирусной инфекции отраслях промышленности, транспорта, сферы услуг, восстановления и развития деятельности сектора малого и среднего предпринимательства, инвестиционного спроса, возобновления роста реальных доходов населения, занятости и платежеспособного спроса домашних хозяйств. В результате в прогнозном периоде в городском округе Тольятти, как и в целом по Самарской области, будут отмечаться положительная динамика инвестиций с умеренными темпам роста. </w:t>
      </w:r>
    </w:p>
    <w:p w14:paraId="4635EAB4" w14:textId="77777777" w:rsidR="00FB0050" w:rsidRP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По консервативному варианту прогноза, под влиянием неблагоприятных внешних социально-экономических факторов (затяжном восстановлении экономики и структурном замедлении темпов ее роста из-за последствий распространения новой коронавирусной инфекции), прогнозируется невысокие темпы роста объемов инвестиций в основной капитал.</w:t>
      </w:r>
    </w:p>
    <w:p w14:paraId="1D79E8B7" w14:textId="77777777" w:rsid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 xml:space="preserve">Объем инвестиций составит: в 2022 году – 60 286 млн. рублей, что на 6,3% выше уровня предыдущего года (на 0,9% в сопоставимых ценах), в 2023 году – 65 103,2 млн. рублей, что на 8,0% выше уровня предыдущего года (на 2,6% в сопоставимых ценах), в 2024 году – 71 338,3 млн. рублей с ростом на 9,6% (на 4,0% в сопоставимых ценах). За три прогнозных года инвестиции вырастут на 25,8% в действующих ценах (на 7,7% в сопоставимых ценах). </w:t>
      </w:r>
    </w:p>
    <w:p w14:paraId="68E1687B" w14:textId="25B44529" w:rsid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 xml:space="preserve">В 2022–2024 годах в городском округе Тольятти по базовому варианту предполагается восстановление экономической активности бизнеса на фоне снижения общего уровня экономической неопределенности, роста инвестиционного спроса, эффективной реализации структурных мер экономической политики, направленных на расширение производственного потенциала экономики и ее переход на инвестиционно-ориентированную модель экономического развития: в 2022 году общий объем инвестиций составит 62 769,3 млн. рублей, что на 5,2% выше уровня предыдущего года в сопоставимых ценах, в 2023 году – 70 372,1 млн. рублей, что на 6,7% выше уровня предыдущего года в сопоставимых ценах, в 2024 году – 79 556,1 млн. рублей с ростом в сопоставимых ценах на 7,6%. </w:t>
      </w:r>
    </w:p>
    <w:p w14:paraId="6BDA5806" w14:textId="32C2975D" w:rsidR="002A51C9" w:rsidRPr="00FB0050" w:rsidRDefault="00BF5254" w:rsidP="002A51C9">
      <w:pPr>
        <w:spacing w:after="0"/>
        <w:ind w:firstLine="709"/>
        <w:jc w:val="both"/>
        <w:rPr>
          <w:rFonts w:ascii="Times New Roman" w:hAnsi="Times New Roman"/>
          <w:sz w:val="28"/>
          <w:szCs w:val="28"/>
        </w:rPr>
      </w:pPr>
      <w:r>
        <w:rPr>
          <w:rFonts w:ascii="Times New Roman" w:hAnsi="Times New Roman"/>
          <w:color w:val="000000"/>
          <w:sz w:val="28"/>
          <w:szCs w:val="28"/>
        </w:rPr>
        <w:t>К</w:t>
      </w:r>
      <w:r w:rsidR="002A51C9" w:rsidRPr="009F4823">
        <w:rPr>
          <w:rFonts w:ascii="Times New Roman" w:hAnsi="Times New Roman"/>
          <w:color w:val="000000"/>
          <w:sz w:val="28"/>
          <w:szCs w:val="28"/>
        </w:rPr>
        <w:t>орректировк</w:t>
      </w:r>
      <w:r>
        <w:rPr>
          <w:rFonts w:ascii="Times New Roman" w:hAnsi="Times New Roman"/>
          <w:color w:val="000000"/>
          <w:sz w:val="28"/>
          <w:szCs w:val="28"/>
        </w:rPr>
        <w:t>а</w:t>
      </w:r>
      <w:r w:rsidR="002A51C9" w:rsidRPr="009F4823">
        <w:rPr>
          <w:rFonts w:ascii="Times New Roman" w:hAnsi="Times New Roman"/>
          <w:color w:val="000000"/>
          <w:sz w:val="28"/>
          <w:szCs w:val="28"/>
        </w:rPr>
        <w:t xml:space="preserve"> показателей инвестиционной деятельности по сравнению с прошлогодними параметрами прогноза (</w:t>
      </w:r>
      <w:r w:rsidR="002A51C9">
        <w:rPr>
          <w:rFonts w:ascii="Times New Roman" w:hAnsi="Times New Roman"/>
          <w:color w:val="000000"/>
          <w:sz w:val="28"/>
          <w:szCs w:val="28"/>
        </w:rPr>
        <w:t xml:space="preserve">увеличено </w:t>
      </w:r>
      <w:r w:rsidR="002A51C9" w:rsidRPr="009F4823">
        <w:rPr>
          <w:rFonts w:ascii="Times New Roman" w:hAnsi="Times New Roman"/>
          <w:color w:val="000000"/>
          <w:sz w:val="28"/>
          <w:szCs w:val="28"/>
        </w:rPr>
        <w:t>на 14-18 млрд. рублей ежегодно) произведена на основании фактически сложившихся</w:t>
      </w:r>
      <w:r w:rsidR="002A51C9">
        <w:rPr>
          <w:rFonts w:ascii="Times New Roman" w:hAnsi="Times New Roman"/>
          <w:color w:val="000000"/>
          <w:sz w:val="28"/>
          <w:szCs w:val="28"/>
        </w:rPr>
        <w:t>, более высоких</w:t>
      </w:r>
      <w:r w:rsidR="002A51C9" w:rsidRPr="009F4823">
        <w:rPr>
          <w:rFonts w:ascii="Times New Roman" w:hAnsi="Times New Roman"/>
          <w:color w:val="000000"/>
          <w:sz w:val="28"/>
          <w:szCs w:val="28"/>
        </w:rPr>
        <w:t xml:space="preserve"> значений </w:t>
      </w:r>
      <w:r w:rsidR="002A51C9">
        <w:rPr>
          <w:rFonts w:ascii="Times New Roman" w:hAnsi="Times New Roman"/>
          <w:color w:val="000000"/>
          <w:sz w:val="28"/>
          <w:szCs w:val="28"/>
        </w:rPr>
        <w:t xml:space="preserve">показателя, а также с учетом прогнозных значений показателей, представленных </w:t>
      </w:r>
      <w:r w:rsidR="002A51C9" w:rsidRPr="009F4823">
        <w:rPr>
          <w:rFonts w:ascii="Times New Roman" w:hAnsi="Times New Roman"/>
          <w:color w:val="000000"/>
          <w:sz w:val="28"/>
          <w:szCs w:val="28"/>
        </w:rPr>
        <w:t>ведущи</w:t>
      </w:r>
      <w:r w:rsidR="002A51C9">
        <w:rPr>
          <w:rFonts w:ascii="Times New Roman" w:hAnsi="Times New Roman"/>
          <w:color w:val="000000"/>
          <w:sz w:val="28"/>
          <w:szCs w:val="28"/>
        </w:rPr>
        <w:t>ми</w:t>
      </w:r>
      <w:r w:rsidR="002A51C9" w:rsidRPr="009F4823">
        <w:rPr>
          <w:rFonts w:ascii="Times New Roman" w:hAnsi="Times New Roman"/>
          <w:color w:val="000000"/>
          <w:sz w:val="28"/>
          <w:szCs w:val="28"/>
        </w:rPr>
        <w:t xml:space="preserve"> промышленны</w:t>
      </w:r>
      <w:r w:rsidR="002A51C9">
        <w:rPr>
          <w:rFonts w:ascii="Times New Roman" w:hAnsi="Times New Roman"/>
          <w:color w:val="000000"/>
          <w:sz w:val="28"/>
          <w:szCs w:val="28"/>
        </w:rPr>
        <w:t>ми</w:t>
      </w:r>
      <w:r w:rsidR="002A51C9" w:rsidRPr="009F4823">
        <w:rPr>
          <w:rFonts w:ascii="Times New Roman" w:hAnsi="Times New Roman"/>
          <w:color w:val="000000"/>
          <w:sz w:val="28"/>
          <w:szCs w:val="28"/>
        </w:rPr>
        <w:t xml:space="preserve"> предприяти</w:t>
      </w:r>
      <w:r w:rsidR="002A51C9">
        <w:rPr>
          <w:rFonts w:ascii="Times New Roman" w:hAnsi="Times New Roman"/>
          <w:color w:val="000000"/>
          <w:sz w:val="28"/>
          <w:szCs w:val="28"/>
        </w:rPr>
        <w:t>ями</w:t>
      </w:r>
      <w:r w:rsidR="002A51C9" w:rsidRPr="009F4823">
        <w:rPr>
          <w:rFonts w:ascii="Times New Roman" w:hAnsi="Times New Roman"/>
          <w:color w:val="000000"/>
          <w:sz w:val="28"/>
          <w:szCs w:val="28"/>
        </w:rPr>
        <w:t xml:space="preserve"> городского округа Тольятти, плановых сумм бюджетных инвестиций в </w:t>
      </w:r>
      <w:r w:rsidR="002A51C9" w:rsidRPr="009F4823">
        <w:rPr>
          <w:rFonts w:ascii="Times New Roman" w:hAnsi="Times New Roman"/>
          <w:color w:val="000000"/>
          <w:sz w:val="28"/>
          <w:szCs w:val="28"/>
        </w:rPr>
        <w:lastRenderedPageBreak/>
        <w:t>реконструкцию и строительство объектов на территории городского округа Тольятти.</w:t>
      </w:r>
      <w:r w:rsidR="002A51C9" w:rsidRPr="00FB0050">
        <w:rPr>
          <w:rFonts w:ascii="Times New Roman" w:hAnsi="Times New Roman"/>
          <w:color w:val="000000"/>
          <w:sz w:val="28"/>
          <w:szCs w:val="28"/>
        </w:rPr>
        <w:t xml:space="preserve"> </w:t>
      </w:r>
    </w:p>
    <w:p w14:paraId="2A7212C6" w14:textId="77777777" w:rsidR="00FB0050" w:rsidRP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В среднесрочной перспективе планируется реализация крупных инвестиционных проектов в наиболее капиталоемких отраслях экономики региона.</w:t>
      </w:r>
    </w:p>
    <w:p w14:paraId="7546F278" w14:textId="77777777" w:rsidR="00FB0050" w:rsidRP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 xml:space="preserve">Основная часть инвестиций в городском округе Тольятти по-прежнему будет осуществляться ведущими предприятиями автомобильной и химической промышленности. </w:t>
      </w:r>
    </w:p>
    <w:p w14:paraId="3DD0DCCE" w14:textId="77777777" w:rsidR="00FB0050" w:rsidRP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 xml:space="preserve">АО «АВТОВАЗ» в прогнозном периоде продолжит реализацию инвестиционных проектов по организации производства новых моделей автомобилей. В рамках специального инвестиционного контракта, подписанного АО «АВТОВАЗ» и министерством промышленности и торговли Российской Федерации с участием Самарской области, Альянс «Рено-Ниссан-Мицубиси» и его партнеры взяли на себя обязательства до 2025 года локализовать производство 26 моделей, создать российское производство автоматических коробок передач и современных двигателей. </w:t>
      </w:r>
    </w:p>
    <w:p w14:paraId="10B3A461" w14:textId="77777777" w:rsidR="00FB0050" w:rsidRP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Начиная с 2023 года АО «АВТОВАЗ» планирует обновить модельный ряд Lada на глобальной платформе альянса Renault-Nissan CMF-B, в связи с чем бренд Lada выйдет на новый ценовой сегмент на российском автомобильном рынке.</w:t>
      </w:r>
    </w:p>
    <w:p w14:paraId="56B5D309" w14:textId="77777777" w:rsidR="00FB0050" w:rsidRP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 xml:space="preserve">Кроме того, в прогнозном периоде планируется разработка нового поколения </w:t>
      </w:r>
      <w:proofErr w:type="spellStart"/>
      <w:r w:rsidRPr="00FB0050">
        <w:rPr>
          <w:rFonts w:ascii="Times New Roman" w:hAnsi="Times New Roman"/>
          <w:sz w:val="28"/>
          <w:szCs w:val="28"/>
          <w:lang w:eastAsia="ar-SA"/>
        </w:rPr>
        <w:t>двухпедального</w:t>
      </w:r>
      <w:proofErr w:type="spellEnd"/>
      <w:r w:rsidRPr="00FB0050">
        <w:rPr>
          <w:rFonts w:ascii="Times New Roman" w:hAnsi="Times New Roman"/>
          <w:sz w:val="28"/>
          <w:szCs w:val="28"/>
          <w:lang w:eastAsia="ar-SA"/>
        </w:rPr>
        <w:t xml:space="preserve"> автомобиля для трех брендов Renault, </w:t>
      </w:r>
      <w:proofErr w:type="spellStart"/>
      <w:r w:rsidRPr="00FB0050">
        <w:rPr>
          <w:rFonts w:ascii="Times New Roman" w:hAnsi="Times New Roman"/>
          <w:sz w:val="28"/>
          <w:szCs w:val="28"/>
          <w:lang w:eastAsia="ar-SA"/>
        </w:rPr>
        <w:t>Dacia</w:t>
      </w:r>
      <w:proofErr w:type="spellEnd"/>
      <w:r w:rsidRPr="00FB0050">
        <w:rPr>
          <w:rFonts w:ascii="Times New Roman" w:hAnsi="Times New Roman"/>
          <w:sz w:val="28"/>
          <w:szCs w:val="28"/>
          <w:lang w:eastAsia="ar-SA"/>
        </w:rPr>
        <w:t xml:space="preserve"> и Lada, как на версиях полноприводных, так и на </w:t>
      </w:r>
      <w:proofErr w:type="spellStart"/>
      <w:r w:rsidRPr="00FB0050">
        <w:rPr>
          <w:rFonts w:ascii="Times New Roman" w:hAnsi="Times New Roman"/>
          <w:sz w:val="28"/>
          <w:szCs w:val="28"/>
          <w:lang w:eastAsia="ar-SA"/>
        </w:rPr>
        <w:t>моноприводных</w:t>
      </w:r>
      <w:proofErr w:type="spellEnd"/>
      <w:r w:rsidRPr="00FB0050">
        <w:rPr>
          <w:rFonts w:ascii="Times New Roman" w:hAnsi="Times New Roman"/>
          <w:sz w:val="28"/>
          <w:szCs w:val="28"/>
          <w:lang w:eastAsia="ar-SA"/>
        </w:rPr>
        <w:t xml:space="preserve"> моделей.</w:t>
      </w:r>
    </w:p>
    <w:p w14:paraId="186DEA25" w14:textId="77777777" w:rsidR="00FB0050" w:rsidRP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 xml:space="preserve"> К 2025 году АО «АВТОВАЗ» добавит в модельный ряд еще четыре новых модели. В том числе - совершенно новое поколение Niva, которое выйдет в 2024 году — внедорожник на платформе CMF-B. </w:t>
      </w:r>
    </w:p>
    <w:p w14:paraId="4BBC5A2B" w14:textId="77777777" w:rsidR="00FB0050" w:rsidRP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На ПАО «</w:t>
      </w:r>
      <w:proofErr w:type="spellStart"/>
      <w:r w:rsidRPr="00FB0050">
        <w:rPr>
          <w:rFonts w:ascii="Times New Roman" w:hAnsi="Times New Roman"/>
          <w:sz w:val="28"/>
          <w:szCs w:val="28"/>
          <w:lang w:eastAsia="ar-SA"/>
        </w:rPr>
        <w:t>КуйбышевАзот</w:t>
      </w:r>
      <w:proofErr w:type="spellEnd"/>
      <w:r w:rsidRPr="00FB0050">
        <w:rPr>
          <w:rFonts w:ascii="Times New Roman" w:hAnsi="Times New Roman"/>
          <w:sz w:val="28"/>
          <w:szCs w:val="28"/>
          <w:lang w:eastAsia="ar-SA"/>
        </w:rPr>
        <w:t xml:space="preserve">» планируется завершение строительства нового энергоэффективного агрегата карбамида совместно с итальянской компанией MET Development </w:t>
      </w:r>
      <w:proofErr w:type="spellStart"/>
      <w:r w:rsidRPr="00FB0050">
        <w:rPr>
          <w:rFonts w:ascii="Times New Roman" w:hAnsi="Times New Roman"/>
          <w:sz w:val="28"/>
          <w:szCs w:val="28"/>
          <w:lang w:eastAsia="ar-SA"/>
        </w:rPr>
        <w:t>S.p.A</w:t>
      </w:r>
      <w:proofErr w:type="spellEnd"/>
      <w:r w:rsidRPr="00FB0050">
        <w:rPr>
          <w:rFonts w:ascii="Times New Roman" w:hAnsi="Times New Roman"/>
          <w:sz w:val="28"/>
          <w:szCs w:val="28"/>
          <w:lang w:eastAsia="ar-SA"/>
        </w:rPr>
        <w:t xml:space="preserve"> с целью увеличения объемов производства и повышения безопасности технологического процесса за счет применения наиболее современных технологий, оборудования и системы управления технологическим процессом. </w:t>
      </w:r>
    </w:p>
    <w:p w14:paraId="13DBFD77" w14:textId="77777777" w:rsidR="00FB0050" w:rsidRP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 xml:space="preserve">На ПАО «Тольяттиазот» в прогнозном периоде завершится строительство третьего агрегата карбамида и реконструкция биологических очистных сооружений. </w:t>
      </w:r>
    </w:p>
    <w:p w14:paraId="79976989" w14:textId="77777777" w:rsidR="00FB0050" w:rsidRPr="00FB0050" w:rsidRDefault="00FB0050" w:rsidP="00A56CAF">
      <w:pPr>
        <w:widowControl w:val="0"/>
        <w:suppressAutoHyphens/>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В прогнозном периоде на ООО «</w:t>
      </w:r>
      <w:proofErr w:type="spellStart"/>
      <w:r w:rsidRPr="00FB0050">
        <w:rPr>
          <w:rFonts w:ascii="Times New Roman" w:hAnsi="Times New Roman"/>
          <w:sz w:val="28"/>
          <w:szCs w:val="28"/>
          <w:lang w:eastAsia="ar-SA"/>
        </w:rPr>
        <w:t>Тольяттикаучук</w:t>
      </w:r>
      <w:proofErr w:type="spellEnd"/>
      <w:r w:rsidRPr="00FB0050">
        <w:rPr>
          <w:rFonts w:ascii="Times New Roman" w:hAnsi="Times New Roman"/>
          <w:sz w:val="28"/>
          <w:szCs w:val="28"/>
          <w:lang w:eastAsia="ar-SA"/>
        </w:rPr>
        <w:t>» завершится реализация проектов по увеличению производства изобутан-изобутиленовой фракции за счет снижения потерь изобутилена; техническому перевооружению и замене насосных агрегатов производства изобутан-</w:t>
      </w:r>
      <w:r w:rsidRPr="00FB0050">
        <w:rPr>
          <w:rFonts w:ascii="Times New Roman" w:hAnsi="Times New Roman"/>
          <w:sz w:val="28"/>
          <w:szCs w:val="28"/>
          <w:lang w:eastAsia="ar-SA"/>
        </w:rPr>
        <w:lastRenderedPageBreak/>
        <w:t xml:space="preserve">изобутиленовой фракции. </w:t>
      </w:r>
    </w:p>
    <w:p w14:paraId="40B8AC86" w14:textId="77777777" w:rsidR="00FB0050" w:rsidRPr="00FB0050" w:rsidRDefault="00FB0050" w:rsidP="00A56CAF">
      <w:pPr>
        <w:widowControl w:val="0"/>
        <w:tabs>
          <w:tab w:val="left" w:pos="851"/>
          <w:tab w:val="left" w:pos="993"/>
        </w:tabs>
        <w:suppressAutoHyphens/>
        <w:autoSpaceDE w:val="0"/>
        <w:spacing w:after="0"/>
        <w:ind w:firstLine="709"/>
        <w:jc w:val="both"/>
        <w:rPr>
          <w:rFonts w:ascii="Times New Roman" w:hAnsi="Times New Roman"/>
          <w:sz w:val="28"/>
          <w:szCs w:val="28"/>
          <w:lang w:eastAsia="ar-SA"/>
        </w:rPr>
      </w:pPr>
      <w:r w:rsidRPr="00FB0050">
        <w:rPr>
          <w:rFonts w:ascii="Times New Roman" w:hAnsi="Times New Roman"/>
          <w:sz w:val="28"/>
          <w:szCs w:val="28"/>
          <w:lang w:eastAsia="ar-SA"/>
        </w:rPr>
        <w:t>Сохранение привлекательности ТОСЭР «Тольятти» для новых инвесторов будет определяться принятием ряда антикризисных мер (возможность продления срока действия пониженных тарифов страховых взносов в государственные внебюджетные фонды); а также возможностью продления срока функционирования ТОСЭР «Тольятти» еще на 5 лет до 2031 года). Продолжится работа по улучшению делового климата, сокращению административной нагрузки на предпринимателей.</w:t>
      </w:r>
    </w:p>
    <w:p w14:paraId="07BF5EFC" w14:textId="1ACA439D" w:rsidR="00FB0050" w:rsidRPr="00FB0050" w:rsidRDefault="00FB0050" w:rsidP="00A56CAF">
      <w:pPr>
        <w:widowControl w:val="0"/>
        <w:tabs>
          <w:tab w:val="left" w:pos="851"/>
          <w:tab w:val="left" w:pos="993"/>
        </w:tabs>
        <w:suppressAutoHyphens/>
        <w:autoSpaceDE w:val="0"/>
        <w:spacing w:after="0"/>
        <w:ind w:firstLine="709"/>
        <w:jc w:val="both"/>
        <w:rPr>
          <w:rFonts w:ascii="Times New Roman" w:hAnsi="Times New Roman"/>
          <w:sz w:val="28"/>
          <w:szCs w:val="28"/>
          <w:highlight w:val="yellow"/>
          <w:lang w:eastAsia="ar-SA"/>
        </w:rPr>
      </w:pPr>
      <w:r w:rsidRPr="00FB0050">
        <w:rPr>
          <w:rFonts w:ascii="Times New Roman" w:hAnsi="Times New Roman"/>
          <w:sz w:val="28"/>
          <w:szCs w:val="28"/>
          <w:lang w:eastAsia="ar-SA"/>
        </w:rPr>
        <w:t>В 2021-2024 годах объем инвестиций всех резидентов ТОСЭР «Тольятти» и ОЭЗ ППТ «Тольятти» (с учетом крупных, средних, малых и микропредприятий) предполагается в объеме около 25,1 млрд. рублей или 9,3% всех инвестиций по городскому округу Тольятти за указанный период времени.</w:t>
      </w:r>
    </w:p>
    <w:p w14:paraId="53AB95E7" w14:textId="5C909901" w:rsidR="00FB0050" w:rsidRPr="00FB0050" w:rsidRDefault="00FB0050" w:rsidP="00A56CAF">
      <w:pPr>
        <w:widowControl w:val="0"/>
        <w:spacing w:after="0"/>
        <w:ind w:firstLine="709"/>
        <w:jc w:val="both"/>
        <w:rPr>
          <w:rFonts w:ascii="Times New Roman" w:hAnsi="Times New Roman"/>
          <w:sz w:val="28"/>
          <w:szCs w:val="28"/>
        </w:rPr>
      </w:pPr>
      <w:r w:rsidRPr="00FB0050">
        <w:rPr>
          <w:rFonts w:ascii="Times New Roman" w:hAnsi="Times New Roman"/>
          <w:sz w:val="28"/>
          <w:szCs w:val="28"/>
        </w:rPr>
        <w:t>В прогнозном периоде (2022-2024 гг.) объем инвестиций резидентов ТОСЭР «Тольятти» предполагается в объеме около 1,7 млрд. рублей.</w:t>
      </w:r>
    </w:p>
    <w:p w14:paraId="78A2AD22" w14:textId="77777777" w:rsidR="00FB0050" w:rsidRPr="00FB0050" w:rsidRDefault="00FB0050" w:rsidP="00A56CAF">
      <w:pPr>
        <w:widowControl w:val="0"/>
        <w:spacing w:after="0"/>
        <w:ind w:firstLine="709"/>
        <w:jc w:val="both"/>
        <w:rPr>
          <w:rFonts w:ascii="Times New Roman" w:hAnsi="Times New Roman"/>
          <w:sz w:val="28"/>
          <w:szCs w:val="28"/>
        </w:rPr>
      </w:pPr>
      <w:r w:rsidRPr="00FB0050">
        <w:rPr>
          <w:rFonts w:ascii="Times New Roman" w:hAnsi="Times New Roman"/>
          <w:sz w:val="28"/>
          <w:szCs w:val="28"/>
        </w:rPr>
        <w:t>ООО «АКОМ-Индастриал» в прогнозном периоде продолжит реализацию проекта по производству промышленных свинцовых аккумуляторных батарей с общим объемом инвестиций около 1 млрд. рублей.</w:t>
      </w:r>
    </w:p>
    <w:p w14:paraId="13D8F8FA" w14:textId="77777777" w:rsidR="00FB0050" w:rsidRPr="00FB0050" w:rsidRDefault="00FB0050" w:rsidP="00A56CAF">
      <w:pPr>
        <w:widowControl w:val="0"/>
        <w:spacing w:after="0"/>
        <w:ind w:firstLine="709"/>
        <w:jc w:val="both"/>
        <w:rPr>
          <w:rFonts w:ascii="Times New Roman" w:hAnsi="Times New Roman"/>
          <w:sz w:val="28"/>
          <w:szCs w:val="28"/>
        </w:rPr>
      </w:pPr>
      <w:r w:rsidRPr="00FB0050">
        <w:rPr>
          <w:rFonts w:ascii="Times New Roman" w:hAnsi="Times New Roman"/>
          <w:sz w:val="28"/>
          <w:szCs w:val="28"/>
        </w:rPr>
        <w:t>ООО «ФАБРИКА БИСКВИТА» продолжит строительство фабрики по производству бисквитных мучных изделий в городском округе Тольятти, общим объемом инвестиций в проект – 1,3 млрд. рублей.</w:t>
      </w:r>
    </w:p>
    <w:p w14:paraId="05D4399C" w14:textId="77777777" w:rsidR="00FB0050" w:rsidRPr="00FB0050" w:rsidRDefault="00FB0050" w:rsidP="00A56CAF">
      <w:pPr>
        <w:widowControl w:val="0"/>
        <w:spacing w:after="0"/>
        <w:ind w:firstLine="709"/>
        <w:jc w:val="both"/>
        <w:rPr>
          <w:rFonts w:ascii="Times New Roman" w:hAnsi="Times New Roman"/>
          <w:sz w:val="28"/>
          <w:szCs w:val="28"/>
        </w:rPr>
      </w:pPr>
      <w:r w:rsidRPr="00FB0050">
        <w:rPr>
          <w:rFonts w:ascii="Times New Roman" w:hAnsi="Times New Roman"/>
          <w:sz w:val="28"/>
          <w:szCs w:val="28"/>
        </w:rPr>
        <w:t>В 2023 году ООО «Карат-Тольятти» планирует ввести в эксплуатацию завод по изготовлению плавленых сыров (планируется создание более 500 рабочих мест), который станет крупным потребителем молока с потенциалом переработки – около 290 млн. тонн в год. Общий объем инвестиций в строительство предприятия в Тольятти может составить более 10 млрд. рублей.</w:t>
      </w:r>
    </w:p>
    <w:p w14:paraId="39B2BE49" w14:textId="77777777" w:rsidR="00FB0050" w:rsidRPr="00FB0050" w:rsidRDefault="00FB0050" w:rsidP="00A56CAF">
      <w:pPr>
        <w:spacing w:after="0"/>
        <w:ind w:firstLine="709"/>
        <w:jc w:val="both"/>
        <w:rPr>
          <w:rFonts w:ascii="Times New Roman" w:hAnsi="Times New Roman"/>
          <w:sz w:val="28"/>
          <w:szCs w:val="28"/>
        </w:rPr>
      </w:pPr>
      <w:r w:rsidRPr="00FB0050">
        <w:rPr>
          <w:rFonts w:ascii="Times New Roman" w:hAnsi="Times New Roman"/>
          <w:sz w:val="28"/>
          <w:szCs w:val="28"/>
        </w:rPr>
        <w:t>Объем инвестиций управляющей компанией ОЭЗ ППТ «Тольятти» по особо значимым проектам в 2022-2024 гг. может составить около 600 млн. рублей (планируется создание 571 рабочего места).  Объем инвестиций резидентов ОЭЗ ППТ «Тольятти» в прогнозном периоде может составить более 7,0 млрд. рублей.</w:t>
      </w:r>
    </w:p>
    <w:p w14:paraId="193ABB3B" w14:textId="77777777" w:rsidR="00FB0050" w:rsidRPr="00FB0050" w:rsidRDefault="00FB0050" w:rsidP="00A56CAF">
      <w:pPr>
        <w:spacing w:after="0"/>
        <w:ind w:firstLine="709"/>
        <w:jc w:val="both"/>
        <w:rPr>
          <w:rFonts w:ascii="Times New Roman" w:hAnsi="Times New Roman"/>
          <w:sz w:val="28"/>
          <w:szCs w:val="28"/>
        </w:rPr>
      </w:pPr>
      <w:r w:rsidRPr="00FB0050">
        <w:rPr>
          <w:rFonts w:ascii="Times New Roman" w:hAnsi="Times New Roman"/>
          <w:sz w:val="28"/>
          <w:szCs w:val="28"/>
        </w:rPr>
        <w:t>Одним из крупных инвестиционных проектов ОЭЗ ППТ «Тольятти» в прогнозном периоде станет создание Ассоциацией молочных производителей «ДАМОЛ» пищевого кластера (в промзоне Автозаводского района).</w:t>
      </w:r>
    </w:p>
    <w:p w14:paraId="7D2D8F8F" w14:textId="77777777" w:rsidR="00FB0050" w:rsidRPr="00FB0050" w:rsidRDefault="00FB0050" w:rsidP="00A56CAF">
      <w:pPr>
        <w:spacing w:after="0"/>
        <w:ind w:firstLine="709"/>
        <w:jc w:val="both"/>
        <w:rPr>
          <w:rFonts w:ascii="Times New Roman" w:hAnsi="Times New Roman"/>
          <w:sz w:val="28"/>
          <w:szCs w:val="28"/>
        </w:rPr>
      </w:pPr>
      <w:r w:rsidRPr="00FB0050">
        <w:rPr>
          <w:rFonts w:ascii="Times New Roman" w:hAnsi="Times New Roman"/>
          <w:sz w:val="28"/>
          <w:szCs w:val="28"/>
        </w:rPr>
        <w:lastRenderedPageBreak/>
        <w:t>ООО «Озон Медика» продолжит строительство новой производственной площадки готовых лекарственных форм, производительностью до 1,5 млн. упаковок в год.</w:t>
      </w:r>
    </w:p>
    <w:p w14:paraId="57E96BF1" w14:textId="77777777" w:rsidR="00FB0050" w:rsidRPr="00FB0050" w:rsidRDefault="00FB0050" w:rsidP="00A56CAF">
      <w:pPr>
        <w:spacing w:after="0"/>
        <w:ind w:firstLine="709"/>
        <w:jc w:val="both"/>
        <w:rPr>
          <w:rFonts w:ascii="Times New Roman" w:hAnsi="Times New Roman"/>
          <w:sz w:val="28"/>
          <w:szCs w:val="28"/>
        </w:rPr>
      </w:pPr>
      <w:r w:rsidRPr="00FB0050">
        <w:rPr>
          <w:rFonts w:ascii="Times New Roman" w:hAnsi="Times New Roman"/>
          <w:color w:val="000000"/>
          <w:sz w:val="28"/>
          <w:szCs w:val="28"/>
        </w:rPr>
        <w:t xml:space="preserve">В прогнозном периоде ожидается рост бюджетных инвестиций. </w:t>
      </w:r>
      <w:r w:rsidRPr="00FB0050">
        <w:rPr>
          <w:rFonts w:ascii="Times New Roman" w:hAnsi="Times New Roman"/>
          <w:sz w:val="28"/>
          <w:szCs w:val="28"/>
        </w:rPr>
        <w:t>В рамках Плана основных мероприятий по подготовке и проведению празднования 50-летия выпуска первого легкового автомобиля ВАЗ:</w:t>
      </w:r>
    </w:p>
    <w:p w14:paraId="30DED44B" w14:textId="3D589D5B" w:rsidR="00FB0050" w:rsidRPr="00FB0050" w:rsidRDefault="00FB0050" w:rsidP="00A56CAF">
      <w:pPr>
        <w:widowControl w:val="0"/>
        <w:numPr>
          <w:ilvl w:val="0"/>
          <w:numId w:val="17"/>
        </w:numPr>
        <w:spacing w:after="0"/>
        <w:ind w:left="0" w:firstLine="851"/>
        <w:contextualSpacing/>
        <w:jc w:val="both"/>
        <w:rPr>
          <w:rFonts w:ascii="Times New Roman" w:hAnsi="Times New Roman"/>
          <w:sz w:val="28"/>
          <w:szCs w:val="28"/>
        </w:rPr>
      </w:pPr>
      <w:r w:rsidRPr="00FB0050">
        <w:rPr>
          <w:rFonts w:ascii="Times New Roman" w:hAnsi="Times New Roman"/>
          <w:sz w:val="28"/>
          <w:szCs w:val="28"/>
        </w:rPr>
        <w:t>- продолж</w:t>
      </w:r>
      <w:r w:rsidR="00A44EF7">
        <w:rPr>
          <w:rFonts w:ascii="Times New Roman" w:hAnsi="Times New Roman"/>
          <w:sz w:val="28"/>
          <w:szCs w:val="28"/>
        </w:rPr>
        <w:t>и</w:t>
      </w:r>
      <w:r w:rsidRPr="00FB0050">
        <w:rPr>
          <w:rFonts w:ascii="Times New Roman" w:hAnsi="Times New Roman"/>
          <w:sz w:val="28"/>
          <w:szCs w:val="28"/>
        </w:rPr>
        <w:t xml:space="preserve">тся работа по реконструкции набережной Автозаводского района: в текущем году предусмотрено выполнить корректировку проекта, техническое задание согласованно с министерством строительства РФ (ввод 1 этапа протяженностью 700 </w:t>
      </w:r>
      <w:proofErr w:type="spellStart"/>
      <w:r w:rsidRPr="00FB0050">
        <w:rPr>
          <w:rFonts w:ascii="Times New Roman" w:hAnsi="Times New Roman"/>
          <w:sz w:val="28"/>
          <w:szCs w:val="28"/>
        </w:rPr>
        <w:t>м.п</w:t>
      </w:r>
      <w:proofErr w:type="spellEnd"/>
      <w:r w:rsidRPr="00FB0050">
        <w:rPr>
          <w:rFonts w:ascii="Times New Roman" w:hAnsi="Times New Roman"/>
          <w:sz w:val="28"/>
          <w:szCs w:val="28"/>
        </w:rPr>
        <w:t>. планируется до конца 2022 года);</w:t>
      </w:r>
    </w:p>
    <w:p w14:paraId="6F830F9E" w14:textId="1ADDE3CD" w:rsidR="00FB0050" w:rsidRPr="00FB0050" w:rsidRDefault="00FB0050" w:rsidP="00A56CAF">
      <w:pPr>
        <w:widowControl w:val="0"/>
        <w:numPr>
          <w:ilvl w:val="0"/>
          <w:numId w:val="17"/>
        </w:numPr>
        <w:spacing w:after="0"/>
        <w:ind w:left="0" w:firstLine="851"/>
        <w:contextualSpacing/>
        <w:jc w:val="both"/>
        <w:rPr>
          <w:rFonts w:ascii="Times New Roman" w:hAnsi="Times New Roman"/>
          <w:sz w:val="28"/>
          <w:szCs w:val="28"/>
        </w:rPr>
      </w:pPr>
      <w:r w:rsidRPr="00FB0050">
        <w:rPr>
          <w:rFonts w:ascii="Times New Roman" w:hAnsi="Times New Roman"/>
          <w:sz w:val="28"/>
          <w:szCs w:val="28"/>
        </w:rPr>
        <w:t>- строительство общеобразовательной школы на 1600 мест, расположенной в 20 квартале Автозаводского района, что снизит напряженность с доступностью школьного образования в новых кварталах Автозаводского района;</w:t>
      </w:r>
    </w:p>
    <w:p w14:paraId="11FB2074" w14:textId="0B99805B" w:rsidR="00FB0050" w:rsidRPr="00FB0050" w:rsidRDefault="00FB0050" w:rsidP="00A56CAF">
      <w:pPr>
        <w:widowControl w:val="0"/>
        <w:numPr>
          <w:ilvl w:val="0"/>
          <w:numId w:val="17"/>
        </w:numPr>
        <w:spacing w:after="0"/>
        <w:ind w:left="0" w:firstLine="851"/>
        <w:contextualSpacing/>
        <w:jc w:val="both"/>
        <w:rPr>
          <w:rFonts w:ascii="Times New Roman" w:hAnsi="Times New Roman"/>
          <w:sz w:val="28"/>
          <w:szCs w:val="28"/>
        </w:rPr>
      </w:pPr>
      <w:r w:rsidRPr="00FB0050">
        <w:rPr>
          <w:rFonts w:ascii="Times New Roman" w:hAnsi="Times New Roman"/>
          <w:sz w:val="28"/>
          <w:szCs w:val="28"/>
        </w:rPr>
        <w:t>- продолжатся работы по строительству физкультурно-спортивного комплекса (площадка «Певческое поле»): планируемый срок завершения строительства объекта и получение разрешение на ввод объекта в эксплуатацию - 2022 год;</w:t>
      </w:r>
    </w:p>
    <w:p w14:paraId="6A18C5F3" w14:textId="4D78E08D" w:rsidR="00FB0050" w:rsidRPr="00FB0050" w:rsidRDefault="00FB0050" w:rsidP="00A56CAF">
      <w:pPr>
        <w:widowControl w:val="0"/>
        <w:numPr>
          <w:ilvl w:val="0"/>
          <w:numId w:val="17"/>
        </w:numPr>
        <w:spacing w:after="0"/>
        <w:ind w:left="0" w:firstLine="851"/>
        <w:contextualSpacing/>
        <w:jc w:val="both"/>
        <w:rPr>
          <w:rFonts w:ascii="Times New Roman" w:hAnsi="Times New Roman"/>
          <w:sz w:val="28"/>
          <w:szCs w:val="28"/>
        </w:rPr>
      </w:pPr>
      <w:r w:rsidRPr="00FB0050">
        <w:rPr>
          <w:rFonts w:ascii="Times New Roman" w:hAnsi="Times New Roman"/>
          <w:sz w:val="28"/>
          <w:szCs w:val="28"/>
        </w:rPr>
        <w:t>- реконструкция кольцевой транспортной развязки на пересечении Южного шоссе и ул. Борковская и др</w:t>
      </w:r>
      <w:r w:rsidR="00A44EF7">
        <w:rPr>
          <w:rFonts w:ascii="Times New Roman" w:hAnsi="Times New Roman"/>
          <w:sz w:val="28"/>
          <w:szCs w:val="28"/>
        </w:rPr>
        <w:t>угие</w:t>
      </w:r>
      <w:r w:rsidRPr="00FB0050">
        <w:rPr>
          <w:rFonts w:ascii="Times New Roman" w:hAnsi="Times New Roman"/>
          <w:sz w:val="28"/>
          <w:szCs w:val="28"/>
        </w:rPr>
        <w:t>.</w:t>
      </w:r>
    </w:p>
    <w:p w14:paraId="536EE3E0" w14:textId="77777777" w:rsidR="00FB0050" w:rsidRPr="00FB0050" w:rsidRDefault="00FB0050" w:rsidP="00A56CAF">
      <w:pPr>
        <w:spacing w:after="0"/>
        <w:ind w:firstLine="709"/>
        <w:jc w:val="both"/>
        <w:rPr>
          <w:rFonts w:ascii="Times New Roman" w:hAnsi="Times New Roman"/>
          <w:sz w:val="28"/>
          <w:szCs w:val="28"/>
        </w:rPr>
      </w:pPr>
      <w:r w:rsidRPr="00FB0050">
        <w:rPr>
          <w:rFonts w:ascii="Times New Roman" w:hAnsi="Times New Roman"/>
          <w:sz w:val="28"/>
          <w:szCs w:val="28"/>
        </w:rPr>
        <w:t xml:space="preserve">Кроме того, в 2024 году планируется ввод в эксплуатацию масштабного социально-значимого проекта – мостового перехода через реку Волгу с обходом городского округа Тольятти и выходом на автомобильную дорогу М-5 «Урал». </w:t>
      </w:r>
    </w:p>
    <w:p w14:paraId="6028F817" w14:textId="77777777" w:rsidR="00FB0050" w:rsidRPr="00FB0050" w:rsidRDefault="00FB0050" w:rsidP="00A56CAF">
      <w:pPr>
        <w:spacing w:after="0"/>
        <w:ind w:firstLine="709"/>
        <w:jc w:val="both"/>
        <w:rPr>
          <w:rFonts w:ascii="Times New Roman" w:hAnsi="Times New Roman"/>
          <w:color w:val="000000"/>
          <w:sz w:val="28"/>
          <w:szCs w:val="28"/>
          <w:highlight w:val="yellow"/>
        </w:rPr>
      </w:pPr>
      <w:r w:rsidRPr="00FB0050">
        <w:rPr>
          <w:rFonts w:ascii="Times New Roman" w:hAnsi="Times New Roman"/>
          <w:color w:val="000000"/>
          <w:sz w:val="28"/>
          <w:szCs w:val="28"/>
        </w:rPr>
        <w:t>Объем бюджетных инвестиций (всех уровней бюджета) за три года по консервативному варианту может составить 12 100,8 млн. рублей, по базовому варианту - 13 204,2 млн. рублей.</w:t>
      </w:r>
    </w:p>
    <w:p w14:paraId="1EC283E4" w14:textId="77777777" w:rsidR="00FB0050" w:rsidRPr="00FB0050" w:rsidRDefault="00FB0050" w:rsidP="00A56CAF">
      <w:pPr>
        <w:tabs>
          <w:tab w:val="left" w:pos="142"/>
        </w:tabs>
        <w:spacing w:after="0"/>
        <w:ind w:firstLine="709"/>
        <w:contextualSpacing/>
        <w:jc w:val="both"/>
        <w:rPr>
          <w:rFonts w:ascii="Times New Roman" w:hAnsi="Times New Roman"/>
          <w:sz w:val="28"/>
          <w:szCs w:val="28"/>
        </w:rPr>
      </w:pPr>
      <w:r w:rsidRPr="00FB0050">
        <w:rPr>
          <w:rFonts w:ascii="Times New Roman" w:hAnsi="Times New Roman"/>
          <w:sz w:val="28"/>
          <w:szCs w:val="28"/>
        </w:rPr>
        <w:t>Одним из механизмов, способствующих продвижению привлекательного с инвестиционной точки зрения имиджа городского округа Тольятти, в прогнозном периоде является организация на его территории международных инвестиционно-ориентированных мероприятий (форумов, встреч с иностранными экономическими миссиями, международных выставочных мероприятий и другие).</w:t>
      </w:r>
    </w:p>
    <w:p w14:paraId="7D07DFD6" w14:textId="4CF434A8" w:rsidR="00F042A4" w:rsidRPr="00F042A4" w:rsidRDefault="00F042A4" w:rsidP="00A56CAF">
      <w:pPr>
        <w:pStyle w:val="aa"/>
        <w:widowControl w:val="0"/>
        <w:spacing w:before="0" w:after="0" w:line="276" w:lineRule="auto"/>
        <w:ind w:firstLine="709"/>
        <w:jc w:val="both"/>
        <w:rPr>
          <w:color w:val="000000"/>
          <w:sz w:val="28"/>
          <w:szCs w:val="28"/>
          <w:lang w:eastAsia="ru-RU"/>
        </w:rPr>
      </w:pPr>
      <w:r w:rsidRPr="00F042A4">
        <w:rPr>
          <w:color w:val="000000"/>
          <w:sz w:val="28"/>
          <w:szCs w:val="28"/>
          <w:lang w:eastAsia="ru-RU"/>
        </w:rPr>
        <w:t xml:space="preserve">На жилищное строительство на территории городского округа Тольятти влияние оказывает невысокий спрос на приобретение жилья, в том числе в результате снижения численности постоянного населения городского округа Тольятти. Происходит сокращение количества новых проектов, в связи с ростом издержек застройщиков, связанных с увеличением цен на стройматериалы и дефицитом рабочей силы вследствие ограничений </w:t>
      </w:r>
      <w:r w:rsidRPr="00F042A4">
        <w:rPr>
          <w:color w:val="000000"/>
          <w:sz w:val="28"/>
          <w:szCs w:val="28"/>
          <w:lang w:eastAsia="ru-RU"/>
        </w:rPr>
        <w:lastRenderedPageBreak/>
        <w:t xml:space="preserve">на въезд работников из-за рубежа, введенных для сдерживания пандемии COVID-19. </w:t>
      </w:r>
    </w:p>
    <w:p w14:paraId="4F1A7047" w14:textId="517E1F3C" w:rsidR="00A44EF7" w:rsidRDefault="00F042A4" w:rsidP="00A56CAF">
      <w:pPr>
        <w:pStyle w:val="aa"/>
        <w:widowControl w:val="0"/>
        <w:spacing w:before="0" w:after="0" w:line="276" w:lineRule="auto"/>
        <w:ind w:firstLine="709"/>
        <w:jc w:val="both"/>
        <w:rPr>
          <w:color w:val="000000"/>
          <w:sz w:val="28"/>
          <w:szCs w:val="28"/>
          <w:lang w:eastAsia="ru-RU"/>
        </w:rPr>
      </w:pPr>
      <w:r w:rsidRPr="00F042A4">
        <w:rPr>
          <w:color w:val="000000"/>
          <w:sz w:val="28"/>
          <w:szCs w:val="28"/>
          <w:lang w:eastAsia="ru-RU"/>
        </w:rPr>
        <w:t xml:space="preserve">Прогноз по вводу жилья рассчитан </w:t>
      </w:r>
      <w:r w:rsidR="00186B75">
        <w:rPr>
          <w:color w:val="000000"/>
          <w:sz w:val="28"/>
          <w:szCs w:val="28"/>
          <w:lang w:eastAsia="ru-RU"/>
        </w:rPr>
        <w:t xml:space="preserve">с учетом </w:t>
      </w:r>
      <w:r w:rsidRPr="00F042A4">
        <w:rPr>
          <w:color w:val="000000"/>
          <w:sz w:val="28"/>
          <w:szCs w:val="28"/>
          <w:lang w:eastAsia="ru-RU"/>
        </w:rPr>
        <w:t xml:space="preserve">имеющихся сведений о </w:t>
      </w:r>
      <w:r w:rsidR="007E38D7">
        <w:rPr>
          <w:color w:val="000000"/>
          <w:sz w:val="28"/>
          <w:szCs w:val="28"/>
          <w:lang w:eastAsia="ru-RU"/>
        </w:rPr>
        <w:t>площади, указанной в</w:t>
      </w:r>
      <w:r w:rsidRPr="00F042A4">
        <w:rPr>
          <w:color w:val="000000"/>
          <w:sz w:val="28"/>
          <w:szCs w:val="28"/>
          <w:lang w:eastAsia="ru-RU"/>
        </w:rPr>
        <w:t xml:space="preserve"> разрешени</w:t>
      </w:r>
      <w:r w:rsidR="007E38D7">
        <w:rPr>
          <w:color w:val="000000"/>
          <w:sz w:val="28"/>
          <w:szCs w:val="28"/>
          <w:lang w:eastAsia="ru-RU"/>
        </w:rPr>
        <w:t>ях</w:t>
      </w:r>
      <w:r w:rsidRPr="00F042A4">
        <w:rPr>
          <w:color w:val="000000"/>
          <w:sz w:val="28"/>
          <w:szCs w:val="28"/>
          <w:lang w:eastAsia="ru-RU"/>
        </w:rPr>
        <w:t xml:space="preserve"> на строительство</w:t>
      </w:r>
      <w:r w:rsidR="007E38D7">
        <w:rPr>
          <w:color w:val="000000"/>
          <w:sz w:val="28"/>
          <w:szCs w:val="28"/>
          <w:lang w:eastAsia="ru-RU"/>
        </w:rPr>
        <w:t xml:space="preserve"> объектов.</w:t>
      </w:r>
      <w:r w:rsidRPr="00F042A4">
        <w:rPr>
          <w:color w:val="000000"/>
          <w:sz w:val="28"/>
          <w:szCs w:val="28"/>
          <w:lang w:eastAsia="ru-RU"/>
        </w:rPr>
        <w:t xml:space="preserve"> </w:t>
      </w:r>
    </w:p>
    <w:p w14:paraId="322321AF" w14:textId="6257A1A9" w:rsidR="00F042A4" w:rsidRPr="00F042A4" w:rsidRDefault="00A44EF7" w:rsidP="00A56CAF">
      <w:pPr>
        <w:pStyle w:val="aa"/>
        <w:widowControl w:val="0"/>
        <w:spacing w:before="0" w:after="0" w:line="276" w:lineRule="auto"/>
        <w:ind w:firstLine="709"/>
        <w:jc w:val="both"/>
        <w:rPr>
          <w:color w:val="000000"/>
          <w:sz w:val="28"/>
          <w:szCs w:val="28"/>
          <w:lang w:eastAsia="ru-RU"/>
        </w:rPr>
      </w:pPr>
      <w:r>
        <w:rPr>
          <w:color w:val="000000"/>
          <w:sz w:val="28"/>
          <w:szCs w:val="28"/>
          <w:lang w:eastAsia="ru-RU"/>
        </w:rPr>
        <w:t>П</w:t>
      </w:r>
      <w:r w:rsidRPr="00F042A4">
        <w:rPr>
          <w:color w:val="000000"/>
          <w:sz w:val="28"/>
          <w:szCs w:val="28"/>
          <w:lang w:eastAsia="ru-RU"/>
        </w:rPr>
        <w:t xml:space="preserve">о консервативному варианту </w:t>
      </w:r>
      <w:r>
        <w:rPr>
          <w:color w:val="000000"/>
          <w:sz w:val="28"/>
          <w:szCs w:val="28"/>
          <w:lang w:eastAsia="ru-RU"/>
        </w:rPr>
        <w:t xml:space="preserve">прогноза с учетом </w:t>
      </w:r>
      <w:r w:rsidR="00186B75">
        <w:rPr>
          <w:color w:val="000000"/>
          <w:sz w:val="28"/>
          <w:szCs w:val="28"/>
          <w:lang w:eastAsia="ru-RU"/>
        </w:rPr>
        <w:t xml:space="preserve">сложившейся </w:t>
      </w:r>
      <w:r>
        <w:rPr>
          <w:color w:val="000000"/>
          <w:sz w:val="28"/>
          <w:szCs w:val="28"/>
          <w:lang w:eastAsia="ru-RU"/>
        </w:rPr>
        <w:t xml:space="preserve">динамики объемов </w:t>
      </w:r>
      <w:r w:rsidR="00186B75" w:rsidRPr="00F042A4">
        <w:rPr>
          <w:color w:val="000000"/>
          <w:sz w:val="28"/>
          <w:szCs w:val="28"/>
          <w:lang w:eastAsia="ru-RU"/>
        </w:rPr>
        <w:t>ввода в действие общей площади жилых домов (квартир) (с учетом индивидуальных построек)</w:t>
      </w:r>
      <w:r>
        <w:rPr>
          <w:color w:val="000000"/>
          <w:sz w:val="28"/>
          <w:szCs w:val="28"/>
          <w:lang w:eastAsia="ru-RU"/>
        </w:rPr>
        <w:t xml:space="preserve"> </w:t>
      </w:r>
      <w:r w:rsidR="006832CF">
        <w:rPr>
          <w:color w:val="000000"/>
          <w:sz w:val="28"/>
          <w:szCs w:val="28"/>
          <w:lang w:eastAsia="ru-RU"/>
        </w:rPr>
        <w:t>и имеющихся рисков</w:t>
      </w:r>
      <w:r w:rsidR="00F05903">
        <w:rPr>
          <w:color w:val="000000"/>
          <w:sz w:val="28"/>
          <w:szCs w:val="28"/>
          <w:lang w:eastAsia="ru-RU"/>
        </w:rPr>
        <w:t xml:space="preserve"> по</w:t>
      </w:r>
      <w:r w:rsidR="006832CF">
        <w:rPr>
          <w:color w:val="000000"/>
          <w:sz w:val="28"/>
          <w:szCs w:val="28"/>
          <w:lang w:eastAsia="ru-RU"/>
        </w:rPr>
        <w:t xml:space="preserve"> достижению плановых </w:t>
      </w:r>
      <w:r w:rsidR="00F05903">
        <w:rPr>
          <w:color w:val="000000"/>
          <w:sz w:val="28"/>
          <w:szCs w:val="28"/>
          <w:lang w:eastAsia="ru-RU"/>
        </w:rPr>
        <w:t>значений</w:t>
      </w:r>
      <w:r w:rsidR="006832CF">
        <w:rPr>
          <w:color w:val="000000"/>
          <w:sz w:val="28"/>
          <w:szCs w:val="28"/>
          <w:lang w:eastAsia="ru-RU"/>
        </w:rPr>
        <w:t xml:space="preserve"> показателя </w:t>
      </w:r>
      <w:r w:rsidR="00F05903">
        <w:rPr>
          <w:color w:val="000000"/>
          <w:sz w:val="28"/>
          <w:szCs w:val="28"/>
          <w:lang w:eastAsia="ru-RU"/>
        </w:rPr>
        <w:t>прогнозируются</w:t>
      </w:r>
      <w:r w:rsidR="006832CF">
        <w:rPr>
          <w:color w:val="000000"/>
          <w:sz w:val="28"/>
          <w:szCs w:val="28"/>
          <w:lang w:eastAsia="ru-RU"/>
        </w:rPr>
        <w:t xml:space="preserve"> невысокие объем</w:t>
      </w:r>
      <w:r w:rsidR="00F05903">
        <w:rPr>
          <w:color w:val="000000"/>
          <w:sz w:val="28"/>
          <w:szCs w:val="28"/>
          <w:lang w:eastAsia="ru-RU"/>
        </w:rPr>
        <w:t>ы</w:t>
      </w:r>
      <w:r w:rsidR="006832CF">
        <w:rPr>
          <w:color w:val="000000"/>
          <w:sz w:val="28"/>
          <w:szCs w:val="28"/>
          <w:lang w:eastAsia="ru-RU"/>
        </w:rPr>
        <w:t xml:space="preserve"> вводимого жилья</w:t>
      </w:r>
      <w:r w:rsidR="00F05903">
        <w:rPr>
          <w:color w:val="000000"/>
          <w:sz w:val="28"/>
          <w:szCs w:val="28"/>
          <w:lang w:eastAsia="ru-RU"/>
        </w:rPr>
        <w:t xml:space="preserve"> </w:t>
      </w:r>
      <w:r w:rsidR="00F05903">
        <w:rPr>
          <w:color w:val="000000"/>
          <w:sz w:val="28"/>
          <w:szCs w:val="28"/>
          <w:lang w:eastAsia="ru-RU"/>
        </w:rPr>
        <w:t>в городском округе Тольятти</w:t>
      </w:r>
      <w:r w:rsidR="006832CF">
        <w:rPr>
          <w:color w:val="000000"/>
          <w:sz w:val="28"/>
          <w:szCs w:val="28"/>
          <w:lang w:eastAsia="ru-RU"/>
        </w:rPr>
        <w:t>:</w:t>
      </w:r>
      <w:r w:rsidR="00186B75">
        <w:rPr>
          <w:color w:val="000000"/>
          <w:sz w:val="28"/>
          <w:szCs w:val="28"/>
          <w:lang w:eastAsia="ru-RU"/>
        </w:rPr>
        <w:t xml:space="preserve"> </w:t>
      </w:r>
      <w:r w:rsidR="006832CF">
        <w:rPr>
          <w:color w:val="000000"/>
          <w:sz w:val="28"/>
          <w:szCs w:val="28"/>
          <w:lang w:eastAsia="ru-RU"/>
        </w:rPr>
        <w:t>за три прогнозных года</w:t>
      </w:r>
      <w:r w:rsidR="00F042A4" w:rsidRPr="00F042A4">
        <w:rPr>
          <w:color w:val="000000"/>
          <w:sz w:val="28"/>
          <w:szCs w:val="28"/>
          <w:lang w:eastAsia="ru-RU"/>
        </w:rPr>
        <w:t xml:space="preserve"> </w:t>
      </w:r>
      <w:r w:rsidR="00186B75">
        <w:rPr>
          <w:color w:val="000000"/>
          <w:sz w:val="28"/>
          <w:szCs w:val="28"/>
          <w:lang w:eastAsia="ru-RU"/>
        </w:rPr>
        <w:t xml:space="preserve">значение показателя </w:t>
      </w:r>
      <w:r w:rsidR="00C96056">
        <w:rPr>
          <w:color w:val="000000"/>
          <w:sz w:val="28"/>
          <w:szCs w:val="28"/>
          <w:lang w:eastAsia="ru-RU"/>
        </w:rPr>
        <w:t>снизится на 26,6%.</w:t>
      </w:r>
    </w:p>
    <w:p w14:paraId="08D003AE" w14:textId="32EF39AB" w:rsidR="00F042A4" w:rsidRPr="00F042A4" w:rsidRDefault="00F042A4" w:rsidP="00A56CAF">
      <w:pPr>
        <w:pStyle w:val="aa"/>
        <w:widowControl w:val="0"/>
        <w:spacing w:before="0" w:after="0" w:line="276" w:lineRule="auto"/>
        <w:ind w:firstLine="709"/>
        <w:jc w:val="both"/>
        <w:rPr>
          <w:color w:val="000000"/>
          <w:sz w:val="28"/>
          <w:szCs w:val="28"/>
          <w:lang w:eastAsia="ru-RU"/>
        </w:rPr>
      </w:pPr>
      <w:r w:rsidRPr="00F042A4">
        <w:rPr>
          <w:color w:val="000000"/>
          <w:sz w:val="28"/>
          <w:szCs w:val="28"/>
          <w:lang w:eastAsia="ru-RU"/>
        </w:rPr>
        <w:t xml:space="preserve">По второму (базовому) варианту прогнозируется увеличение объема ввода в действие общей площади жилых домов (квартир) с учетом </w:t>
      </w:r>
      <w:r w:rsidR="00186B75">
        <w:rPr>
          <w:color w:val="000000"/>
          <w:sz w:val="28"/>
          <w:szCs w:val="28"/>
          <w:lang w:eastAsia="ru-RU"/>
        </w:rPr>
        <w:t xml:space="preserve">плановых </w:t>
      </w:r>
      <w:r w:rsidR="00BF5254">
        <w:rPr>
          <w:color w:val="000000"/>
          <w:sz w:val="28"/>
          <w:szCs w:val="28"/>
          <w:lang w:eastAsia="ru-RU"/>
        </w:rPr>
        <w:t xml:space="preserve">темпов роста </w:t>
      </w:r>
      <w:r w:rsidR="00186B75">
        <w:rPr>
          <w:color w:val="000000"/>
          <w:sz w:val="28"/>
          <w:szCs w:val="28"/>
          <w:lang w:eastAsia="ru-RU"/>
        </w:rPr>
        <w:t>значений показателя</w:t>
      </w:r>
      <w:r w:rsidRPr="00F042A4">
        <w:rPr>
          <w:color w:val="000000"/>
          <w:sz w:val="28"/>
          <w:szCs w:val="28"/>
          <w:lang w:eastAsia="ru-RU"/>
        </w:rPr>
        <w:t xml:space="preserve">: к концу 2024 года по второму варианту прогноза прирост вводимого объема жилья составит </w:t>
      </w:r>
      <w:r w:rsidR="00C96056">
        <w:rPr>
          <w:color w:val="000000"/>
          <w:sz w:val="28"/>
          <w:szCs w:val="28"/>
          <w:lang w:eastAsia="ru-RU"/>
        </w:rPr>
        <w:t>50,8</w:t>
      </w:r>
      <w:r w:rsidRPr="00F042A4">
        <w:rPr>
          <w:color w:val="000000"/>
          <w:sz w:val="28"/>
          <w:szCs w:val="28"/>
          <w:lang w:eastAsia="ru-RU"/>
        </w:rPr>
        <w:t xml:space="preserve">% к 2021 году. </w:t>
      </w:r>
    </w:p>
    <w:p w14:paraId="494E0116" w14:textId="42CD1BFA" w:rsidR="00883ADC" w:rsidRPr="00EC46C3" w:rsidRDefault="00BF5254" w:rsidP="00BF5254">
      <w:pPr>
        <w:pStyle w:val="aa"/>
        <w:widowControl w:val="0"/>
        <w:spacing w:before="0" w:after="0" w:line="276" w:lineRule="auto"/>
        <w:ind w:firstLine="709"/>
        <w:jc w:val="both"/>
        <w:rPr>
          <w:color w:val="000000"/>
          <w:sz w:val="28"/>
          <w:szCs w:val="28"/>
        </w:rPr>
      </w:pPr>
      <w:r>
        <w:rPr>
          <w:color w:val="000000"/>
          <w:sz w:val="28"/>
          <w:szCs w:val="28"/>
          <w:lang w:eastAsia="ru-RU"/>
        </w:rPr>
        <w:t>У</w:t>
      </w:r>
      <w:r w:rsidR="00883ADC" w:rsidRPr="00883ADC">
        <w:rPr>
          <w:color w:val="000000"/>
          <w:sz w:val="28"/>
          <w:szCs w:val="28"/>
          <w:lang w:eastAsia="ru-RU"/>
        </w:rPr>
        <w:t xml:space="preserve">ровень обеспеченности населения городского округа Тольятти жильем </w:t>
      </w:r>
      <w:r w:rsidRPr="00883ADC">
        <w:rPr>
          <w:color w:val="000000"/>
          <w:sz w:val="28"/>
          <w:szCs w:val="28"/>
          <w:lang w:eastAsia="ru-RU"/>
        </w:rPr>
        <w:t xml:space="preserve">к 2024 году </w:t>
      </w:r>
      <w:r w:rsidR="00883ADC" w:rsidRPr="00883ADC">
        <w:rPr>
          <w:color w:val="000000"/>
          <w:sz w:val="28"/>
          <w:szCs w:val="28"/>
          <w:lang w:eastAsia="ru-RU"/>
        </w:rPr>
        <w:t>составит 25,</w:t>
      </w:r>
      <w:r w:rsidR="00C96056">
        <w:rPr>
          <w:color w:val="000000"/>
          <w:sz w:val="28"/>
          <w:szCs w:val="28"/>
          <w:lang w:eastAsia="ru-RU"/>
        </w:rPr>
        <w:t>1</w:t>
      </w:r>
      <w:r w:rsidR="00883ADC" w:rsidRPr="00883ADC">
        <w:rPr>
          <w:color w:val="000000"/>
          <w:sz w:val="28"/>
          <w:szCs w:val="28"/>
          <w:lang w:eastAsia="ru-RU"/>
        </w:rPr>
        <w:t xml:space="preserve"> кв. м на человека.</w:t>
      </w:r>
      <w:r w:rsidR="00883ADC" w:rsidRPr="00883ADC">
        <w:rPr>
          <w:color w:val="000000"/>
          <w:sz w:val="28"/>
          <w:szCs w:val="28"/>
          <w:lang w:eastAsia="ru-RU"/>
        </w:rPr>
        <w:tab/>
      </w:r>
      <w:r w:rsidR="00F05903">
        <w:rPr>
          <w:color w:val="000000"/>
          <w:sz w:val="28"/>
          <w:szCs w:val="28"/>
          <w:lang w:eastAsia="ru-RU"/>
        </w:rPr>
        <w:t>При этом, ч</w:t>
      </w:r>
      <w:r w:rsidR="00883ADC" w:rsidRPr="00883ADC">
        <w:rPr>
          <w:color w:val="000000"/>
          <w:sz w:val="28"/>
          <w:szCs w:val="28"/>
        </w:rPr>
        <w:t>тобы</w:t>
      </w:r>
      <w:r w:rsidR="00F05903">
        <w:rPr>
          <w:color w:val="000000"/>
          <w:sz w:val="28"/>
          <w:szCs w:val="28"/>
        </w:rPr>
        <w:t xml:space="preserve"> </w:t>
      </w:r>
      <w:r w:rsidR="00883ADC" w:rsidRPr="00883ADC">
        <w:rPr>
          <w:color w:val="000000"/>
          <w:sz w:val="28"/>
          <w:szCs w:val="28"/>
        </w:rPr>
        <w:t xml:space="preserve">достичь среднеобластного значения показателя </w:t>
      </w:r>
      <w:r w:rsidR="00F05903" w:rsidRPr="00883ADC">
        <w:rPr>
          <w:color w:val="000000"/>
          <w:sz w:val="28"/>
          <w:szCs w:val="28"/>
          <w:lang w:eastAsia="ru-RU"/>
        </w:rPr>
        <w:t>(29,4 кв. м</w:t>
      </w:r>
      <w:r w:rsidR="00F05903">
        <w:rPr>
          <w:color w:val="000000"/>
          <w:sz w:val="28"/>
          <w:szCs w:val="28"/>
          <w:lang w:eastAsia="ru-RU"/>
        </w:rPr>
        <w:t xml:space="preserve"> на человека</w:t>
      </w:r>
      <w:r w:rsidR="00F05903" w:rsidRPr="00883ADC">
        <w:rPr>
          <w:color w:val="000000"/>
          <w:sz w:val="28"/>
          <w:szCs w:val="28"/>
          <w:lang w:eastAsia="ru-RU"/>
        </w:rPr>
        <w:t>)</w:t>
      </w:r>
      <w:r w:rsidR="00F05903">
        <w:rPr>
          <w:color w:val="000000"/>
          <w:sz w:val="28"/>
          <w:szCs w:val="28"/>
          <w:lang w:eastAsia="ru-RU"/>
        </w:rPr>
        <w:t xml:space="preserve"> </w:t>
      </w:r>
      <w:r w:rsidR="00883ADC" w:rsidRPr="00883ADC">
        <w:rPr>
          <w:color w:val="000000"/>
          <w:sz w:val="28"/>
          <w:szCs w:val="28"/>
        </w:rPr>
        <w:t xml:space="preserve">объем жилищного фонда городского округа Тольятти должен к 2024 году составить не менее 19 806,8 </w:t>
      </w:r>
      <w:proofErr w:type="spellStart"/>
      <w:r w:rsidR="00883ADC" w:rsidRPr="00883ADC">
        <w:rPr>
          <w:color w:val="000000"/>
          <w:sz w:val="28"/>
          <w:szCs w:val="28"/>
        </w:rPr>
        <w:t>тыс.</w:t>
      </w:r>
      <w:proofErr w:type="gramStart"/>
      <w:r w:rsidR="00883ADC" w:rsidRPr="00883ADC">
        <w:rPr>
          <w:color w:val="000000"/>
          <w:sz w:val="28"/>
          <w:szCs w:val="28"/>
        </w:rPr>
        <w:t>кв.м</w:t>
      </w:r>
      <w:proofErr w:type="spellEnd"/>
      <w:proofErr w:type="gramEnd"/>
      <w:r w:rsidR="00883ADC" w:rsidRPr="00883ADC">
        <w:rPr>
          <w:color w:val="000000"/>
          <w:sz w:val="28"/>
          <w:szCs w:val="28"/>
        </w:rPr>
        <w:t xml:space="preserve">, то есть на 3 571,1 </w:t>
      </w:r>
      <w:proofErr w:type="spellStart"/>
      <w:r w:rsidR="00883ADC" w:rsidRPr="00883ADC">
        <w:rPr>
          <w:color w:val="000000"/>
          <w:sz w:val="28"/>
          <w:szCs w:val="28"/>
        </w:rPr>
        <w:t>тыс.кв.м</w:t>
      </w:r>
      <w:proofErr w:type="spellEnd"/>
      <w:r w:rsidR="00883ADC" w:rsidRPr="00883ADC">
        <w:rPr>
          <w:color w:val="000000"/>
          <w:sz w:val="28"/>
          <w:szCs w:val="28"/>
        </w:rPr>
        <w:t xml:space="preserve"> больше, чем в 2020 году</w:t>
      </w:r>
      <w:r w:rsidR="00186B75">
        <w:rPr>
          <w:color w:val="000000"/>
          <w:sz w:val="28"/>
          <w:szCs w:val="28"/>
        </w:rPr>
        <w:t xml:space="preserve"> </w:t>
      </w:r>
      <w:r w:rsidR="00186B75" w:rsidRPr="00883ADC">
        <w:rPr>
          <w:color w:val="000000"/>
          <w:sz w:val="28"/>
          <w:szCs w:val="28"/>
        </w:rPr>
        <w:t xml:space="preserve">(16 235,7 </w:t>
      </w:r>
      <w:proofErr w:type="spellStart"/>
      <w:r w:rsidR="00186B75" w:rsidRPr="00883ADC">
        <w:rPr>
          <w:color w:val="000000"/>
          <w:sz w:val="28"/>
          <w:szCs w:val="28"/>
        </w:rPr>
        <w:t>тыс.кв.м</w:t>
      </w:r>
      <w:proofErr w:type="spellEnd"/>
      <w:r w:rsidR="00186B75" w:rsidRPr="00883ADC">
        <w:rPr>
          <w:color w:val="000000"/>
          <w:sz w:val="28"/>
          <w:szCs w:val="28"/>
        </w:rPr>
        <w:t>)</w:t>
      </w:r>
      <w:r w:rsidR="00883ADC" w:rsidRPr="00883ADC">
        <w:rPr>
          <w:color w:val="000000"/>
          <w:sz w:val="28"/>
          <w:szCs w:val="28"/>
        </w:rPr>
        <w:t xml:space="preserve">. Прирост вводимого жилья </w:t>
      </w:r>
      <w:r w:rsidR="00F05903" w:rsidRPr="00883ADC">
        <w:rPr>
          <w:color w:val="000000"/>
          <w:sz w:val="28"/>
          <w:szCs w:val="28"/>
        </w:rPr>
        <w:t xml:space="preserve">с учетом </w:t>
      </w:r>
      <w:r w:rsidR="00F05903">
        <w:rPr>
          <w:color w:val="000000"/>
          <w:sz w:val="28"/>
          <w:szCs w:val="28"/>
        </w:rPr>
        <w:t>снижения</w:t>
      </w:r>
      <w:r w:rsidR="00F05903" w:rsidRPr="00883ADC">
        <w:rPr>
          <w:color w:val="000000"/>
          <w:sz w:val="28"/>
          <w:szCs w:val="28"/>
        </w:rPr>
        <w:t xml:space="preserve"> численности населения </w:t>
      </w:r>
      <w:r w:rsidR="00F05903">
        <w:rPr>
          <w:color w:val="000000"/>
          <w:sz w:val="28"/>
          <w:szCs w:val="28"/>
        </w:rPr>
        <w:t xml:space="preserve">городского округа </w:t>
      </w:r>
      <w:r w:rsidR="00F05903" w:rsidRPr="00883ADC">
        <w:rPr>
          <w:color w:val="000000"/>
          <w:sz w:val="28"/>
          <w:szCs w:val="28"/>
        </w:rPr>
        <w:t>Тольятти</w:t>
      </w:r>
      <w:r w:rsidR="00F05903" w:rsidRPr="00883ADC">
        <w:rPr>
          <w:color w:val="000000"/>
          <w:sz w:val="28"/>
          <w:szCs w:val="28"/>
        </w:rPr>
        <w:t xml:space="preserve"> </w:t>
      </w:r>
      <w:r w:rsidR="00883ADC" w:rsidRPr="00883ADC">
        <w:rPr>
          <w:color w:val="000000"/>
          <w:sz w:val="28"/>
          <w:szCs w:val="28"/>
        </w:rPr>
        <w:t xml:space="preserve">должен составлять 1 190,4 </w:t>
      </w:r>
      <w:proofErr w:type="spellStart"/>
      <w:r w:rsidR="00883ADC" w:rsidRPr="00883ADC">
        <w:rPr>
          <w:color w:val="000000"/>
          <w:sz w:val="28"/>
          <w:szCs w:val="28"/>
        </w:rPr>
        <w:t>тыс.</w:t>
      </w:r>
      <w:proofErr w:type="gramStart"/>
      <w:r w:rsidR="00883ADC" w:rsidRPr="00883ADC">
        <w:rPr>
          <w:color w:val="000000"/>
          <w:sz w:val="28"/>
          <w:szCs w:val="28"/>
        </w:rPr>
        <w:t>кв.м</w:t>
      </w:r>
      <w:proofErr w:type="spellEnd"/>
      <w:proofErr w:type="gramEnd"/>
      <w:r w:rsidR="00883ADC" w:rsidRPr="00883ADC">
        <w:rPr>
          <w:color w:val="000000"/>
          <w:sz w:val="28"/>
          <w:szCs w:val="28"/>
        </w:rPr>
        <w:t xml:space="preserve"> ежегодно. </w:t>
      </w:r>
    </w:p>
    <w:p w14:paraId="40C289CA" w14:textId="6BDB159C" w:rsidR="00EC46C3" w:rsidRPr="00EC46C3" w:rsidRDefault="00EC46C3" w:rsidP="00A56CAF">
      <w:pPr>
        <w:widowControl w:val="0"/>
        <w:tabs>
          <w:tab w:val="left" w:pos="993"/>
        </w:tabs>
        <w:spacing w:after="0"/>
        <w:ind w:firstLine="709"/>
        <w:jc w:val="both"/>
        <w:rPr>
          <w:rFonts w:ascii="Times New Roman" w:eastAsia="Calibri" w:hAnsi="Times New Roman"/>
          <w:sz w:val="28"/>
          <w:szCs w:val="28"/>
        </w:rPr>
      </w:pPr>
      <w:r w:rsidRPr="00EC46C3">
        <w:rPr>
          <w:rFonts w:ascii="Times New Roman" w:eastAsia="Calibri" w:hAnsi="Times New Roman"/>
          <w:sz w:val="28"/>
          <w:szCs w:val="28"/>
        </w:rPr>
        <w:t xml:space="preserve">Следует отметить, что у администрации </w:t>
      </w:r>
      <w:r w:rsidR="00DB0BCD">
        <w:rPr>
          <w:rFonts w:ascii="Times New Roman" w:eastAsia="Calibri" w:hAnsi="Times New Roman"/>
          <w:sz w:val="28"/>
          <w:szCs w:val="28"/>
        </w:rPr>
        <w:t xml:space="preserve">городского округа Тольятти </w:t>
      </w:r>
      <w:r w:rsidRPr="00EC46C3">
        <w:rPr>
          <w:rFonts w:ascii="Times New Roman" w:eastAsia="Calibri" w:hAnsi="Times New Roman"/>
          <w:sz w:val="28"/>
          <w:szCs w:val="28"/>
        </w:rPr>
        <w:t xml:space="preserve">отсутствует ряд статистических показателей, необходимых для </w:t>
      </w:r>
      <w:r w:rsidR="00186B75">
        <w:rPr>
          <w:rFonts w:ascii="Times New Roman" w:eastAsia="Calibri" w:hAnsi="Times New Roman"/>
          <w:sz w:val="28"/>
          <w:szCs w:val="28"/>
        </w:rPr>
        <w:t>полноценного</w:t>
      </w:r>
      <w:r w:rsidRPr="00EC46C3">
        <w:rPr>
          <w:rFonts w:ascii="Times New Roman" w:eastAsia="Calibri" w:hAnsi="Times New Roman"/>
          <w:sz w:val="28"/>
          <w:szCs w:val="28"/>
        </w:rPr>
        <w:t xml:space="preserve"> анализа ситуации в сфере жилищного строительства города, например, органами статистики не производится расчет в разрезе муниципалитетов показателей доходов и расходов населения, в том числе расходов на приобретение жилья, разбивка </w:t>
      </w:r>
      <w:r w:rsidRPr="00EC46C3">
        <w:rPr>
          <w:rFonts w:ascii="Times New Roman" w:eastAsia="Calibri" w:hAnsi="Times New Roman"/>
          <w:sz w:val="28"/>
          <w:szCs w:val="28"/>
          <w:lang w:eastAsia="en-US"/>
        </w:rPr>
        <w:t xml:space="preserve">по категориям работников и размерам доходов, количество и размеры домохозяйств и т.п. </w:t>
      </w:r>
      <w:r w:rsidRPr="00EC46C3">
        <w:rPr>
          <w:rFonts w:ascii="Times New Roman" w:eastAsia="Calibri" w:hAnsi="Times New Roman"/>
          <w:sz w:val="28"/>
          <w:szCs w:val="28"/>
        </w:rPr>
        <w:t>Необходимо также проведение социологических обследований, опросов граждан по данному вопросу, что позволило бы объективно оценить потребности населения  в строительстве нового жилья.</w:t>
      </w:r>
    </w:p>
    <w:p w14:paraId="73A360AF" w14:textId="77777777" w:rsidR="00F042A4" w:rsidRPr="00F042A4" w:rsidRDefault="00F042A4" w:rsidP="00A56CAF">
      <w:pPr>
        <w:pStyle w:val="aa"/>
        <w:widowControl w:val="0"/>
        <w:spacing w:before="0" w:after="0" w:line="276" w:lineRule="auto"/>
        <w:ind w:firstLine="709"/>
        <w:jc w:val="both"/>
        <w:rPr>
          <w:color w:val="000000"/>
          <w:sz w:val="28"/>
          <w:szCs w:val="28"/>
          <w:lang w:eastAsia="ru-RU"/>
        </w:rPr>
      </w:pPr>
      <w:r w:rsidRPr="00F042A4">
        <w:rPr>
          <w:color w:val="000000"/>
          <w:sz w:val="28"/>
          <w:szCs w:val="28"/>
          <w:lang w:eastAsia="ru-RU"/>
        </w:rPr>
        <w:t>Приоритетное направление в жилищной политике в прогнозном периоде - выполнение текущих обязательств государства по обеспечению жильем льготных категорий граждан и совершенствование нормативной и правовой базы реализации жилищной политики.</w:t>
      </w:r>
    </w:p>
    <w:p w14:paraId="5DC11B33" w14:textId="77777777" w:rsidR="00F042A4" w:rsidRPr="00F042A4" w:rsidRDefault="00F042A4" w:rsidP="00A56CAF">
      <w:pPr>
        <w:pStyle w:val="ConsPlusNormal"/>
        <w:spacing w:line="276" w:lineRule="auto"/>
        <w:ind w:firstLine="708"/>
        <w:jc w:val="both"/>
        <w:rPr>
          <w:color w:val="000000"/>
        </w:rPr>
      </w:pPr>
      <w:r w:rsidRPr="00F042A4">
        <w:rPr>
          <w:color w:val="000000"/>
        </w:rPr>
        <w:t xml:space="preserve">Основные мероприятия в сфере жилищной политики, реализуемые в рамках региональной составляющей национального проекта по Самарской области «Жилье и городская среда» направлены на увеличение жилищного </w:t>
      </w:r>
      <w:r w:rsidRPr="00F042A4">
        <w:rPr>
          <w:color w:val="000000"/>
        </w:rPr>
        <w:lastRenderedPageBreak/>
        <w:t>строительства; создание механизмов развития комфортной городской среды; создание механизмов переселения граждан из непригодного для проживания жилищного фонда.</w:t>
      </w:r>
    </w:p>
    <w:p w14:paraId="13D5E649" w14:textId="77777777" w:rsidR="005D11AD" w:rsidRPr="00F042A4" w:rsidRDefault="005D11AD" w:rsidP="005848E6">
      <w:pPr>
        <w:pStyle w:val="ConsPlusNormal"/>
        <w:spacing w:line="276" w:lineRule="auto"/>
        <w:ind w:firstLine="708"/>
        <w:jc w:val="both"/>
        <w:rPr>
          <w:color w:val="000000"/>
        </w:rPr>
      </w:pPr>
      <w:r w:rsidRPr="005D11AD">
        <w:rPr>
          <w:color w:val="000000"/>
        </w:rPr>
        <w:t>Достижение целей по повышению доступности жилья и качества жилищного обеспечения населения, исполнение государственных обязательств по обеспечению жильем отдельных категорий граждан, в том числе путем оказания мер государственной поддержки в приобретении (строительстве) жилья осуществляется в рамках государственной программы Самарской области «Развитие жилищного строительства в Самарской области», утвержденной постановлением Правительства Самарской области от 27.11.2013 №684.</w:t>
      </w:r>
    </w:p>
    <w:p w14:paraId="503250C9" w14:textId="77777777" w:rsidR="00F042A4" w:rsidRPr="00F042A4" w:rsidRDefault="00F042A4" w:rsidP="005848E6">
      <w:pPr>
        <w:pStyle w:val="aa"/>
        <w:widowControl w:val="0"/>
        <w:spacing w:before="0" w:after="0" w:line="276" w:lineRule="auto"/>
        <w:ind w:firstLine="709"/>
        <w:jc w:val="both"/>
        <w:rPr>
          <w:color w:val="000000"/>
          <w:sz w:val="28"/>
          <w:szCs w:val="28"/>
          <w:lang w:eastAsia="ru-RU"/>
        </w:rPr>
      </w:pPr>
      <w:r w:rsidRPr="00F042A4">
        <w:rPr>
          <w:color w:val="000000"/>
          <w:sz w:val="28"/>
          <w:szCs w:val="28"/>
          <w:lang w:eastAsia="ru-RU"/>
        </w:rPr>
        <w:t xml:space="preserve">Планируется продолжить мероприятия по завершению строительства и вводу в эксплуатацию проблемных объектов жилищного строительства. </w:t>
      </w:r>
    </w:p>
    <w:p w14:paraId="08F1F138" w14:textId="51B72A39" w:rsidR="006A30C9" w:rsidRDefault="006A30C9" w:rsidP="005848E6">
      <w:pPr>
        <w:pStyle w:val="a8"/>
        <w:spacing w:before="120" w:line="276" w:lineRule="auto"/>
        <w:jc w:val="center"/>
        <w:rPr>
          <w:rFonts w:ascii="Times New Roman" w:eastAsiaTheme="majorEastAsia" w:hAnsi="Times New Roman" w:cs="Times New Roman"/>
          <w:b/>
          <w:sz w:val="28"/>
          <w:szCs w:val="28"/>
          <w:lang w:eastAsia="ru-RU"/>
        </w:rPr>
      </w:pPr>
      <w:r w:rsidRPr="004C4873">
        <w:rPr>
          <w:rFonts w:ascii="Times New Roman" w:eastAsiaTheme="majorEastAsia" w:hAnsi="Times New Roman" w:cs="Times New Roman"/>
          <w:b/>
          <w:sz w:val="28"/>
          <w:szCs w:val="28"/>
          <w:lang w:eastAsia="ru-RU"/>
        </w:rPr>
        <w:t>Финансы</w:t>
      </w:r>
      <w:bookmarkStart w:id="4" w:name="финансы"/>
      <w:bookmarkEnd w:id="4"/>
    </w:p>
    <w:p w14:paraId="4655882A" w14:textId="77777777" w:rsidR="00743E24" w:rsidRPr="004C4873" w:rsidRDefault="00743E24" w:rsidP="005848E6">
      <w:pPr>
        <w:pStyle w:val="aa"/>
        <w:widowControl w:val="0"/>
        <w:numPr>
          <w:ilvl w:val="0"/>
          <w:numId w:val="2"/>
        </w:numPr>
        <w:tabs>
          <w:tab w:val="clear" w:pos="0"/>
          <w:tab w:val="num" w:pos="720"/>
        </w:tabs>
        <w:spacing w:before="120" w:after="0" w:line="276" w:lineRule="auto"/>
        <w:ind w:left="0" w:firstLine="709"/>
        <w:jc w:val="both"/>
        <w:rPr>
          <w:sz w:val="28"/>
          <w:szCs w:val="28"/>
        </w:rPr>
      </w:pPr>
      <w:r w:rsidRPr="004C4873">
        <w:rPr>
          <w:sz w:val="28"/>
          <w:szCs w:val="28"/>
        </w:rPr>
        <w:t>На финансовые показатели деятельности промышленных организаций городского округа Тольятти, формирующих основную часть прибыли (химическая промышленность и автопром, включая торговлю автомобилями) значительное влияние оказывают внешние факторы.</w:t>
      </w:r>
    </w:p>
    <w:p w14:paraId="5A5584B4" w14:textId="5418B60A"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После рекордных за последние 10 лет показателей прибыли в первой половине текущего года и ожидаемых к концу 2021 года, крупнейшие химические предприятия на 2022 год прогнозируют её в объемах значительно ниже текущего года, но также значительно выше 2019 года, предполагая, таким образом, сохранение в прогнозном периоде благоприятной конъюнктуры на мировом химическом рынке вследствие роста деловой активности.</w:t>
      </w:r>
      <w:r w:rsidR="002A51C9">
        <w:rPr>
          <w:sz w:val="28"/>
          <w:szCs w:val="28"/>
        </w:rPr>
        <w:t xml:space="preserve"> В связи с этим, прогнозные значения показателя прибыли предприятий корректируются в сторону увеличения относительно прошлогоднего прогноза. Кроме этого, в расчет данного показателя включены сведения по субъектам малого предпринимательства. </w:t>
      </w:r>
    </w:p>
    <w:p w14:paraId="1DD0D83E" w14:textId="6FDD307C"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 xml:space="preserve">На показатели финансовой сферы городского округа Тольятти в 2023-2024 гг. по консервативному варианту прогноза сдерживающее влияние могут оказать такие факторы, как перебои в поставках электронных компонентов из-за </w:t>
      </w:r>
      <w:r w:rsidR="00EA5C0A">
        <w:rPr>
          <w:sz w:val="28"/>
          <w:szCs w:val="28"/>
        </w:rPr>
        <w:t>руб</w:t>
      </w:r>
      <w:r w:rsidRPr="004C4873">
        <w:rPr>
          <w:sz w:val="28"/>
          <w:szCs w:val="28"/>
        </w:rPr>
        <w:t>ежа для производства автомобилей, иные негативные факторы, возникающие в условиях неопределенности в мировой экономике, а также ужесточение денежно-кредитной политики.</w:t>
      </w:r>
    </w:p>
    <w:p w14:paraId="700476BF" w14:textId="77777777"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 xml:space="preserve">По базовому варианту прогноза в 2023-2024 гг. продолжится умеренный рост прибыли организаций, поддержанный ростом мировой экономики, реализацией крупных федеральных и инфраструктурных проектов на территории городского округа Тольятти, внутренним </w:t>
      </w:r>
      <w:r w:rsidRPr="004C4873">
        <w:rPr>
          <w:sz w:val="28"/>
          <w:szCs w:val="28"/>
        </w:rPr>
        <w:lastRenderedPageBreak/>
        <w:t>потребительским и инвестиционным спросом.</w:t>
      </w:r>
    </w:p>
    <w:p w14:paraId="764C6E60" w14:textId="22EB10A1"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 xml:space="preserve">Так, с учётом данных, предоставленных крупнейшими химическими предприятиями, прибыль прибыльных организаций городского округа Тольятти по полному кругу лиц, до налогообложения (по РСБУ) (далее </w:t>
      </w:r>
      <w:r w:rsidR="00C230D7">
        <w:rPr>
          <w:sz w:val="28"/>
          <w:szCs w:val="28"/>
        </w:rPr>
        <w:t xml:space="preserve">по разделу </w:t>
      </w:r>
      <w:r w:rsidRPr="004C4873">
        <w:rPr>
          <w:sz w:val="28"/>
          <w:szCs w:val="28"/>
        </w:rPr>
        <w:t>– прибыль организаций) в 2022 году снизится относительно 2021 года по консервативному варианту прогноза на 40,7% до 61 64</w:t>
      </w:r>
      <w:r w:rsidR="002A51C9">
        <w:rPr>
          <w:sz w:val="28"/>
          <w:szCs w:val="28"/>
        </w:rPr>
        <w:t>6</w:t>
      </w:r>
      <w:r w:rsidRPr="004C4873">
        <w:rPr>
          <w:sz w:val="28"/>
          <w:szCs w:val="28"/>
        </w:rPr>
        <w:t xml:space="preserve"> млн. </w:t>
      </w:r>
      <w:r w:rsidR="00EA5C0A">
        <w:rPr>
          <w:sz w:val="28"/>
          <w:szCs w:val="28"/>
        </w:rPr>
        <w:t>рублей</w:t>
      </w:r>
      <w:r w:rsidRPr="004C4873">
        <w:rPr>
          <w:sz w:val="28"/>
          <w:szCs w:val="28"/>
        </w:rPr>
        <w:t xml:space="preserve">, по базовому варианту прогноза – на 38,9% до 63 437 млн. </w:t>
      </w:r>
      <w:r w:rsidR="00EA5C0A">
        <w:rPr>
          <w:sz w:val="28"/>
          <w:szCs w:val="28"/>
        </w:rPr>
        <w:t>рублей</w:t>
      </w:r>
      <w:r w:rsidRPr="004C4873">
        <w:rPr>
          <w:sz w:val="28"/>
          <w:szCs w:val="28"/>
        </w:rPr>
        <w:t>. По сравнению с «</w:t>
      </w:r>
      <w:proofErr w:type="spellStart"/>
      <w:r w:rsidRPr="004C4873">
        <w:rPr>
          <w:sz w:val="28"/>
          <w:szCs w:val="28"/>
        </w:rPr>
        <w:t>допандемийным</w:t>
      </w:r>
      <w:proofErr w:type="spellEnd"/>
      <w:r w:rsidRPr="004C4873">
        <w:rPr>
          <w:sz w:val="28"/>
          <w:szCs w:val="28"/>
        </w:rPr>
        <w:t xml:space="preserve">» 2019 годом прибыль организаций в 2022 году вырастет на 45,2% и 49,4% по вариантам прогноза соответственно. </w:t>
      </w:r>
    </w:p>
    <w:p w14:paraId="6D3355C7" w14:textId="7BFF8BCD"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В 2023-2024 гг. прибыль организаций по консервативному варианту вырастет на 108,0% и 104,9% по годам соответственно, по базовому варианту прогноза – на 108,7% и 106,7%. К концу прогнозного периода прибыль организаций составит по консервативному варианту прогноза 69 844 млн. </w:t>
      </w:r>
      <w:r w:rsidR="00EA5C0A">
        <w:rPr>
          <w:sz w:val="28"/>
          <w:szCs w:val="28"/>
        </w:rPr>
        <w:t>рублей</w:t>
      </w:r>
      <w:r w:rsidRPr="004C4873">
        <w:rPr>
          <w:sz w:val="28"/>
          <w:szCs w:val="28"/>
        </w:rPr>
        <w:t xml:space="preserve"> (- 32,8% от уровня 2021 года) и 73 611 млн. </w:t>
      </w:r>
      <w:r w:rsidR="00EA5C0A">
        <w:rPr>
          <w:sz w:val="28"/>
          <w:szCs w:val="28"/>
        </w:rPr>
        <w:t>рублей</w:t>
      </w:r>
      <w:r w:rsidRPr="004C4873">
        <w:rPr>
          <w:sz w:val="28"/>
          <w:szCs w:val="28"/>
        </w:rPr>
        <w:t xml:space="preserve"> (-29,2% от уровня 2021 года) по базовому варианту прогноза.</w:t>
      </w:r>
    </w:p>
    <w:p w14:paraId="656EABB3" w14:textId="0E641C4E"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К концу прогнозного периода начисленная амортизация основных фондов по консервативному варианту прогноза составит 33 496 млн. </w:t>
      </w:r>
      <w:r w:rsidR="00EA5C0A">
        <w:rPr>
          <w:sz w:val="28"/>
          <w:szCs w:val="28"/>
        </w:rPr>
        <w:t>рублей</w:t>
      </w:r>
      <w:r w:rsidRPr="004C4873">
        <w:rPr>
          <w:sz w:val="28"/>
          <w:szCs w:val="28"/>
        </w:rPr>
        <w:t xml:space="preserve">, по базовому варианту прогноза </w:t>
      </w:r>
      <w:proofErr w:type="gramStart"/>
      <w:r w:rsidRPr="004C4873">
        <w:rPr>
          <w:sz w:val="28"/>
          <w:szCs w:val="28"/>
        </w:rPr>
        <w:t>-  37</w:t>
      </w:r>
      <w:proofErr w:type="gramEnd"/>
      <w:r w:rsidRPr="004C4873">
        <w:rPr>
          <w:sz w:val="28"/>
          <w:szCs w:val="28"/>
        </w:rPr>
        <w:t> 363 млн. </w:t>
      </w:r>
      <w:r w:rsidR="00EA5C0A">
        <w:rPr>
          <w:sz w:val="28"/>
          <w:szCs w:val="28"/>
        </w:rPr>
        <w:t>рублей</w:t>
      </w:r>
      <w:r w:rsidRPr="004C4873">
        <w:rPr>
          <w:sz w:val="28"/>
          <w:szCs w:val="28"/>
        </w:rPr>
        <w:t xml:space="preserve"> (+25,8% и +40,4% относительно 2021 года по вариантам прогноза в соответствии с темпом роста инвестиций в основной капитал). </w:t>
      </w:r>
    </w:p>
    <w:p w14:paraId="61BDEE55" w14:textId="54A5C801"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 xml:space="preserve">В 2024 году расходы за счёт средств, остающихся в распоряжении организаций относительно 2021 года снизятся на 18,9% и 12,6% по соответствующим вариантам прогноза, за счёт прогнозируемого снижения объемов прибыли в 2022 году относительно высокой базы 2021 года, и составят 89 371 млн. </w:t>
      </w:r>
      <w:r w:rsidR="00EA5C0A">
        <w:rPr>
          <w:sz w:val="28"/>
          <w:szCs w:val="28"/>
        </w:rPr>
        <w:t>рублей</w:t>
      </w:r>
      <w:r w:rsidRPr="004C4873">
        <w:rPr>
          <w:sz w:val="28"/>
          <w:szCs w:val="28"/>
        </w:rPr>
        <w:t xml:space="preserve"> и 96 25</w:t>
      </w:r>
      <w:r w:rsidR="002A51C9">
        <w:rPr>
          <w:sz w:val="28"/>
          <w:szCs w:val="28"/>
        </w:rPr>
        <w:t>2</w:t>
      </w:r>
      <w:r w:rsidRPr="004C4873">
        <w:rPr>
          <w:sz w:val="28"/>
          <w:szCs w:val="28"/>
        </w:rPr>
        <w:t xml:space="preserve"> млн. </w:t>
      </w:r>
      <w:r w:rsidR="00EA5C0A">
        <w:rPr>
          <w:sz w:val="28"/>
          <w:szCs w:val="28"/>
        </w:rPr>
        <w:t>рублей</w:t>
      </w:r>
      <w:r w:rsidRPr="004C4873">
        <w:rPr>
          <w:sz w:val="28"/>
          <w:szCs w:val="28"/>
        </w:rPr>
        <w:t xml:space="preserve"> по консервативному и базовому варианту прогноза соответственно.</w:t>
      </w:r>
    </w:p>
    <w:p w14:paraId="4E6D19D4" w14:textId="77777777"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Страховые взносы в государственные внебюджетные фонды от работающего и неработающего населения, а также расходы государственных внебюджетных фондов на территории городского округа Тольятти на выплату пенсий, пособий, иных выплат гражданам, субвенций и межбюджетных трансфертов в социальной сфере в прогнозном периоде будут расти в темпах роста налога на доходы физических лиц (НДФЛ): +20,7% и +24,5% (2024/2021) по вариантам прогноза соответственно.</w:t>
      </w:r>
    </w:p>
    <w:p w14:paraId="4A84C9E2" w14:textId="77777777"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Налоговые доходы, администрируемые налоговыми органами городского округа Тольятти, к концу 2024 года по сравнению с 2021 годом по консервативному варианту прогноза сократятся на 0,2% в связи со снижением в 2022 году поступления налога на прибыль по сравнению с 2021 годом. По базовому варианту прогноза налоговые доходы вырастут в прогнозном периоде (2024/2021) на 102,2%.</w:t>
      </w:r>
    </w:p>
    <w:p w14:paraId="6341C435" w14:textId="77777777"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lastRenderedPageBreak/>
        <w:t>Динамика поступлений налоговых доходов (2024/2021) по видам налогов составит:</w:t>
      </w:r>
    </w:p>
    <w:p w14:paraId="6D110EAD" w14:textId="77777777"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 xml:space="preserve">- налоги на прибыль, доходы: снижение на 9,3% по консервативному варианту, снижение на 5,6% по базовому варианту прогноза, в том числе: поступления налога на прибыль организаций, рассчитанных с применением прогнозируемых темпов роста прибыли прибыльных организаций до налогообложения по полному кругу лиц (по РСБУ) – снижение на 31,3% и 27,6% по вариантам прогноза соответственно;  поступления НДФЛ, рассчитанные с применением прогнозируемых темпов роста численности занятых в экономике и среднемесячной номинальной начисленной заработной платы работников крупных, средних и малых организаций – рост на 20,7% и 24,5%; </w:t>
      </w:r>
    </w:p>
    <w:p w14:paraId="426CF27E" w14:textId="77777777"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 налоги на товары (работы, услуги): налог на добавленную стоимость (НДС) и акцизы - рост на 11,7% и 12,3% по вариантам прогноза соответственно, с учётом роста поступлений НДС в размерах прогнозируемых индексов инфляции, а также тенденции превышения суммы уплаченных акцизов над суммой возмещения акцизов из бюджета при использовании подакцизного сырья для производства химических продуктов;</w:t>
      </w:r>
    </w:p>
    <w:p w14:paraId="689F9820" w14:textId="56FA9501"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 налоги на имущество: рост на 16,4% и 17,6% по вариантам прогноза соответственно, в том числе: налог на имущество физических лиц -  рост на 26,0% по консервативному варианту прогноза и на 33,1% по базовому варианту прогноза (с учётом средних темпов роста за три предшествующих года); земельный налог – снижение на 9,0% по консервативному варианту прогноза и на 2,6% по базовому варианту прогноза, с учётом оспаривания в судебном порядке кадастровой стоимости земельных участков и возникновения переплаты по налогу; транспортный налог – рост на 22,2% и 25,0% по вариантам;</w:t>
      </w:r>
      <w:r w:rsidR="009E5DEF">
        <w:rPr>
          <w:sz w:val="28"/>
          <w:szCs w:val="28"/>
        </w:rPr>
        <w:t xml:space="preserve"> </w:t>
      </w:r>
      <w:r w:rsidRPr="004C4873">
        <w:rPr>
          <w:sz w:val="28"/>
          <w:szCs w:val="28"/>
        </w:rPr>
        <w:t xml:space="preserve">рост на  16,4% и 17,6% по вариантам прогноза соответственно (с учётом средних темпов роста за три предшествующих года); налог на имущество организаций - рост на 17,0% и 16,2% по двум вариантам прогноза (прогнозируется с применением индекса-дефлятора инвестиций в основной капитал); </w:t>
      </w:r>
    </w:p>
    <w:p w14:paraId="4D9BE0FC" w14:textId="77777777"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 налоги на совокупный доход: рост на 6,2% по обоим вариантам прогноза, с учётом отмены с 2021 года ЕНВД при одновременном увеличении ставки зачисления УСН в местный бюджет с 2021 года до 23,0%, а также устойчивого роста поступлений налога, взимаемого в связи с применением патентной системы налогообложения;</w:t>
      </w:r>
    </w:p>
    <w:p w14:paraId="701309D2" w14:textId="77777777"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 иные налоговые доходы (налоги, сборы за пользование природными ресурсами, госпошлина и другие): рост на 9,8% и 10,9% по вариантам прогноза соответственно.</w:t>
      </w:r>
    </w:p>
    <w:p w14:paraId="256CBB2C" w14:textId="74715300"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lastRenderedPageBreak/>
        <w:t>В прогнозном периоде в местный бюджет будет зачисляться ежегодно 15,5%</w:t>
      </w:r>
      <w:r w:rsidR="00734AFC">
        <w:rPr>
          <w:sz w:val="28"/>
          <w:szCs w:val="28"/>
        </w:rPr>
        <w:t xml:space="preserve"> </w:t>
      </w:r>
      <w:r w:rsidRPr="004C4873">
        <w:rPr>
          <w:sz w:val="28"/>
          <w:szCs w:val="28"/>
        </w:rPr>
        <w:t>-</w:t>
      </w:r>
      <w:r w:rsidR="00734AFC">
        <w:rPr>
          <w:sz w:val="28"/>
          <w:szCs w:val="28"/>
        </w:rPr>
        <w:t xml:space="preserve"> </w:t>
      </w:r>
      <w:r w:rsidRPr="004C4873">
        <w:rPr>
          <w:sz w:val="28"/>
          <w:szCs w:val="28"/>
        </w:rPr>
        <w:t>15,7% (по вариантам прогноза) от общего объёма налоговых доходов с территории городского округа Тольятти, администрируемых налоговыми органами.  Налоговые доходы бюджета городского округа Тольятти за прогнозный период (2024/2021) вырастут по консервативному варианту на 16,4%, по базовому варианту - на 19,8%. Неналоговые доходы к концу прогнозного периода могут вырасти на 5,1% (2024/2021) по обоим вариантам прогноза</w:t>
      </w:r>
      <w:r w:rsidR="00734AFC">
        <w:rPr>
          <w:sz w:val="28"/>
          <w:szCs w:val="28"/>
        </w:rPr>
        <w:t>.</w:t>
      </w:r>
      <w:r w:rsidRPr="004C4873">
        <w:rPr>
          <w:sz w:val="28"/>
          <w:szCs w:val="28"/>
        </w:rPr>
        <w:t xml:space="preserve"> </w:t>
      </w:r>
    </w:p>
    <w:p w14:paraId="57554074" w14:textId="77777777" w:rsidR="00743E24" w:rsidRPr="004C4873" w:rsidRDefault="00743E24" w:rsidP="00A56CAF">
      <w:pPr>
        <w:pStyle w:val="aa"/>
        <w:widowControl w:val="0"/>
        <w:numPr>
          <w:ilvl w:val="0"/>
          <w:numId w:val="2"/>
        </w:numPr>
        <w:tabs>
          <w:tab w:val="clear" w:pos="0"/>
          <w:tab w:val="num" w:pos="720"/>
        </w:tabs>
        <w:spacing w:before="0" w:after="0" w:line="276" w:lineRule="auto"/>
        <w:ind w:left="0" w:firstLine="709"/>
        <w:jc w:val="both"/>
        <w:rPr>
          <w:sz w:val="28"/>
          <w:szCs w:val="28"/>
        </w:rPr>
      </w:pPr>
      <w:r w:rsidRPr="004C4873">
        <w:rPr>
          <w:sz w:val="28"/>
          <w:szCs w:val="28"/>
        </w:rPr>
        <w:t>Бюджетная политика городского округа Тольятти в прогнозном периоде будет направлена на исполнение принятых социальных обязательств и дальнейшее усиление экономности и эффективности расходования бюджетных средств, сокращение муниципального долга и расходов на его обслуживание, активное участие в привлечении средств вышестоящих бюджетов на финансирование расходов на строительство новых объектов социальной инфраструктуры и дорог, а также благоустройство территории в рамках реализации приоритетных национальных проектов.</w:t>
      </w:r>
    </w:p>
    <w:p w14:paraId="3D2DCF9D" w14:textId="77777777" w:rsidR="0024525F" w:rsidRPr="006B116C" w:rsidRDefault="0024525F" w:rsidP="005848E6">
      <w:pPr>
        <w:pStyle w:val="a8"/>
        <w:spacing w:before="120" w:line="276" w:lineRule="auto"/>
        <w:jc w:val="center"/>
        <w:rPr>
          <w:rFonts w:ascii="Times New Roman" w:eastAsiaTheme="majorEastAsia" w:hAnsi="Times New Roman" w:cs="Times New Roman"/>
          <w:b/>
          <w:sz w:val="28"/>
          <w:szCs w:val="28"/>
          <w:lang w:eastAsia="ru-RU"/>
        </w:rPr>
      </w:pPr>
      <w:r w:rsidRPr="006B116C">
        <w:rPr>
          <w:rFonts w:ascii="Times New Roman" w:eastAsiaTheme="majorEastAsia" w:hAnsi="Times New Roman" w:cs="Times New Roman"/>
          <w:b/>
          <w:sz w:val="28"/>
          <w:szCs w:val="28"/>
          <w:lang w:eastAsia="ru-RU"/>
        </w:rPr>
        <w:t>Демография и занятость населения</w:t>
      </w:r>
      <w:bookmarkStart w:id="5" w:name="демограф"/>
      <w:bookmarkEnd w:id="5"/>
    </w:p>
    <w:p w14:paraId="011605F8" w14:textId="7F6A0E1E" w:rsidR="006B116C" w:rsidRPr="006B116C" w:rsidRDefault="006B116C" w:rsidP="005848E6">
      <w:pPr>
        <w:pStyle w:val="af"/>
        <w:numPr>
          <w:ilvl w:val="0"/>
          <w:numId w:val="2"/>
        </w:numPr>
        <w:spacing w:before="120" w:line="276" w:lineRule="auto"/>
        <w:ind w:left="0" w:firstLine="0"/>
        <w:jc w:val="center"/>
      </w:pPr>
      <w:r w:rsidRPr="006B116C">
        <w:t>Демография</w:t>
      </w:r>
    </w:p>
    <w:p w14:paraId="6FD833AF" w14:textId="77777777" w:rsidR="008876F8" w:rsidRPr="00A56CAF" w:rsidRDefault="008876F8" w:rsidP="00A56CAF">
      <w:pPr>
        <w:pStyle w:val="af"/>
        <w:numPr>
          <w:ilvl w:val="0"/>
          <w:numId w:val="2"/>
        </w:numPr>
        <w:spacing w:line="276" w:lineRule="auto"/>
        <w:ind w:left="0" w:firstLine="709"/>
        <w:jc w:val="both"/>
      </w:pPr>
      <w:r w:rsidRPr="00A56CAF">
        <w:t xml:space="preserve">В течении последующих 3-х лет основные тенденции в сфере демографии городского округа Тольятти продолжатся. </w:t>
      </w:r>
    </w:p>
    <w:p w14:paraId="6EE019AB" w14:textId="57113386" w:rsidR="00BC69C1" w:rsidRPr="00A56CAF" w:rsidRDefault="00BC69C1" w:rsidP="00A56CAF">
      <w:pPr>
        <w:pStyle w:val="af"/>
        <w:numPr>
          <w:ilvl w:val="0"/>
          <w:numId w:val="2"/>
        </w:numPr>
        <w:spacing w:line="276" w:lineRule="auto"/>
        <w:ind w:left="0" w:firstLine="709"/>
        <w:jc w:val="both"/>
      </w:pPr>
      <w:r w:rsidRPr="00A56CAF">
        <w:t>В прогнозном периоде ожидается сохранение естественной и миграционной убыли населения.</w:t>
      </w:r>
    </w:p>
    <w:p w14:paraId="2AD43A03" w14:textId="43F2AC8E" w:rsidR="00862820" w:rsidRPr="00A56CAF" w:rsidRDefault="008876F8" w:rsidP="00A56CAF">
      <w:pPr>
        <w:pStyle w:val="af"/>
        <w:numPr>
          <w:ilvl w:val="0"/>
          <w:numId w:val="2"/>
        </w:numPr>
        <w:spacing w:line="276" w:lineRule="auto"/>
        <w:ind w:left="0" w:firstLine="709"/>
        <w:jc w:val="both"/>
      </w:pPr>
      <w:r w:rsidRPr="00A56CAF">
        <w:t>На</w:t>
      </w:r>
      <w:r w:rsidR="00862820" w:rsidRPr="00A56CAF">
        <w:t xml:space="preserve"> демографические тенденции окажут влияние следующие основные факторы:</w:t>
      </w:r>
    </w:p>
    <w:p w14:paraId="2AC25231" w14:textId="4145E0AC" w:rsidR="00862820" w:rsidRPr="00A56CAF" w:rsidRDefault="00862820" w:rsidP="00A56CAF">
      <w:pPr>
        <w:spacing w:after="0"/>
        <w:ind w:firstLine="709"/>
        <w:jc w:val="both"/>
        <w:rPr>
          <w:rFonts w:ascii="Times New Roman" w:hAnsi="Times New Roman"/>
          <w:sz w:val="28"/>
          <w:szCs w:val="28"/>
        </w:rPr>
      </w:pPr>
      <w:r w:rsidRPr="00A56CAF">
        <w:rPr>
          <w:rFonts w:ascii="Times New Roman" w:hAnsi="Times New Roman"/>
          <w:sz w:val="28"/>
          <w:szCs w:val="28"/>
        </w:rPr>
        <w:t xml:space="preserve">- </w:t>
      </w:r>
      <w:r w:rsidR="00A1614E" w:rsidRPr="00A56CAF">
        <w:rPr>
          <w:rFonts w:ascii="Times New Roman" w:hAnsi="Times New Roman"/>
          <w:sz w:val="28"/>
          <w:szCs w:val="28"/>
        </w:rPr>
        <w:t xml:space="preserve">дальнейшее сокращение численности женщин репродуктивного возраста (20-39 лет) (в 2024 году их количество снизится на </w:t>
      </w:r>
      <w:r w:rsidR="00660D37" w:rsidRPr="00A56CAF">
        <w:rPr>
          <w:rFonts w:ascii="Times New Roman" w:hAnsi="Times New Roman"/>
          <w:sz w:val="28"/>
          <w:szCs w:val="28"/>
        </w:rPr>
        <w:t>12</w:t>
      </w:r>
      <w:r w:rsidR="00A1614E" w:rsidRPr="00A56CAF">
        <w:rPr>
          <w:rFonts w:ascii="Times New Roman" w:hAnsi="Times New Roman"/>
          <w:sz w:val="28"/>
          <w:szCs w:val="28"/>
        </w:rPr>
        <w:t xml:space="preserve">% или на </w:t>
      </w:r>
      <w:r w:rsidR="00660D37" w:rsidRPr="00A56CAF">
        <w:rPr>
          <w:rFonts w:ascii="Times New Roman" w:hAnsi="Times New Roman"/>
          <w:sz w:val="28"/>
          <w:szCs w:val="28"/>
        </w:rPr>
        <w:t>11</w:t>
      </w:r>
      <w:r w:rsidR="00A1614E" w:rsidRPr="00A56CAF">
        <w:rPr>
          <w:rFonts w:ascii="Times New Roman" w:hAnsi="Times New Roman"/>
          <w:sz w:val="28"/>
          <w:szCs w:val="28"/>
        </w:rPr>
        <w:t xml:space="preserve"> тыс. человек относительно 2020 года), откладывание рождений на более поздний период</w:t>
      </w:r>
      <w:r w:rsidRPr="00A56CAF">
        <w:rPr>
          <w:rFonts w:ascii="Times New Roman" w:hAnsi="Times New Roman"/>
          <w:sz w:val="28"/>
          <w:szCs w:val="28"/>
        </w:rPr>
        <w:t>, в результате чего возможности роста рождаемости будут ограничены;</w:t>
      </w:r>
    </w:p>
    <w:p w14:paraId="7BD7F81D" w14:textId="77777777" w:rsidR="00862820" w:rsidRPr="00A56CAF" w:rsidRDefault="00862820" w:rsidP="00A56CAF">
      <w:pPr>
        <w:pStyle w:val="af"/>
        <w:numPr>
          <w:ilvl w:val="0"/>
          <w:numId w:val="2"/>
        </w:numPr>
        <w:tabs>
          <w:tab w:val="left" w:pos="8208"/>
        </w:tabs>
        <w:spacing w:line="276" w:lineRule="auto"/>
        <w:ind w:left="0" w:firstLine="709"/>
        <w:jc w:val="both"/>
      </w:pPr>
      <w:r w:rsidRPr="00A56CAF">
        <w:t>- сохранение относительно высокой доли вторых и третьих рождений в семьях (порядка 55% от общего числа рождений), на что окажет влияние расширение мер материальной поддержки семьям с детьми в зависимости от очередности рождения детей на федеральном и региональном уровнях, в том числе увеличение размера материнского капитала, введение новых выплат на детей разных возрастных групп, предоставление ежемесячных денежных выплат семьям при рождении третьего и каждого последующего ребенка до достижения ими возраста трех лет, реализация льготных ипотечных программ;</w:t>
      </w:r>
    </w:p>
    <w:p w14:paraId="675421DE" w14:textId="22E033DC" w:rsidR="00BC69C1" w:rsidRPr="00A56CAF" w:rsidRDefault="008876F8" w:rsidP="00A56CAF">
      <w:pPr>
        <w:pStyle w:val="af"/>
        <w:numPr>
          <w:ilvl w:val="0"/>
          <w:numId w:val="2"/>
        </w:numPr>
        <w:spacing w:line="276" w:lineRule="auto"/>
        <w:ind w:left="0" w:firstLine="709"/>
        <w:jc w:val="both"/>
      </w:pPr>
      <w:r w:rsidRPr="00A56CAF">
        <w:lastRenderedPageBreak/>
        <w:t xml:space="preserve">- </w:t>
      </w:r>
      <w:r w:rsidRPr="00A56CAF">
        <w:rPr>
          <w:bCs/>
        </w:rPr>
        <w:t>влияние</w:t>
      </w:r>
      <w:r w:rsidRPr="00A56CAF">
        <w:t xml:space="preserve"> санитарно-эпидемиологической ситуации и сохранение смертности на достаточно высоком уровне на протяжении всего прогнозного периода</w:t>
      </w:r>
      <w:r w:rsidR="00BC69C1" w:rsidRPr="00A56CAF">
        <w:t>;</w:t>
      </w:r>
    </w:p>
    <w:p w14:paraId="0DC79AA5" w14:textId="046A8555" w:rsidR="00BC69C1" w:rsidRPr="00A56CAF" w:rsidRDefault="00BC69C1" w:rsidP="00A56CAF">
      <w:pPr>
        <w:pStyle w:val="af"/>
        <w:numPr>
          <w:ilvl w:val="0"/>
          <w:numId w:val="2"/>
        </w:numPr>
        <w:spacing w:line="276" w:lineRule="auto"/>
        <w:ind w:left="0" w:firstLine="709"/>
        <w:jc w:val="both"/>
        <w:rPr>
          <w:highlight w:val="yellow"/>
        </w:rPr>
      </w:pPr>
      <w:r w:rsidRPr="00A56CAF">
        <w:t>- сохранение миграционного оттока населения.</w:t>
      </w:r>
    </w:p>
    <w:p w14:paraId="0E324941" w14:textId="5FB0176A" w:rsidR="004A42DA" w:rsidRPr="00A56CAF" w:rsidRDefault="004A42DA" w:rsidP="00A56CAF">
      <w:pPr>
        <w:pStyle w:val="af"/>
        <w:numPr>
          <w:ilvl w:val="0"/>
          <w:numId w:val="2"/>
        </w:numPr>
        <w:spacing w:line="276" w:lineRule="auto"/>
        <w:ind w:left="0" w:firstLine="709"/>
        <w:jc w:val="both"/>
        <w:rPr>
          <w:highlight w:val="yellow"/>
        </w:rPr>
      </w:pPr>
      <w:r w:rsidRPr="00A56CAF">
        <w:t>В результате действия этих факторов естественная убыль населения к 2024 году по консервативному и базовому вариантам прогноза составит -3,9 и -3,3 тыс. человек соответственно.</w:t>
      </w:r>
    </w:p>
    <w:p w14:paraId="749140DC" w14:textId="4BD2774D" w:rsidR="006B116C" w:rsidRPr="00A56CAF" w:rsidRDefault="00862820" w:rsidP="00A56CAF">
      <w:pPr>
        <w:pStyle w:val="af"/>
        <w:widowControl w:val="0"/>
        <w:numPr>
          <w:ilvl w:val="0"/>
          <w:numId w:val="2"/>
        </w:numPr>
        <w:shd w:val="clear" w:color="auto" w:fill="FFFFFF"/>
        <w:tabs>
          <w:tab w:val="left" w:pos="8208"/>
        </w:tabs>
        <w:suppressAutoHyphens/>
        <w:spacing w:line="276" w:lineRule="auto"/>
        <w:ind w:left="0" w:firstLine="709"/>
        <w:jc w:val="both"/>
      </w:pPr>
      <w:r w:rsidRPr="00A56CAF">
        <w:t>В прогнозном периоде произойд</w:t>
      </w:r>
      <w:r w:rsidR="00772F0C" w:rsidRPr="00A56CAF">
        <w:t>ет</w:t>
      </w:r>
      <w:r w:rsidRPr="00A56CAF">
        <w:t xml:space="preserve"> изменение возрастной структуры населения с учетом нового пенсионного законодательства. Увеличение возраста выхода на пенсию позволит увеличить численность населения в трудоспособном возрасте. </w:t>
      </w:r>
      <w:r w:rsidR="005B2ACE" w:rsidRPr="00A56CAF">
        <w:rPr>
          <w:lang w:val="en-US"/>
        </w:rPr>
        <w:t>C</w:t>
      </w:r>
      <w:proofErr w:type="spellStart"/>
      <w:r w:rsidRPr="00A56CAF">
        <w:t>ледует</w:t>
      </w:r>
      <w:proofErr w:type="spellEnd"/>
      <w:r w:rsidRPr="00A56CAF">
        <w:t xml:space="preserve"> отметить, что присутствие миграционного оттока населения </w:t>
      </w:r>
      <w:r w:rsidR="00BC69C1" w:rsidRPr="00A56CAF">
        <w:t>будет сдерживать</w:t>
      </w:r>
      <w:r w:rsidRPr="00A56CAF">
        <w:t xml:space="preserve"> </w:t>
      </w:r>
      <w:r w:rsidR="004A42DA" w:rsidRPr="00A56CAF">
        <w:t xml:space="preserve">динамичный </w:t>
      </w:r>
      <w:r w:rsidR="00BC69C1" w:rsidRPr="00A56CAF">
        <w:t>рост данной категории граждан</w:t>
      </w:r>
      <w:r w:rsidRPr="00A56CAF">
        <w:t xml:space="preserve"> (более 70% мигрантов составляют граждане трудоспособного возраста). </w:t>
      </w:r>
    </w:p>
    <w:p w14:paraId="7B296C24" w14:textId="20E03BFA" w:rsidR="00772F0C" w:rsidRPr="00A56CAF" w:rsidRDefault="00862820" w:rsidP="00A56CAF">
      <w:pPr>
        <w:pStyle w:val="af"/>
        <w:widowControl w:val="0"/>
        <w:numPr>
          <w:ilvl w:val="0"/>
          <w:numId w:val="2"/>
        </w:numPr>
        <w:shd w:val="clear" w:color="auto" w:fill="FFFFFF"/>
        <w:tabs>
          <w:tab w:val="left" w:pos="8208"/>
        </w:tabs>
        <w:suppressAutoHyphens/>
        <w:spacing w:line="276" w:lineRule="auto"/>
        <w:ind w:left="0" w:firstLine="709"/>
        <w:jc w:val="both"/>
      </w:pPr>
      <w:r w:rsidRPr="00A56CAF">
        <w:t xml:space="preserve">В связи с этими факторами доля </w:t>
      </w:r>
      <w:r w:rsidR="00BC69C1" w:rsidRPr="00A56CAF">
        <w:t xml:space="preserve">населения трудоспособного возраста </w:t>
      </w:r>
      <w:r w:rsidRPr="00A56CAF">
        <w:t xml:space="preserve">в общей численности населения </w:t>
      </w:r>
      <w:r w:rsidR="00BC69C1" w:rsidRPr="00A56CAF">
        <w:t xml:space="preserve">будет расти </w:t>
      </w:r>
      <w:r w:rsidRPr="00A56CAF">
        <w:t xml:space="preserve">и достигнет </w:t>
      </w:r>
      <w:r w:rsidR="00626601" w:rsidRPr="00A56CAF">
        <w:t xml:space="preserve">с </w:t>
      </w:r>
      <w:r w:rsidR="00E41F0A" w:rsidRPr="00A56CAF">
        <w:t>57,4</w:t>
      </w:r>
      <w:r w:rsidR="00626601" w:rsidRPr="00A56CAF">
        <w:t>% в 2020 году до 5</w:t>
      </w:r>
      <w:r w:rsidR="00E41F0A" w:rsidRPr="00A56CAF">
        <w:t>9,6</w:t>
      </w:r>
      <w:r w:rsidR="00626601" w:rsidRPr="00A56CAF">
        <w:t xml:space="preserve">% </w:t>
      </w:r>
      <w:r w:rsidRPr="00A56CAF">
        <w:t>в 202</w:t>
      </w:r>
      <w:r w:rsidR="00626601" w:rsidRPr="00A56CAF">
        <w:t>4</w:t>
      </w:r>
      <w:r w:rsidRPr="00A56CAF">
        <w:t xml:space="preserve"> году в общей численности населения</w:t>
      </w:r>
      <w:r w:rsidR="00BC69C1" w:rsidRPr="00A56CAF">
        <w:t xml:space="preserve"> (400,5 и 401,2 тыс. человек по двум вариантам соответственно)</w:t>
      </w:r>
      <w:r w:rsidRPr="00A56CAF">
        <w:t xml:space="preserve">. </w:t>
      </w:r>
    </w:p>
    <w:p w14:paraId="7DA14C93" w14:textId="1E3EAA28" w:rsidR="00461972" w:rsidRPr="00A56CAF" w:rsidRDefault="00862820" w:rsidP="00A56CAF">
      <w:pPr>
        <w:spacing w:after="0"/>
        <w:ind w:firstLine="720"/>
        <w:jc w:val="both"/>
        <w:rPr>
          <w:rFonts w:ascii="Times New Roman" w:hAnsi="Times New Roman"/>
          <w:i/>
          <w:color w:val="000000"/>
          <w:sz w:val="28"/>
          <w:szCs w:val="28"/>
        </w:rPr>
      </w:pPr>
      <w:r w:rsidRPr="00A56CAF">
        <w:rPr>
          <w:rFonts w:ascii="Times New Roman" w:hAnsi="Times New Roman"/>
          <w:sz w:val="28"/>
          <w:szCs w:val="28"/>
        </w:rPr>
        <w:t xml:space="preserve">За счет снижения </w:t>
      </w:r>
      <w:proofErr w:type="gramStart"/>
      <w:r w:rsidRPr="00A56CAF">
        <w:rPr>
          <w:rFonts w:ascii="Times New Roman" w:hAnsi="Times New Roman"/>
          <w:sz w:val="28"/>
          <w:szCs w:val="28"/>
        </w:rPr>
        <w:t>рождаемости</w:t>
      </w:r>
      <w:r w:rsidR="00BC69C1" w:rsidRPr="00A56CAF">
        <w:rPr>
          <w:rFonts w:ascii="Times New Roman" w:hAnsi="Times New Roman"/>
          <w:sz w:val="28"/>
          <w:szCs w:val="28"/>
        </w:rPr>
        <w:t xml:space="preserve"> </w:t>
      </w:r>
      <w:r w:rsidRPr="00A56CAF">
        <w:rPr>
          <w:rFonts w:ascii="Times New Roman" w:hAnsi="Times New Roman"/>
          <w:sz w:val="28"/>
          <w:szCs w:val="28"/>
        </w:rPr>
        <w:t xml:space="preserve"> уменьшится</w:t>
      </w:r>
      <w:proofErr w:type="gramEnd"/>
      <w:r w:rsidRPr="00A56CAF">
        <w:rPr>
          <w:rFonts w:ascii="Times New Roman" w:hAnsi="Times New Roman"/>
          <w:sz w:val="28"/>
          <w:szCs w:val="28"/>
        </w:rPr>
        <w:t xml:space="preserve"> доля населения моложе трудоспособного возраста с 17,9%</w:t>
      </w:r>
      <w:r w:rsidR="00BC69C1" w:rsidRPr="00A56CAF">
        <w:rPr>
          <w:rFonts w:ascii="Times New Roman" w:hAnsi="Times New Roman"/>
          <w:sz w:val="28"/>
          <w:szCs w:val="28"/>
        </w:rPr>
        <w:t xml:space="preserve"> в 2020 году </w:t>
      </w:r>
      <w:r w:rsidRPr="00A56CAF">
        <w:rPr>
          <w:rFonts w:ascii="Times New Roman" w:hAnsi="Times New Roman"/>
          <w:sz w:val="28"/>
          <w:szCs w:val="28"/>
        </w:rPr>
        <w:t xml:space="preserve"> до 17,5% </w:t>
      </w:r>
      <w:r w:rsidR="00BC69C1" w:rsidRPr="00A56CAF">
        <w:rPr>
          <w:rFonts w:ascii="Times New Roman" w:hAnsi="Times New Roman"/>
          <w:sz w:val="28"/>
          <w:szCs w:val="28"/>
        </w:rPr>
        <w:t>в 2024 году (составит 117,6 и 117,9 тыс. человек соответственно)</w:t>
      </w:r>
      <w:r w:rsidRPr="00A56CAF">
        <w:rPr>
          <w:rFonts w:ascii="Times New Roman" w:hAnsi="Times New Roman"/>
          <w:sz w:val="28"/>
          <w:szCs w:val="28"/>
        </w:rPr>
        <w:t xml:space="preserve">. </w:t>
      </w:r>
      <w:r w:rsidR="00E41F0A" w:rsidRPr="00A56CAF">
        <w:rPr>
          <w:rFonts w:ascii="Times New Roman" w:hAnsi="Times New Roman"/>
          <w:sz w:val="28"/>
          <w:szCs w:val="28"/>
        </w:rPr>
        <w:t>Ч</w:t>
      </w:r>
      <w:r w:rsidR="004A42DA" w:rsidRPr="00A56CAF">
        <w:rPr>
          <w:rFonts w:ascii="Times New Roman" w:hAnsi="Times New Roman"/>
          <w:sz w:val="28"/>
          <w:szCs w:val="28"/>
        </w:rPr>
        <w:t xml:space="preserve">исленность детей в возрасте до 16 лет </w:t>
      </w:r>
      <w:r w:rsidR="00E41F0A" w:rsidRPr="00A56CAF">
        <w:rPr>
          <w:rFonts w:ascii="Times New Roman" w:hAnsi="Times New Roman"/>
          <w:sz w:val="28"/>
          <w:szCs w:val="28"/>
        </w:rPr>
        <w:t>сократится на 6,8 и 6,5 тыс. человек соответственно по двум вариантам</w:t>
      </w:r>
      <w:r w:rsidR="004C053F" w:rsidRPr="00A56CAF">
        <w:rPr>
          <w:rFonts w:ascii="Times New Roman" w:hAnsi="Times New Roman"/>
          <w:sz w:val="28"/>
          <w:szCs w:val="28"/>
        </w:rPr>
        <w:t>. Б</w:t>
      </w:r>
      <w:r w:rsidR="00E41F0A" w:rsidRPr="00A56CAF">
        <w:rPr>
          <w:rFonts w:ascii="Times New Roman" w:hAnsi="Times New Roman"/>
          <w:sz w:val="28"/>
          <w:szCs w:val="28"/>
        </w:rPr>
        <w:t>олее всего с</w:t>
      </w:r>
      <w:r w:rsidR="004C053F" w:rsidRPr="00A56CAF">
        <w:rPr>
          <w:rFonts w:ascii="Times New Roman" w:hAnsi="Times New Roman"/>
          <w:sz w:val="28"/>
          <w:szCs w:val="28"/>
        </w:rPr>
        <w:t>низится численность детей до 10 лет (более чем на 12 ты. человек), численность детей от 10 до 16 лет, напротив, вырастет на 6 тыс. человек</w:t>
      </w:r>
      <w:r w:rsidR="004A42DA" w:rsidRPr="00A56CAF">
        <w:rPr>
          <w:rFonts w:ascii="Times New Roman" w:hAnsi="Times New Roman"/>
          <w:sz w:val="28"/>
          <w:szCs w:val="28"/>
        </w:rPr>
        <w:t>.</w:t>
      </w:r>
      <w:r w:rsidR="00461972" w:rsidRPr="00A56CAF">
        <w:rPr>
          <w:rFonts w:ascii="Times New Roman" w:hAnsi="Times New Roman"/>
          <w:color w:val="000000"/>
          <w:sz w:val="28"/>
          <w:szCs w:val="28"/>
        </w:rPr>
        <w:t xml:space="preserve"> Приблизительно с 2025 года </w:t>
      </w:r>
      <w:r w:rsidR="00734AFC">
        <w:rPr>
          <w:rFonts w:ascii="Times New Roman" w:hAnsi="Times New Roman"/>
          <w:color w:val="000000"/>
          <w:sz w:val="28"/>
          <w:szCs w:val="28"/>
        </w:rPr>
        <w:t xml:space="preserve">ожидается </w:t>
      </w:r>
      <w:r w:rsidR="00DE4E4C">
        <w:rPr>
          <w:rFonts w:ascii="Times New Roman" w:hAnsi="Times New Roman"/>
          <w:color w:val="000000"/>
          <w:sz w:val="28"/>
          <w:szCs w:val="28"/>
        </w:rPr>
        <w:t xml:space="preserve">постепенное </w:t>
      </w:r>
      <w:r w:rsidR="00461972" w:rsidRPr="00A56CAF">
        <w:rPr>
          <w:rFonts w:ascii="Times New Roman" w:hAnsi="Times New Roman"/>
          <w:color w:val="000000"/>
          <w:sz w:val="28"/>
          <w:szCs w:val="28"/>
        </w:rPr>
        <w:t>увеличение рождаемости в городском округе, котор</w:t>
      </w:r>
      <w:r w:rsidR="00DE4E4C">
        <w:rPr>
          <w:rFonts w:ascii="Times New Roman" w:hAnsi="Times New Roman"/>
          <w:color w:val="000000"/>
          <w:sz w:val="28"/>
          <w:szCs w:val="28"/>
        </w:rPr>
        <w:t>ое</w:t>
      </w:r>
      <w:r w:rsidR="00461972" w:rsidRPr="00A56CAF">
        <w:rPr>
          <w:rFonts w:ascii="Times New Roman" w:hAnsi="Times New Roman"/>
          <w:color w:val="000000"/>
          <w:sz w:val="28"/>
          <w:szCs w:val="28"/>
        </w:rPr>
        <w:t xml:space="preserve"> будет обеспечен</w:t>
      </w:r>
      <w:r w:rsidR="00DE4E4C">
        <w:rPr>
          <w:rFonts w:ascii="Times New Roman" w:hAnsi="Times New Roman"/>
          <w:color w:val="000000"/>
          <w:sz w:val="28"/>
          <w:szCs w:val="28"/>
        </w:rPr>
        <w:t>о</w:t>
      </w:r>
      <w:r w:rsidR="00461972" w:rsidRPr="00A56CAF">
        <w:rPr>
          <w:rFonts w:ascii="Times New Roman" w:hAnsi="Times New Roman"/>
          <w:color w:val="000000"/>
          <w:sz w:val="28"/>
          <w:szCs w:val="28"/>
        </w:rPr>
        <w:t xml:space="preserve"> вступлением </w:t>
      </w:r>
      <w:proofErr w:type="gramStart"/>
      <w:r w:rsidR="00461972" w:rsidRPr="00A56CAF">
        <w:rPr>
          <w:rFonts w:ascii="Times New Roman" w:hAnsi="Times New Roman"/>
          <w:color w:val="000000"/>
          <w:sz w:val="28"/>
          <w:szCs w:val="28"/>
        </w:rPr>
        <w:t>в  репродуктивный</w:t>
      </w:r>
      <w:proofErr w:type="gramEnd"/>
      <w:r w:rsidR="00461972" w:rsidRPr="00A56CAF">
        <w:rPr>
          <w:rFonts w:ascii="Times New Roman" w:hAnsi="Times New Roman"/>
          <w:color w:val="000000"/>
          <w:sz w:val="28"/>
          <w:szCs w:val="28"/>
        </w:rPr>
        <w:t xml:space="preserve"> возраст населения, рожденного в конце 2000-х тысячных годов</w:t>
      </w:r>
      <w:r w:rsidR="004C053F" w:rsidRPr="00A56CAF">
        <w:rPr>
          <w:rFonts w:ascii="Times New Roman" w:hAnsi="Times New Roman"/>
          <w:color w:val="000000"/>
          <w:sz w:val="28"/>
          <w:szCs w:val="28"/>
        </w:rPr>
        <w:t>.</w:t>
      </w:r>
      <w:r w:rsidR="00461972" w:rsidRPr="00A56CAF">
        <w:rPr>
          <w:rFonts w:ascii="Times New Roman" w:hAnsi="Times New Roman"/>
          <w:color w:val="000000"/>
          <w:sz w:val="28"/>
          <w:szCs w:val="28"/>
        </w:rPr>
        <w:t xml:space="preserve"> </w:t>
      </w:r>
      <w:r w:rsidR="004C053F" w:rsidRPr="00A56CAF">
        <w:rPr>
          <w:rFonts w:ascii="Times New Roman" w:hAnsi="Times New Roman"/>
          <w:color w:val="000000"/>
          <w:sz w:val="28"/>
          <w:szCs w:val="28"/>
        </w:rPr>
        <w:t>В</w:t>
      </w:r>
      <w:r w:rsidR="00461972" w:rsidRPr="00A56CAF">
        <w:rPr>
          <w:rFonts w:ascii="Times New Roman" w:hAnsi="Times New Roman"/>
          <w:color w:val="000000"/>
          <w:sz w:val="28"/>
          <w:szCs w:val="28"/>
        </w:rPr>
        <w:t xml:space="preserve"> период 2006-2016 гг. имел место значительный рост рождаемости</w:t>
      </w:r>
      <w:r w:rsidR="00DE4E4C">
        <w:rPr>
          <w:rFonts w:ascii="Times New Roman" w:hAnsi="Times New Roman"/>
          <w:color w:val="000000"/>
          <w:sz w:val="28"/>
          <w:szCs w:val="28"/>
        </w:rPr>
        <w:t>, в</w:t>
      </w:r>
      <w:r w:rsidR="00461972" w:rsidRPr="00A56CAF">
        <w:rPr>
          <w:rFonts w:ascii="Times New Roman" w:hAnsi="Times New Roman"/>
          <w:color w:val="000000"/>
          <w:sz w:val="28"/>
          <w:szCs w:val="28"/>
        </w:rPr>
        <w:t xml:space="preserve"> настоящее время это дети 5-15 лет.</w:t>
      </w:r>
      <w:r w:rsidR="00461972" w:rsidRPr="00A56CAF">
        <w:rPr>
          <w:rFonts w:ascii="Times New Roman" w:hAnsi="Times New Roman"/>
          <w:i/>
          <w:color w:val="000000"/>
          <w:sz w:val="28"/>
          <w:szCs w:val="28"/>
        </w:rPr>
        <w:t xml:space="preserve"> </w:t>
      </w:r>
    </w:p>
    <w:p w14:paraId="7F269B22" w14:textId="6FD76B3F" w:rsidR="00862820" w:rsidRPr="00A56CAF" w:rsidRDefault="00626601" w:rsidP="00A56CAF">
      <w:pPr>
        <w:pStyle w:val="af"/>
        <w:widowControl w:val="0"/>
        <w:numPr>
          <w:ilvl w:val="0"/>
          <w:numId w:val="2"/>
        </w:numPr>
        <w:shd w:val="clear" w:color="auto" w:fill="FFFFFF"/>
        <w:tabs>
          <w:tab w:val="left" w:pos="8208"/>
        </w:tabs>
        <w:suppressAutoHyphens/>
        <w:spacing w:line="276" w:lineRule="auto"/>
        <w:ind w:left="0" w:firstLine="709"/>
        <w:jc w:val="both"/>
        <w:rPr>
          <w:highlight w:val="yellow"/>
        </w:rPr>
      </w:pPr>
      <w:r w:rsidRPr="00A56CAF">
        <w:t xml:space="preserve">Уровень смертности </w:t>
      </w:r>
      <w:r w:rsidR="004C053F" w:rsidRPr="00A56CAF">
        <w:t>населения</w:t>
      </w:r>
      <w:r w:rsidRPr="00A56CAF">
        <w:t xml:space="preserve"> в прогнозном периоде будет постепенно </w:t>
      </w:r>
      <w:r w:rsidR="004A42DA" w:rsidRPr="00A56CAF">
        <w:t xml:space="preserve">сокращаться, </w:t>
      </w:r>
      <w:r w:rsidR="004C4A22" w:rsidRPr="00A56CAF">
        <w:t xml:space="preserve">доля </w:t>
      </w:r>
      <w:r w:rsidR="004C053F" w:rsidRPr="00A56CAF">
        <w:t>численность</w:t>
      </w:r>
      <w:r w:rsidR="004A42DA" w:rsidRPr="00A56CAF">
        <w:t xml:space="preserve"> населения </w:t>
      </w:r>
      <w:r w:rsidR="004C4A22" w:rsidRPr="00A56CAF">
        <w:t xml:space="preserve">старше </w:t>
      </w:r>
      <w:r w:rsidR="004A42DA" w:rsidRPr="00A56CAF">
        <w:t>трудоспособного возраст</w:t>
      </w:r>
      <w:r w:rsidR="004C4A22" w:rsidRPr="00A56CAF">
        <w:t xml:space="preserve"> с учетом увеличения пенсионного возраста </w:t>
      </w:r>
      <w:r w:rsidR="004A42DA" w:rsidRPr="00A56CAF">
        <w:t xml:space="preserve">будет снижаться и составит </w:t>
      </w:r>
      <w:r w:rsidR="004C4A22" w:rsidRPr="00A56CAF">
        <w:t>22,9</w:t>
      </w:r>
      <w:r w:rsidR="004A42DA" w:rsidRPr="00A56CAF">
        <w:t>% (153,9 тыс. человек</w:t>
      </w:r>
      <w:r w:rsidR="004C4A22" w:rsidRPr="00A56CAF">
        <w:t xml:space="preserve">) </w:t>
      </w:r>
      <w:r w:rsidR="004A42DA" w:rsidRPr="00A56CAF">
        <w:t xml:space="preserve">и </w:t>
      </w:r>
      <w:r w:rsidR="004C4A22" w:rsidRPr="00A56CAF">
        <w:t>23% (</w:t>
      </w:r>
      <w:r w:rsidR="004A42DA" w:rsidRPr="00A56CAF">
        <w:t xml:space="preserve">154,6 тыс. человек) </w:t>
      </w:r>
      <w:r w:rsidR="004C4A22" w:rsidRPr="00A56CAF">
        <w:t xml:space="preserve">по вариантам </w:t>
      </w:r>
      <w:r w:rsidR="004A42DA" w:rsidRPr="00A56CAF">
        <w:t xml:space="preserve">к 2024 году (в 2020 году </w:t>
      </w:r>
      <w:r w:rsidR="004C4A22" w:rsidRPr="00A56CAF">
        <w:t>–</w:t>
      </w:r>
      <w:r w:rsidR="004A42DA" w:rsidRPr="00A56CAF">
        <w:t xml:space="preserve"> </w:t>
      </w:r>
      <w:r w:rsidR="004C4A22" w:rsidRPr="00A56CAF">
        <w:t>24,7</w:t>
      </w:r>
      <w:r w:rsidR="004A42DA" w:rsidRPr="00A56CAF">
        <w:t>%, 171,9 тыс. человек)</w:t>
      </w:r>
      <w:r w:rsidRPr="00A56CAF">
        <w:t xml:space="preserve">. </w:t>
      </w:r>
    </w:p>
    <w:p w14:paraId="6284DAB3" w14:textId="4F4C5416" w:rsidR="000F47CB" w:rsidRPr="00A56CAF" w:rsidRDefault="000F47CB" w:rsidP="00A56CAF">
      <w:pPr>
        <w:pStyle w:val="af"/>
        <w:numPr>
          <w:ilvl w:val="0"/>
          <w:numId w:val="2"/>
        </w:numPr>
        <w:spacing w:line="276" w:lineRule="auto"/>
        <w:ind w:left="0" w:firstLine="709"/>
        <w:jc w:val="both"/>
      </w:pPr>
      <w:r w:rsidRPr="00A56CAF">
        <w:t>В результате, прогнозируется, что общий коэффициент рождаемости с 2021 года будет постепенно увеличиваться и в 2024 году может составить 8,</w:t>
      </w:r>
      <w:r w:rsidR="00DE4E4C">
        <w:t>3</w:t>
      </w:r>
      <w:r w:rsidRPr="00A56CAF">
        <w:t xml:space="preserve"> и 8,5  промилле против 8,0 промилле в 2020 году, показатель смертности – снижаться с 14,9 промилле в 2020 году до 14</w:t>
      </w:r>
      <w:r w:rsidR="00583058">
        <w:t>,1</w:t>
      </w:r>
      <w:r w:rsidRPr="00A56CAF">
        <w:t xml:space="preserve"> и 13,4 промилле в 2024 году. </w:t>
      </w:r>
    </w:p>
    <w:p w14:paraId="59AA8931" w14:textId="4154E0B1" w:rsidR="00626601" w:rsidRPr="00A56CAF" w:rsidRDefault="006B116C" w:rsidP="00A56CAF">
      <w:pPr>
        <w:pStyle w:val="af"/>
        <w:numPr>
          <w:ilvl w:val="0"/>
          <w:numId w:val="2"/>
        </w:numPr>
        <w:spacing w:line="276" w:lineRule="auto"/>
        <w:ind w:left="0" w:firstLine="709"/>
        <w:jc w:val="both"/>
      </w:pPr>
      <w:r w:rsidRPr="00A56CAF">
        <w:lastRenderedPageBreak/>
        <w:t>На ситуацию миграционных процессов в ближайшие 3 года повлияет ожидаемое сокращение выбывающих граждан городского округа Тольятти</w:t>
      </w:r>
      <w:r w:rsidR="00546ED4" w:rsidRPr="00A56CAF">
        <w:t>,</w:t>
      </w:r>
      <w:r w:rsidRPr="00A56CAF">
        <w:t xml:space="preserve"> привлечение трудовых миг</w:t>
      </w:r>
      <w:r w:rsidR="00626601" w:rsidRPr="00A56CAF">
        <w:t>рантов в лице соотечественников и</w:t>
      </w:r>
      <w:r w:rsidRPr="00A56CAF">
        <w:t xml:space="preserve"> проживающих за рубежом, квалифицированных специалистов  на вновь открывающиеся рабочие места, в том числе в результате реализации инвестиционных проектов резидентами ТОСЭР «Тольятти»</w:t>
      </w:r>
      <w:r w:rsidR="00626601" w:rsidRPr="00A56CAF">
        <w:t xml:space="preserve"> и </w:t>
      </w:r>
      <w:r w:rsidRPr="00A56CAF">
        <w:t xml:space="preserve"> ОЭЗ ППТ «Тольятти», а также в ходе строительства и реконструкции на территории городского округа Тольятти социальных и инфраструктурных объектов, что приведет к постепенному сокращению отрицательного сальдо миграции в прогнозном периоде. </w:t>
      </w:r>
    </w:p>
    <w:p w14:paraId="34DD7748" w14:textId="41AA9936" w:rsidR="008876F8" w:rsidRPr="00A56CAF" w:rsidRDefault="008876F8" w:rsidP="00A56CAF">
      <w:pPr>
        <w:shd w:val="clear" w:color="auto" w:fill="FFFFFF"/>
        <w:spacing w:after="0"/>
        <w:ind w:firstLine="709"/>
        <w:jc w:val="both"/>
        <w:rPr>
          <w:rFonts w:ascii="Times New Roman" w:hAnsi="Times New Roman"/>
          <w:sz w:val="28"/>
          <w:szCs w:val="28"/>
        </w:rPr>
      </w:pPr>
      <w:r w:rsidRPr="00A56CAF">
        <w:rPr>
          <w:rFonts w:ascii="Times New Roman" w:hAnsi="Times New Roman"/>
          <w:sz w:val="28"/>
          <w:szCs w:val="28"/>
        </w:rPr>
        <w:t>Миграционная убыль в 202</w:t>
      </w:r>
      <w:r w:rsidR="00546ED4" w:rsidRPr="00A56CAF">
        <w:rPr>
          <w:rFonts w:ascii="Times New Roman" w:hAnsi="Times New Roman"/>
          <w:sz w:val="28"/>
          <w:szCs w:val="28"/>
        </w:rPr>
        <w:t>4</w:t>
      </w:r>
      <w:r w:rsidRPr="00A56CAF">
        <w:rPr>
          <w:rFonts w:ascii="Times New Roman" w:hAnsi="Times New Roman"/>
          <w:sz w:val="28"/>
          <w:szCs w:val="28"/>
        </w:rPr>
        <w:t xml:space="preserve"> году может составить 1,5</w:t>
      </w:r>
      <w:r w:rsidR="00734AFC">
        <w:rPr>
          <w:rFonts w:ascii="Times New Roman" w:hAnsi="Times New Roman"/>
          <w:sz w:val="28"/>
          <w:szCs w:val="28"/>
        </w:rPr>
        <w:t>-</w:t>
      </w:r>
      <w:r w:rsidRPr="00A56CAF">
        <w:rPr>
          <w:rFonts w:ascii="Times New Roman" w:hAnsi="Times New Roman"/>
          <w:sz w:val="28"/>
          <w:szCs w:val="28"/>
        </w:rPr>
        <w:t>1,</w:t>
      </w:r>
      <w:r w:rsidR="00546ED4" w:rsidRPr="00A56CAF">
        <w:rPr>
          <w:rFonts w:ascii="Times New Roman" w:hAnsi="Times New Roman"/>
          <w:sz w:val="28"/>
          <w:szCs w:val="28"/>
        </w:rPr>
        <w:t>2</w:t>
      </w:r>
      <w:r w:rsidRPr="00A56CAF">
        <w:rPr>
          <w:rFonts w:ascii="Times New Roman" w:hAnsi="Times New Roman"/>
          <w:sz w:val="28"/>
          <w:szCs w:val="28"/>
        </w:rPr>
        <w:t xml:space="preserve"> тыс. человек в зависимости от варианта прогноза.</w:t>
      </w:r>
    </w:p>
    <w:p w14:paraId="3ECA448E" w14:textId="48C47D77" w:rsidR="008876F8" w:rsidRDefault="008876F8" w:rsidP="00A56CAF">
      <w:pPr>
        <w:pStyle w:val="af"/>
        <w:numPr>
          <w:ilvl w:val="0"/>
          <w:numId w:val="2"/>
        </w:numPr>
        <w:shd w:val="clear" w:color="auto" w:fill="FFFFFF"/>
        <w:spacing w:line="276" w:lineRule="auto"/>
        <w:ind w:left="0" w:firstLine="709"/>
        <w:jc w:val="both"/>
      </w:pPr>
      <w:r w:rsidRPr="00A56CAF">
        <w:t>Консервативный вариант в большей степени учитывает влияние объективных демографических факторов на процессы естественного воспроизводства населения, а также последствия неблагоприятной эпидемиологической ситуации. В результате численность населения будет уменьшаться более интенсивно и в 202</w:t>
      </w:r>
      <w:r w:rsidR="00546ED4" w:rsidRPr="00A56CAF">
        <w:t>4</w:t>
      </w:r>
      <w:r w:rsidRPr="00A56CAF">
        <w:t xml:space="preserve"> году в среднегодовом выражении может составить </w:t>
      </w:r>
      <w:r w:rsidR="00546ED4" w:rsidRPr="00A56CAF">
        <w:t>672</w:t>
      </w:r>
      <w:r w:rsidRPr="00A56CAF">
        <w:t> тыс. человек – на 2,</w:t>
      </w:r>
      <w:r w:rsidR="00546ED4" w:rsidRPr="00A56CAF">
        <w:t>6</w:t>
      </w:r>
      <w:r w:rsidRPr="00A56CAF">
        <w:t>% меньше, чем в 20</w:t>
      </w:r>
      <w:r w:rsidR="00546ED4" w:rsidRPr="00A56CAF">
        <w:t>21</w:t>
      </w:r>
      <w:r w:rsidRPr="00A56CAF">
        <w:t xml:space="preserve"> году.</w:t>
      </w:r>
      <w:r w:rsidR="00546ED4" w:rsidRPr="00A56CAF">
        <w:t xml:space="preserve"> </w:t>
      </w:r>
      <w:r w:rsidR="00546ED4" w:rsidRPr="00A56CAF">
        <w:rPr>
          <w:bCs/>
        </w:rPr>
        <w:t>По базовому варианту прогноза</w:t>
      </w:r>
      <w:r w:rsidR="00546ED4" w:rsidRPr="00A56CAF">
        <w:t xml:space="preserve"> численность населения составит 673,7 тыс. человек.</w:t>
      </w:r>
    </w:p>
    <w:p w14:paraId="350E17B2" w14:textId="1C436FBA" w:rsidR="00734AFC" w:rsidRPr="00A56CAF" w:rsidRDefault="00734AFC" w:rsidP="00A56CAF">
      <w:pPr>
        <w:pStyle w:val="af"/>
        <w:numPr>
          <w:ilvl w:val="0"/>
          <w:numId w:val="2"/>
        </w:numPr>
        <w:shd w:val="clear" w:color="auto" w:fill="FFFFFF"/>
        <w:spacing w:line="276" w:lineRule="auto"/>
        <w:ind w:left="0" w:firstLine="709"/>
        <w:jc w:val="both"/>
      </w:pPr>
      <w:r>
        <w:t xml:space="preserve">Прогнозные значения демографических показателей скорректированы в сторону </w:t>
      </w:r>
      <w:r w:rsidR="00F05903">
        <w:t>ухудшения</w:t>
      </w:r>
      <w:r>
        <w:t xml:space="preserve"> относительно прошлогоднего прогноза </w:t>
      </w:r>
      <w:r w:rsidR="002D723E">
        <w:t xml:space="preserve">с учетом </w:t>
      </w:r>
      <w:r w:rsidR="000554F6">
        <w:t xml:space="preserve">полученных </w:t>
      </w:r>
      <w:r w:rsidR="002D723E">
        <w:t xml:space="preserve">фактических данных, </w:t>
      </w:r>
      <w:r w:rsidR="000554F6">
        <w:t xml:space="preserve">которые продолжают </w:t>
      </w:r>
      <w:r w:rsidR="002D723E">
        <w:t>демонстри</w:t>
      </w:r>
      <w:r w:rsidR="000554F6">
        <w:t>ровать</w:t>
      </w:r>
      <w:r w:rsidR="002D723E">
        <w:t xml:space="preserve"> отрицательную динамику, и отсутствием предпосылок для кардинальных изменений в данной сфере, </w:t>
      </w:r>
      <w:proofErr w:type="gramStart"/>
      <w:r w:rsidR="002D723E">
        <w:t>особенно,  в</w:t>
      </w:r>
      <w:proofErr w:type="gramEnd"/>
      <w:r w:rsidR="002D723E">
        <w:t xml:space="preserve"> сложных эпидемиологических условиях.</w:t>
      </w:r>
      <w:r>
        <w:t xml:space="preserve"> </w:t>
      </w:r>
    </w:p>
    <w:p w14:paraId="17B2D71B" w14:textId="77777777" w:rsidR="000554F6" w:rsidRDefault="00546ED4" w:rsidP="00A56CAF">
      <w:pPr>
        <w:pStyle w:val="af"/>
        <w:numPr>
          <w:ilvl w:val="0"/>
          <w:numId w:val="2"/>
        </w:numPr>
        <w:spacing w:before="240" w:line="276" w:lineRule="auto"/>
        <w:ind w:left="0" w:firstLine="709"/>
        <w:jc w:val="both"/>
      </w:pPr>
      <w:r w:rsidRPr="00A56CAF">
        <w:t xml:space="preserve">Для улучшения ситуации в сфере демографии населения необходим комплекс эффективных мер по сохранению репродуктивного здоровья, содействия в решении жилищных проблем молодых семей, организации социально-экономической адресной поддержки семей с детьми, стабилизации ситуации на рынке труда (создание новых рабочих мест), реализация целевых программ в сфере здравоохранения, повышение доступности и качества медицинской помощи, лекарственного обеспечения и т.п. </w:t>
      </w:r>
    </w:p>
    <w:p w14:paraId="288FEF56" w14:textId="0D12722D" w:rsidR="008876F8" w:rsidRPr="00A56CAF" w:rsidRDefault="00546ED4" w:rsidP="00A56CAF">
      <w:pPr>
        <w:pStyle w:val="af"/>
        <w:numPr>
          <w:ilvl w:val="0"/>
          <w:numId w:val="2"/>
        </w:numPr>
        <w:spacing w:before="240" w:line="276" w:lineRule="auto"/>
        <w:ind w:left="0" w:firstLine="709"/>
        <w:jc w:val="both"/>
      </w:pPr>
      <w:r w:rsidRPr="00A56CAF">
        <w:t>В этих целях в</w:t>
      </w:r>
      <w:r w:rsidRPr="00A56CAF">
        <w:rPr>
          <w:bCs/>
        </w:rPr>
        <w:t xml:space="preserve"> прогнозном </w:t>
      </w:r>
      <w:proofErr w:type="gramStart"/>
      <w:r w:rsidRPr="00A56CAF">
        <w:rPr>
          <w:bCs/>
        </w:rPr>
        <w:t>периоде  продолжится</w:t>
      </w:r>
      <w:proofErr w:type="gramEnd"/>
      <w:r w:rsidR="008876F8" w:rsidRPr="00A56CAF">
        <w:t xml:space="preserve"> реализаци</w:t>
      </w:r>
      <w:r w:rsidRPr="00A56CAF">
        <w:t>я</w:t>
      </w:r>
      <w:r w:rsidR="008876F8" w:rsidRPr="00A56CAF">
        <w:t xml:space="preserve"> мер в сфере </w:t>
      </w:r>
      <w:r w:rsidRPr="00A56CAF">
        <w:t>демографии</w:t>
      </w:r>
      <w:r w:rsidR="008876F8" w:rsidRPr="00A56CAF">
        <w:t xml:space="preserve">, где важнейшим инструментом региональной политики будет являться реализация национальных проектов «Демография» и «Здравоохранение», Плана мероприятий («дорожной карты») по </w:t>
      </w:r>
      <w:r w:rsidR="008876F8" w:rsidRPr="00A56CAF">
        <w:lastRenderedPageBreak/>
        <w:t>обеспечению миграционного притока из субъектов Российской Федерации в Самарскую область на 2019–2025 гг. и др</w:t>
      </w:r>
      <w:r w:rsidRPr="00A56CAF">
        <w:t>угие</w:t>
      </w:r>
      <w:r w:rsidR="008876F8" w:rsidRPr="00A56CAF">
        <w:t>.</w:t>
      </w:r>
    </w:p>
    <w:p w14:paraId="48B4CB75" w14:textId="09C211FF" w:rsidR="008876F8" w:rsidRDefault="008876F8" w:rsidP="00546ED4">
      <w:pPr>
        <w:pStyle w:val="af"/>
        <w:numPr>
          <w:ilvl w:val="0"/>
          <w:numId w:val="2"/>
        </w:numPr>
        <w:spacing w:before="240" w:line="276" w:lineRule="auto"/>
        <w:ind w:left="0" w:firstLine="709"/>
        <w:jc w:val="center"/>
      </w:pPr>
      <w:r>
        <w:t>Занятость и рынок труда</w:t>
      </w:r>
      <w:r w:rsidR="0010239C">
        <w:t xml:space="preserve"> (баланс трудовых ресурсов)</w:t>
      </w:r>
    </w:p>
    <w:p w14:paraId="4C1AAAFF" w14:textId="5A922D27" w:rsidR="000F0EDF" w:rsidRDefault="008876F8" w:rsidP="00A56CAF">
      <w:pPr>
        <w:pStyle w:val="af"/>
        <w:numPr>
          <w:ilvl w:val="0"/>
          <w:numId w:val="2"/>
        </w:numPr>
        <w:spacing w:before="240" w:line="276" w:lineRule="auto"/>
        <w:ind w:left="0" w:firstLine="709"/>
        <w:jc w:val="both"/>
      </w:pPr>
      <w:r>
        <w:t xml:space="preserve">В результате роста численности граждан трудоспособного возраста (за три прогнозных года - на 0,3% и 0,5% по двум вариантам прогноза) </w:t>
      </w:r>
      <w:r w:rsidR="00A62F05">
        <w:t xml:space="preserve">численность трудовых ресурсов городского округа Тольятти </w:t>
      </w:r>
      <w:r w:rsidR="00461972">
        <w:t xml:space="preserve">по базовому варианту прогноза </w:t>
      </w:r>
      <w:r w:rsidR="00A62F05">
        <w:t xml:space="preserve">увеличится </w:t>
      </w:r>
      <w:r w:rsidR="00461972">
        <w:t>к 2021 году на 0,</w:t>
      </w:r>
      <w:r w:rsidR="006265E5">
        <w:t>3</w:t>
      </w:r>
      <w:r w:rsidR="00461972">
        <w:t xml:space="preserve">% </w:t>
      </w:r>
      <w:r w:rsidR="006265E5">
        <w:t>(</w:t>
      </w:r>
      <w:r w:rsidR="00201BD3">
        <w:t>на 1,4 тыс. человек)</w:t>
      </w:r>
      <w:r w:rsidR="00461972">
        <w:t xml:space="preserve"> в 2024 году составит 436,8 тыс. человек</w:t>
      </w:r>
      <w:r w:rsidR="000F0EDF">
        <w:t xml:space="preserve"> </w:t>
      </w:r>
      <w:r w:rsidR="00461972">
        <w:t xml:space="preserve"> </w:t>
      </w:r>
      <w:r w:rsidR="000F0EDF">
        <w:t>(п</w:t>
      </w:r>
      <w:r w:rsidR="00461972">
        <w:t xml:space="preserve">о консервативному варианту прогноза </w:t>
      </w:r>
      <w:r w:rsidR="000F0EDF">
        <w:t>примерно на уровне 2021 года - 435 тыс. человек), в том числе</w:t>
      </w:r>
      <w:r w:rsidR="0010239C">
        <w:t xml:space="preserve"> по составу трудовых ресурсов</w:t>
      </w:r>
      <w:r w:rsidR="000F0EDF">
        <w:t>:</w:t>
      </w:r>
    </w:p>
    <w:p w14:paraId="5F48102C" w14:textId="5BCA23D4" w:rsidR="000F0EDF" w:rsidRPr="00626601" w:rsidRDefault="000F0EDF" w:rsidP="00A56CAF">
      <w:pPr>
        <w:pStyle w:val="af"/>
        <w:widowControl w:val="0"/>
        <w:numPr>
          <w:ilvl w:val="0"/>
          <w:numId w:val="2"/>
        </w:numPr>
        <w:shd w:val="clear" w:color="auto" w:fill="FFFFFF"/>
        <w:tabs>
          <w:tab w:val="left" w:pos="8208"/>
        </w:tabs>
        <w:suppressAutoHyphens/>
        <w:spacing w:line="276" w:lineRule="auto"/>
        <w:ind w:left="0" w:firstLine="709"/>
        <w:jc w:val="both"/>
      </w:pPr>
      <w:r>
        <w:t xml:space="preserve">- </w:t>
      </w:r>
      <w:r w:rsidRPr="00626601">
        <w:t xml:space="preserve">трудоспособное население трудоспособного возраста </w:t>
      </w:r>
      <w:r>
        <w:t xml:space="preserve">вырастет </w:t>
      </w:r>
      <w:r w:rsidRPr="00626601">
        <w:t>по первому и второму вариант</w:t>
      </w:r>
      <w:r>
        <w:t>ам</w:t>
      </w:r>
      <w:r w:rsidRPr="00626601">
        <w:t xml:space="preserve"> </w:t>
      </w:r>
      <w:r>
        <w:t xml:space="preserve">прогноза составит 386,5 и 387,1 тыс. человек </w:t>
      </w:r>
      <w:r w:rsidRPr="00626601">
        <w:t>соответственно (доля этой категории граждан</w:t>
      </w:r>
      <w:r>
        <w:t>, как и в 2020-2021 годах, будет</w:t>
      </w:r>
      <w:r w:rsidRPr="00626601">
        <w:t xml:space="preserve"> составлят</w:t>
      </w:r>
      <w:r>
        <w:t>ь</w:t>
      </w:r>
      <w:r w:rsidRPr="00626601">
        <w:t xml:space="preserve"> около </w:t>
      </w:r>
      <w:r w:rsidR="00201BD3">
        <w:t>96,5</w:t>
      </w:r>
      <w:r w:rsidRPr="00626601">
        <w:t xml:space="preserve">% от </w:t>
      </w:r>
      <w:r>
        <w:t>численности населения трудоспособного возраста);</w:t>
      </w:r>
    </w:p>
    <w:p w14:paraId="2B8158BC" w14:textId="5112B956" w:rsidR="008876F8" w:rsidRDefault="000F0EDF" w:rsidP="00A56CAF">
      <w:pPr>
        <w:pStyle w:val="af"/>
        <w:numPr>
          <w:ilvl w:val="0"/>
          <w:numId w:val="2"/>
        </w:numPr>
        <w:spacing w:before="240" w:line="276" w:lineRule="auto"/>
        <w:ind w:left="0" w:firstLine="709"/>
        <w:jc w:val="both"/>
      </w:pPr>
      <w:r>
        <w:t xml:space="preserve">- иностранные трудовые мигранты будут расти относительно низкой базы 2020-2021 </w:t>
      </w:r>
      <w:r w:rsidR="0010239C">
        <w:t>годов</w:t>
      </w:r>
      <w:r w:rsidR="00201BD3">
        <w:t xml:space="preserve">, </w:t>
      </w:r>
      <w:proofErr w:type="gramStart"/>
      <w:r w:rsidR="00201BD3">
        <w:t xml:space="preserve">сложившейся </w:t>
      </w:r>
      <w:r w:rsidR="0010239C">
        <w:t xml:space="preserve"> в</w:t>
      </w:r>
      <w:proofErr w:type="gramEnd"/>
      <w:r w:rsidR="0010239C">
        <w:t xml:space="preserve"> период действия ограничительных мер</w:t>
      </w:r>
      <w:r w:rsidR="005C4607">
        <w:t>,</w:t>
      </w:r>
      <w:r w:rsidR="0010239C">
        <w:t xml:space="preserve"> и к концу 2024 года их численность достигнет 13,5-13,7 тыс. человек</w:t>
      </w:r>
      <w:r>
        <w:t>;</w:t>
      </w:r>
    </w:p>
    <w:p w14:paraId="5D4C9BBD" w14:textId="25D32F2C" w:rsidR="0010239C" w:rsidRDefault="0010239C" w:rsidP="00A56CAF">
      <w:pPr>
        <w:pStyle w:val="af"/>
        <w:numPr>
          <w:ilvl w:val="0"/>
          <w:numId w:val="2"/>
        </w:numPr>
        <w:spacing w:before="240" w:line="276" w:lineRule="auto"/>
        <w:ind w:left="0" w:firstLine="709"/>
        <w:jc w:val="both"/>
      </w:pPr>
      <w:r>
        <w:t>- лица старше и моложе трудоспособного возраста, занятые в экономике будут снижаться (в 2024 году на 6,5% и 4,8% к 2021 году) пропорционально сокращению числа граждан данных категорий возрастов.</w:t>
      </w:r>
    </w:p>
    <w:p w14:paraId="2B3EDDE4" w14:textId="5FB24C34" w:rsidR="0010239C" w:rsidRDefault="0010239C" w:rsidP="00A56CAF">
      <w:pPr>
        <w:pStyle w:val="af"/>
        <w:numPr>
          <w:ilvl w:val="0"/>
          <w:numId w:val="2"/>
        </w:numPr>
        <w:spacing w:before="240" w:line="276" w:lineRule="auto"/>
        <w:ind w:left="0" w:firstLine="709"/>
        <w:jc w:val="both"/>
      </w:pPr>
      <w:r>
        <w:t>Прогноз распределения трудовых ресурсов</w:t>
      </w:r>
      <w:r w:rsidR="003C79A4">
        <w:t xml:space="preserve"> выглядит следующим образом</w:t>
      </w:r>
      <w:r>
        <w:t>:</w:t>
      </w:r>
    </w:p>
    <w:p w14:paraId="747E4229" w14:textId="565CF022" w:rsidR="0010239C" w:rsidRDefault="0010239C" w:rsidP="00A56CAF">
      <w:pPr>
        <w:pStyle w:val="af"/>
        <w:numPr>
          <w:ilvl w:val="0"/>
          <w:numId w:val="2"/>
        </w:numPr>
        <w:spacing w:line="276" w:lineRule="auto"/>
        <w:ind w:left="0" w:firstLine="709"/>
        <w:jc w:val="both"/>
      </w:pPr>
      <w:r>
        <w:t>- численность занятых в экономике граждан городского округа Тольятти на протяжении всего прогнозного периода будет расти</w:t>
      </w:r>
      <w:r w:rsidR="00233216">
        <w:t xml:space="preserve">: в 2022 году по первому </w:t>
      </w:r>
      <w:r w:rsidR="00201BD3">
        <w:t>консервативному</w:t>
      </w:r>
      <w:r w:rsidR="00233216">
        <w:t xml:space="preserve"> варианту прогноза составит 357,5 тыс. человек, что соответствует уровню докризисного 2019 года, по базовому варианту прогноза - 359 тыс. человек, что на </w:t>
      </w:r>
      <w:r w:rsidR="00014B94">
        <w:t>1,5 тыс. человек больше докризисного 2019 года, но на 6,4 тыс. человек меньше 2018 года. К</w:t>
      </w:r>
      <w:r>
        <w:t xml:space="preserve"> 2024 </w:t>
      </w:r>
      <w:proofErr w:type="gramStart"/>
      <w:r>
        <w:t xml:space="preserve">году </w:t>
      </w:r>
      <w:r w:rsidR="00233216">
        <w:t xml:space="preserve"> </w:t>
      </w:r>
      <w:r w:rsidR="00014B94">
        <w:t>численность</w:t>
      </w:r>
      <w:proofErr w:type="gramEnd"/>
      <w:r w:rsidR="00014B94">
        <w:t xml:space="preserve"> занятых в экономике вырастет до </w:t>
      </w:r>
      <w:r w:rsidR="00233216">
        <w:t xml:space="preserve">361,6 и 364 тыс. человек по двум вариантам прогноза (на 6,6 тыс. человек и на 9 тыс. человек </w:t>
      </w:r>
      <w:r w:rsidR="00014B94">
        <w:t>к уровню 2021 года</w:t>
      </w:r>
      <w:r w:rsidR="00233216">
        <w:t xml:space="preserve">). </w:t>
      </w:r>
    </w:p>
    <w:p w14:paraId="467524AA" w14:textId="3E9E91EB" w:rsidR="005C4607" w:rsidRDefault="000B112E" w:rsidP="00A56CAF">
      <w:pPr>
        <w:pStyle w:val="af"/>
        <w:numPr>
          <w:ilvl w:val="0"/>
          <w:numId w:val="2"/>
        </w:numPr>
        <w:spacing w:line="276" w:lineRule="auto"/>
        <w:ind w:left="0" w:firstLine="709"/>
        <w:jc w:val="both"/>
      </w:pPr>
      <w:r>
        <w:t>Значения</w:t>
      </w:r>
      <w:r w:rsidR="005C4607">
        <w:t xml:space="preserve"> показателей занятости на 2021 год и весь прогнозный период скорректирован</w:t>
      </w:r>
      <w:r>
        <w:t>ы, в том числе,</w:t>
      </w:r>
      <w:r w:rsidR="005C4607">
        <w:t xml:space="preserve"> </w:t>
      </w:r>
      <w:r>
        <w:t>в связи</w:t>
      </w:r>
      <w:r w:rsidR="005C4607">
        <w:t xml:space="preserve"> с </w:t>
      </w:r>
      <w:r>
        <w:t>уточнением</w:t>
      </w:r>
      <w:r w:rsidR="005C4607">
        <w:t xml:space="preserve"> </w:t>
      </w:r>
      <w:proofErr w:type="spellStart"/>
      <w:r w:rsidR="005C4607">
        <w:t>Самарастатом</w:t>
      </w:r>
      <w:proofErr w:type="spellEnd"/>
      <w:r w:rsidR="005C4607">
        <w:t xml:space="preserve"> значения </w:t>
      </w:r>
      <w:r>
        <w:t>показателя «Численность</w:t>
      </w:r>
      <w:r w:rsidR="005C4607">
        <w:t xml:space="preserve"> занятых в экономике</w:t>
      </w:r>
      <w:r>
        <w:t>»</w:t>
      </w:r>
      <w:r w:rsidR="005C4607">
        <w:t xml:space="preserve"> </w:t>
      </w:r>
      <w:r>
        <w:t xml:space="preserve">за 2019 год на основании поправок в методику (за 2019 год показатель уточнен Статистикой с 363,6 тыс. человек до 357,6 тыс. человек), что привело к корректировке показателя за весь последующий период. </w:t>
      </w:r>
      <w:r w:rsidR="005C4607">
        <w:t xml:space="preserve"> </w:t>
      </w:r>
    </w:p>
    <w:p w14:paraId="1596E07B" w14:textId="582E81A2" w:rsidR="008B6F4C" w:rsidRPr="008B6F4C" w:rsidRDefault="003C79A4" w:rsidP="005848E6">
      <w:pPr>
        <w:spacing w:after="0"/>
        <w:ind w:firstLine="709"/>
        <w:jc w:val="both"/>
        <w:rPr>
          <w:rFonts w:ascii="Times New Roman" w:hAnsi="Times New Roman"/>
          <w:sz w:val="28"/>
          <w:szCs w:val="28"/>
        </w:rPr>
      </w:pPr>
      <w:r w:rsidRPr="008B6F4C">
        <w:rPr>
          <w:rFonts w:ascii="Times New Roman" w:hAnsi="Times New Roman"/>
          <w:sz w:val="28"/>
          <w:szCs w:val="28"/>
        </w:rPr>
        <w:t xml:space="preserve">В среднесрочной перспективе развитие сферы занятости и рынка труда городского округа Тольятти будет определяться демографическими </w:t>
      </w:r>
      <w:r w:rsidRPr="008B6F4C">
        <w:rPr>
          <w:rFonts w:ascii="Times New Roman" w:hAnsi="Times New Roman"/>
          <w:sz w:val="28"/>
          <w:szCs w:val="28"/>
        </w:rPr>
        <w:lastRenderedPageBreak/>
        <w:t xml:space="preserve">изменениями, обусловленными </w:t>
      </w:r>
      <w:r w:rsidR="00C77295" w:rsidRPr="008B6F4C">
        <w:rPr>
          <w:rFonts w:ascii="Times New Roman" w:hAnsi="Times New Roman"/>
          <w:sz w:val="28"/>
          <w:szCs w:val="28"/>
        </w:rPr>
        <w:t>ростом</w:t>
      </w:r>
      <w:r w:rsidRPr="008B6F4C">
        <w:rPr>
          <w:rFonts w:ascii="Times New Roman" w:hAnsi="Times New Roman"/>
          <w:sz w:val="28"/>
          <w:szCs w:val="28"/>
        </w:rPr>
        <w:t xml:space="preserve"> численности населения трудоспособного возраста, а также прогнозируемым экономическим ростом</w:t>
      </w:r>
      <w:r w:rsidR="00C77295" w:rsidRPr="008B6F4C">
        <w:rPr>
          <w:rFonts w:ascii="Times New Roman" w:hAnsi="Times New Roman"/>
          <w:sz w:val="28"/>
          <w:szCs w:val="28"/>
        </w:rPr>
        <w:t xml:space="preserve">, </w:t>
      </w:r>
      <w:r w:rsidR="00C77295" w:rsidRPr="00C77295">
        <w:rPr>
          <w:rFonts w:ascii="Times New Roman" w:hAnsi="Times New Roman"/>
          <w:sz w:val="28"/>
          <w:szCs w:val="28"/>
        </w:rPr>
        <w:t>развитие</w:t>
      </w:r>
      <w:r w:rsidR="00C77295" w:rsidRPr="008B6F4C">
        <w:rPr>
          <w:rFonts w:ascii="Times New Roman" w:hAnsi="Times New Roman"/>
          <w:sz w:val="28"/>
          <w:szCs w:val="28"/>
        </w:rPr>
        <w:t>м</w:t>
      </w:r>
      <w:r w:rsidR="00C77295" w:rsidRPr="00C77295">
        <w:rPr>
          <w:rFonts w:ascii="Times New Roman" w:hAnsi="Times New Roman"/>
          <w:sz w:val="28"/>
          <w:szCs w:val="28"/>
        </w:rPr>
        <w:t xml:space="preserve"> </w:t>
      </w:r>
      <w:r w:rsidR="00C77295" w:rsidRPr="008B6F4C">
        <w:rPr>
          <w:rFonts w:ascii="Times New Roman" w:hAnsi="Times New Roman"/>
          <w:sz w:val="28"/>
          <w:szCs w:val="28"/>
        </w:rPr>
        <w:t>малого и среднего</w:t>
      </w:r>
      <w:r w:rsidR="00C77295" w:rsidRPr="00C77295">
        <w:rPr>
          <w:rFonts w:ascii="Times New Roman" w:hAnsi="Times New Roman"/>
          <w:sz w:val="28"/>
          <w:szCs w:val="28"/>
        </w:rPr>
        <w:t xml:space="preserve"> предпринимательства и </w:t>
      </w:r>
      <w:r w:rsidR="00C77295" w:rsidRPr="008B6F4C">
        <w:rPr>
          <w:rFonts w:ascii="Times New Roman" w:hAnsi="Times New Roman"/>
          <w:sz w:val="28"/>
          <w:szCs w:val="28"/>
        </w:rPr>
        <w:t>«</w:t>
      </w:r>
      <w:r w:rsidR="00C77295" w:rsidRPr="00C77295">
        <w:rPr>
          <w:rFonts w:ascii="Times New Roman" w:hAnsi="Times New Roman"/>
          <w:sz w:val="28"/>
          <w:szCs w:val="28"/>
        </w:rPr>
        <w:t>самозанятости</w:t>
      </w:r>
      <w:r w:rsidR="00C77295" w:rsidRPr="008B6F4C">
        <w:rPr>
          <w:rFonts w:ascii="Times New Roman" w:hAnsi="Times New Roman"/>
          <w:sz w:val="28"/>
          <w:szCs w:val="28"/>
        </w:rPr>
        <w:t>»</w:t>
      </w:r>
      <w:r w:rsidR="00C77295" w:rsidRPr="00C77295">
        <w:rPr>
          <w:rFonts w:ascii="Times New Roman" w:hAnsi="Times New Roman"/>
          <w:sz w:val="28"/>
          <w:szCs w:val="28"/>
        </w:rPr>
        <w:t xml:space="preserve"> в городском округе </w:t>
      </w:r>
      <w:proofErr w:type="gramStart"/>
      <w:r w:rsidR="00C77295" w:rsidRPr="00C77295">
        <w:rPr>
          <w:rFonts w:ascii="Times New Roman" w:hAnsi="Times New Roman"/>
          <w:sz w:val="28"/>
          <w:szCs w:val="28"/>
        </w:rPr>
        <w:t>Тольятти</w:t>
      </w:r>
      <w:r w:rsidR="008B6F4C" w:rsidRPr="008B6F4C">
        <w:rPr>
          <w:rFonts w:ascii="Times New Roman" w:hAnsi="Times New Roman"/>
          <w:sz w:val="28"/>
          <w:szCs w:val="28"/>
        </w:rPr>
        <w:t xml:space="preserve">,  </w:t>
      </w:r>
      <w:r w:rsidR="008B6F4C" w:rsidRPr="005848E6">
        <w:rPr>
          <w:rFonts w:ascii="Times New Roman" w:hAnsi="Times New Roman"/>
          <w:sz w:val="28"/>
          <w:szCs w:val="28"/>
        </w:rPr>
        <w:t>сокращением</w:t>
      </w:r>
      <w:proofErr w:type="gramEnd"/>
      <w:r w:rsidR="008B6F4C" w:rsidRPr="005848E6">
        <w:rPr>
          <w:rFonts w:ascii="Times New Roman" w:hAnsi="Times New Roman"/>
          <w:sz w:val="28"/>
          <w:szCs w:val="28"/>
        </w:rPr>
        <w:t xml:space="preserve"> </w:t>
      </w:r>
      <w:r w:rsidR="008B6F4C" w:rsidRPr="008B6F4C">
        <w:rPr>
          <w:rFonts w:ascii="Times New Roman" w:hAnsi="Times New Roman"/>
          <w:sz w:val="28"/>
          <w:szCs w:val="28"/>
        </w:rPr>
        <w:t xml:space="preserve">неформального сектора занятости. </w:t>
      </w:r>
    </w:p>
    <w:p w14:paraId="6172A462" w14:textId="77777777" w:rsidR="005848E6" w:rsidRPr="005848E6" w:rsidRDefault="006B116C" w:rsidP="005848E6">
      <w:pPr>
        <w:spacing w:after="0"/>
        <w:ind w:firstLine="709"/>
        <w:jc w:val="both"/>
        <w:rPr>
          <w:rFonts w:ascii="Times New Roman" w:hAnsi="Times New Roman"/>
          <w:sz w:val="28"/>
          <w:szCs w:val="28"/>
        </w:rPr>
      </w:pPr>
      <w:r w:rsidRPr="005848E6">
        <w:rPr>
          <w:rFonts w:ascii="Times New Roman" w:hAnsi="Times New Roman"/>
          <w:sz w:val="28"/>
          <w:szCs w:val="28"/>
        </w:rPr>
        <w:t xml:space="preserve">За три прогнозных года действующими компаниями - резидентами ОЭЗ ППТ «Тольятти» (с учетом управляющей компании) планируется создать около </w:t>
      </w:r>
      <w:r w:rsidR="00014B94" w:rsidRPr="005848E6">
        <w:rPr>
          <w:rFonts w:ascii="Times New Roman" w:hAnsi="Times New Roman"/>
          <w:sz w:val="28"/>
          <w:szCs w:val="28"/>
        </w:rPr>
        <w:t>4</w:t>
      </w:r>
      <w:r w:rsidR="00735763" w:rsidRPr="005848E6">
        <w:rPr>
          <w:rFonts w:ascii="Times New Roman" w:hAnsi="Times New Roman"/>
          <w:sz w:val="28"/>
          <w:szCs w:val="28"/>
        </w:rPr>
        <w:t>,</w:t>
      </w:r>
      <w:r w:rsidR="00014B94" w:rsidRPr="005848E6">
        <w:rPr>
          <w:rFonts w:ascii="Times New Roman" w:hAnsi="Times New Roman"/>
          <w:sz w:val="28"/>
          <w:szCs w:val="28"/>
        </w:rPr>
        <w:t>17</w:t>
      </w:r>
      <w:r w:rsidRPr="005848E6">
        <w:rPr>
          <w:rFonts w:ascii="Times New Roman" w:hAnsi="Times New Roman"/>
          <w:sz w:val="28"/>
          <w:szCs w:val="28"/>
        </w:rPr>
        <w:t xml:space="preserve"> </w:t>
      </w:r>
      <w:r w:rsidR="00735763" w:rsidRPr="005848E6">
        <w:rPr>
          <w:rFonts w:ascii="Times New Roman" w:hAnsi="Times New Roman"/>
          <w:sz w:val="28"/>
          <w:szCs w:val="28"/>
        </w:rPr>
        <w:t>тыс.</w:t>
      </w:r>
      <w:r w:rsidR="003635A4" w:rsidRPr="005848E6">
        <w:rPr>
          <w:rFonts w:ascii="Times New Roman" w:hAnsi="Times New Roman"/>
          <w:sz w:val="28"/>
          <w:szCs w:val="28"/>
        </w:rPr>
        <w:t xml:space="preserve"> </w:t>
      </w:r>
      <w:r w:rsidRPr="005848E6">
        <w:rPr>
          <w:rFonts w:ascii="Times New Roman" w:hAnsi="Times New Roman"/>
          <w:sz w:val="28"/>
          <w:szCs w:val="28"/>
        </w:rPr>
        <w:t>новых рабочих мест</w:t>
      </w:r>
      <w:r w:rsidR="00014B94" w:rsidRPr="005848E6">
        <w:rPr>
          <w:rFonts w:ascii="Times New Roman" w:hAnsi="Times New Roman"/>
          <w:sz w:val="28"/>
          <w:szCs w:val="28"/>
        </w:rPr>
        <w:t xml:space="preserve"> (по данным компании)</w:t>
      </w:r>
      <w:r w:rsidRPr="005848E6">
        <w:rPr>
          <w:rFonts w:ascii="Times New Roman" w:hAnsi="Times New Roman"/>
          <w:sz w:val="28"/>
          <w:szCs w:val="28"/>
        </w:rPr>
        <w:t>, к концу 202</w:t>
      </w:r>
      <w:r w:rsidR="00626601" w:rsidRPr="005848E6">
        <w:rPr>
          <w:rFonts w:ascii="Times New Roman" w:hAnsi="Times New Roman"/>
          <w:sz w:val="28"/>
          <w:szCs w:val="28"/>
        </w:rPr>
        <w:t>4</w:t>
      </w:r>
      <w:r w:rsidRPr="005848E6">
        <w:rPr>
          <w:rFonts w:ascii="Times New Roman" w:hAnsi="Times New Roman"/>
          <w:sz w:val="28"/>
          <w:szCs w:val="28"/>
        </w:rPr>
        <w:t xml:space="preserve"> года общ</w:t>
      </w:r>
      <w:r w:rsidR="00014B94" w:rsidRPr="005848E6">
        <w:rPr>
          <w:rFonts w:ascii="Times New Roman" w:hAnsi="Times New Roman"/>
          <w:sz w:val="28"/>
          <w:szCs w:val="28"/>
        </w:rPr>
        <w:t>ая</w:t>
      </w:r>
      <w:r w:rsidRPr="005848E6">
        <w:rPr>
          <w:rFonts w:ascii="Times New Roman" w:hAnsi="Times New Roman"/>
          <w:sz w:val="28"/>
          <w:szCs w:val="28"/>
        </w:rPr>
        <w:t xml:space="preserve"> </w:t>
      </w:r>
      <w:r w:rsidR="00014B94" w:rsidRPr="005848E6">
        <w:rPr>
          <w:rFonts w:ascii="Times New Roman" w:hAnsi="Times New Roman"/>
          <w:sz w:val="28"/>
          <w:szCs w:val="28"/>
        </w:rPr>
        <w:t>численность работников резидентов и управляющей компании ОЭЗ ППТ «Тольятти» составит 6</w:t>
      </w:r>
      <w:r w:rsidRPr="005848E6">
        <w:rPr>
          <w:rFonts w:ascii="Times New Roman" w:hAnsi="Times New Roman"/>
          <w:sz w:val="28"/>
          <w:szCs w:val="28"/>
        </w:rPr>
        <w:t xml:space="preserve"> тыс. ед. </w:t>
      </w:r>
      <w:r w:rsidR="005848E6" w:rsidRPr="005848E6">
        <w:rPr>
          <w:rFonts w:ascii="Times New Roman" w:hAnsi="Times New Roman"/>
          <w:sz w:val="28"/>
          <w:szCs w:val="28"/>
        </w:rPr>
        <w:t xml:space="preserve">Так, количество планируемых к созданию рабочих мест по проекту ООО «Тольяттинский комбинат пищевых продуктов» - 1,3 тыс. рабочих мест; ООО «ТПВ РУС» - 1,2 тыс. рабочих мест; ООО «Джей Ви </w:t>
      </w:r>
      <w:proofErr w:type="spellStart"/>
      <w:r w:rsidR="005848E6" w:rsidRPr="005848E6">
        <w:rPr>
          <w:rFonts w:ascii="Times New Roman" w:hAnsi="Times New Roman"/>
          <w:sz w:val="28"/>
          <w:szCs w:val="28"/>
        </w:rPr>
        <w:t>Системз</w:t>
      </w:r>
      <w:proofErr w:type="spellEnd"/>
      <w:r w:rsidR="005848E6" w:rsidRPr="005848E6">
        <w:rPr>
          <w:rFonts w:ascii="Times New Roman" w:hAnsi="Times New Roman"/>
          <w:sz w:val="28"/>
          <w:szCs w:val="28"/>
        </w:rPr>
        <w:t>» - 1,0 тыс. рабочих мест.</w:t>
      </w:r>
    </w:p>
    <w:p w14:paraId="6B32497D" w14:textId="170C47D6" w:rsidR="00DB0BCD" w:rsidRPr="00DB0BCD" w:rsidRDefault="006B116C" w:rsidP="00DB0BCD">
      <w:pPr>
        <w:spacing w:after="0"/>
        <w:ind w:firstLine="709"/>
        <w:jc w:val="both"/>
        <w:rPr>
          <w:rFonts w:ascii="Times New Roman" w:hAnsi="Times New Roman"/>
          <w:sz w:val="28"/>
          <w:szCs w:val="28"/>
        </w:rPr>
      </w:pPr>
      <w:r w:rsidRPr="00DB0BCD">
        <w:rPr>
          <w:rFonts w:ascii="Times New Roman" w:hAnsi="Times New Roman"/>
          <w:sz w:val="28"/>
          <w:szCs w:val="28"/>
        </w:rPr>
        <w:t>В 202</w:t>
      </w:r>
      <w:r w:rsidR="00626601" w:rsidRPr="00DB0BCD">
        <w:rPr>
          <w:rFonts w:ascii="Times New Roman" w:hAnsi="Times New Roman"/>
          <w:sz w:val="28"/>
          <w:szCs w:val="28"/>
        </w:rPr>
        <w:t>2</w:t>
      </w:r>
      <w:r w:rsidRPr="00DB0BCD">
        <w:rPr>
          <w:rFonts w:ascii="Times New Roman" w:hAnsi="Times New Roman"/>
          <w:sz w:val="28"/>
          <w:szCs w:val="28"/>
        </w:rPr>
        <w:t>-202</w:t>
      </w:r>
      <w:r w:rsidR="00626601" w:rsidRPr="00DB0BCD">
        <w:rPr>
          <w:rFonts w:ascii="Times New Roman" w:hAnsi="Times New Roman"/>
          <w:sz w:val="28"/>
          <w:szCs w:val="28"/>
        </w:rPr>
        <w:t>4</w:t>
      </w:r>
      <w:r w:rsidRPr="00DB0BCD">
        <w:rPr>
          <w:rFonts w:ascii="Times New Roman" w:hAnsi="Times New Roman"/>
          <w:sz w:val="28"/>
          <w:szCs w:val="28"/>
        </w:rPr>
        <w:t xml:space="preserve"> годах действующими компаниями - резидентами ТОСЭР «Тольятти» планируется создать </w:t>
      </w:r>
      <w:r w:rsidR="00014B94" w:rsidRPr="00DB0BCD">
        <w:rPr>
          <w:rFonts w:ascii="Times New Roman" w:hAnsi="Times New Roman"/>
          <w:sz w:val="28"/>
          <w:szCs w:val="28"/>
        </w:rPr>
        <w:t>не менее 1,1</w:t>
      </w:r>
      <w:r w:rsidRPr="00DB0BCD">
        <w:rPr>
          <w:rFonts w:ascii="Times New Roman" w:hAnsi="Times New Roman"/>
          <w:sz w:val="28"/>
          <w:szCs w:val="28"/>
        </w:rPr>
        <w:t xml:space="preserve"> тыс. новых рабочих мест, за весь период реализации - </w:t>
      </w:r>
      <w:r w:rsidR="00DB0BCD">
        <w:rPr>
          <w:rFonts w:ascii="Times New Roman" w:hAnsi="Times New Roman"/>
          <w:sz w:val="28"/>
          <w:szCs w:val="28"/>
        </w:rPr>
        <w:t>порядка</w:t>
      </w:r>
      <w:r w:rsidRPr="00DB0BCD">
        <w:rPr>
          <w:rFonts w:ascii="Times New Roman" w:hAnsi="Times New Roman"/>
          <w:sz w:val="28"/>
          <w:szCs w:val="28"/>
        </w:rPr>
        <w:t xml:space="preserve"> </w:t>
      </w:r>
      <w:r w:rsidR="00626601" w:rsidRPr="00DB0BCD">
        <w:rPr>
          <w:rFonts w:ascii="Times New Roman" w:hAnsi="Times New Roman"/>
          <w:sz w:val="28"/>
          <w:szCs w:val="28"/>
        </w:rPr>
        <w:t>10</w:t>
      </w:r>
      <w:r w:rsidRPr="00DB0BCD">
        <w:rPr>
          <w:rFonts w:ascii="Times New Roman" w:hAnsi="Times New Roman"/>
          <w:sz w:val="28"/>
          <w:szCs w:val="28"/>
        </w:rPr>
        <w:t xml:space="preserve"> тыс. рабочих мест.  </w:t>
      </w:r>
      <w:proofErr w:type="gramStart"/>
      <w:r w:rsidR="00DB0BCD">
        <w:rPr>
          <w:rFonts w:ascii="Times New Roman" w:hAnsi="Times New Roman"/>
          <w:sz w:val="28"/>
          <w:szCs w:val="28"/>
        </w:rPr>
        <w:t xml:space="preserve">Например, </w:t>
      </w:r>
      <w:r w:rsidR="00DB0BCD" w:rsidRPr="00DB0BCD">
        <w:rPr>
          <w:rFonts w:ascii="Times New Roman" w:hAnsi="Times New Roman"/>
          <w:sz w:val="28"/>
          <w:szCs w:val="28"/>
        </w:rPr>
        <w:t xml:space="preserve"> ООО</w:t>
      </w:r>
      <w:proofErr w:type="gramEnd"/>
      <w:r w:rsidR="00DB0BCD" w:rsidRPr="00DB0BCD">
        <w:rPr>
          <w:rFonts w:ascii="Times New Roman" w:hAnsi="Times New Roman"/>
          <w:sz w:val="28"/>
          <w:szCs w:val="28"/>
        </w:rPr>
        <w:t> «Дата Технолоджи» - 301 рабочее место, ООО «Металлист-Тольятти» - 120 рабочих мест, ООО «Фабрика бисквита» - 115 рабочих мест.</w:t>
      </w:r>
    </w:p>
    <w:p w14:paraId="5A93FB53" w14:textId="1A01D7C0" w:rsidR="006B116C" w:rsidRDefault="006B116C" w:rsidP="00A56CAF">
      <w:pPr>
        <w:pStyle w:val="af"/>
        <w:numPr>
          <w:ilvl w:val="0"/>
          <w:numId w:val="2"/>
        </w:numPr>
        <w:spacing w:line="276" w:lineRule="auto"/>
        <w:ind w:left="0" w:firstLine="709"/>
        <w:jc w:val="both"/>
      </w:pPr>
      <w:r w:rsidRPr="006B116C">
        <w:t xml:space="preserve">Немаловажную роль в повышении </w:t>
      </w:r>
      <w:r w:rsidR="00201BD3">
        <w:t>занятости</w:t>
      </w:r>
      <w:r w:rsidRPr="006B116C">
        <w:t xml:space="preserve"> сыграет введение с 2020 года на территории Самарской области особого налогового режима для </w:t>
      </w:r>
      <w:r w:rsidR="00626601">
        <w:t>«</w:t>
      </w:r>
      <w:r w:rsidRPr="006B116C">
        <w:t>самозанятых</w:t>
      </w:r>
      <w:r w:rsidR="00626601">
        <w:t>»</w:t>
      </w:r>
      <w:r w:rsidRPr="006B116C">
        <w:t xml:space="preserve"> (в 202</w:t>
      </w:r>
      <w:r w:rsidR="00626601">
        <w:t>1</w:t>
      </w:r>
      <w:r w:rsidRPr="006B116C">
        <w:t xml:space="preserve"> году </w:t>
      </w:r>
      <w:r w:rsidR="004B3B9D">
        <w:t>количество</w:t>
      </w:r>
      <w:r w:rsidRPr="006B116C">
        <w:t xml:space="preserve"> </w:t>
      </w:r>
      <w:r w:rsidR="00C45F3B">
        <w:t>этой категории</w:t>
      </w:r>
      <w:r w:rsidRPr="006B116C">
        <w:t xml:space="preserve"> </w:t>
      </w:r>
      <w:r w:rsidR="004B3B9D">
        <w:t>достигнет порядка 20</w:t>
      </w:r>
      <w:r w:rsidRPr="006B116C">
        <w:t xml:space="preserve"> тыс. граждан</w:t>
      </w:r>
      <w:r w:rsidR="00626601">
        <w:t xml:space="preserve"> городского округа</w:t>
      </w:r>
      <w:r w:rsidRPr="006B116C">
        <w:t xml:space="preserve"> Тольятти</w:t>
      </w:r>
      <w:r w:rsidR="004B3B9D">
        <w:t xml:space="preserve">, что в 2 раза больше </w:t>
      </w:r>
      <w:r w:rsidR="00DB5FFB">
        <w:t xml:space="preserve">предыдущего </w:t>
      </w:r>
      <w:r w:rsidR="004B3B9D">
        <w:t>2020 года</w:t>
      </w:r>
      <w:r w:rsidRPr="006B116C">
        <w:t>).</w:t>
      </w:r>
      <w:r w:rsidR="004B3B9D">
        <w:t xml:space="preserve"> </w:t>
      </w:r>
      <w:r w:rsidRPr="006B116C">
        <w:t xml:space="preserve"> </w:t>
      </w:r>
    </w:p>
    <w:p w14:paraId="2E57F9DA" w14:textId="71CE5D73" w:rsidR="00014B94" w:rsidRDefault="004B3B9D" w:rsidP="00A56CAF">
      <w:pPr>
        <w:pStyle w:val="af"/>
        <w:numPr>
          <w:ilvl w:val="0"/>
          <w:numId w:val="2"/>
        </w:numPr>
        <w:spacing w:line="276" w:lineRule="auto"/>
        <w:ind w:left="0" w:firstLine="709"/>
        <w:jc w:val="both"/>
      </w:pPr>
      <w:r>
        <w:t>Также</w:t>
      </w:r>
      <w:r w:rsidR="00014B94">
        <w:t xml:space="preserve">, в прогнозном периоде ожидается </w:t>
      </w:r>
      <w:r>
        <w:t xml:space="preserve">умеренный, но стабильный </w:t>
      </w:r>
      <w:r w:rsidR="00014B94">
        <w:t xml:space="preserve">рост численности индивидуальных предпринимателей </w:t>
      </w:r>
      <w:r>
        <w:t xml:space="preserve">(в 2024 году на </w:t>
      </w:r>
      <w:r w:rsidR="00DB5FFB">
        <w:t xml:space="preserve">2,8% и </w:t>
      </w:r>
      <w:r>
        <w:t>5,6%</w:t>
      </w:r>
      <w:r w:rsidR="00CF0941">
        <w:t>)</w:t>
      </w:r>
      <w:r w:rsidR="0021112C">
        <w:t xml:space="preserve"> </w:t>
      </w:r>
      <w:r>
        <w:t>и работающих у них сотрудников.</w:t>
      </w:r>
    </w:p>
    <w:p w14:paraId="1C87E272" w14:textId="2B34A8E8" w:rsidR="00CF0941" w:rsidRPr="006B116C" w:rsidRDefault="003C79A4" w:rsidP="00A56CAF">
      <w:pPr>
        <w:pStyle w:val="af"/>
        <w:numPr>
          <w:ilvl w:val="0"/>
          <w:numId w:val="2"/>
        </w:numPr>
        <w:spacing w:line="276" w:lineRule="auto"/>
        <w:ind w:left="0" w:firstLine="709"/>
        <w:jc w:val="both"/>
      </w:pPr>
      <w:r>
        <w:t>Прогнозируется, что с</w:t>
      </w:r>
      <w:r w:rsidR="00CF0941">
        <w:t>реднесписочная численность работников малых и средних органи</w:t>
      </w:r>
      <w:r>
        <w:t xml:space="preserve">заций вырастет за три года на </w:t>
      </w:r>
      <w:r w:rsidR="000B112E">
        <w:t>2,8</w:t>
      </w:r>
      <w:r>
        <w:t xml:space="preserve"> тыс. человек по первому варианту и на 5,</w:t>
      </w:r>
      <w:r w:rsidR="000B112E">
        <w:t>3</w:t>
      </w:r>
      <w:r>
        <w:t xml:space="preserve"> тыс. человек по второму варианту прогноза соответственно. При этом</w:t>
      </w:r>
      <w:r w:rsidR="00CF0941">
        <w:t>, среднесписочная численность работ</w:t>
      </w:r>
      <w:r>
        <w:t>ников крупных организаций будет умеренно снижаться вплоть до 2024 года за счет продолжения оптимизации численности сотрудников на АО «АВТОВАЗ» и други</w:t>
      </w:r>
      <w:r w:rsidR="00C77295">
        <w:t>х крупнейших предприятий города;</w:t>
      </w:r>
    </w:p>
    <w:p w14:paraId="2AEFE8F4" w14:textId="0DA12C89" w:rsidR="003C79A4" w:rsidRDefault="003C79A4" w:rsidP="00A56CAF">
      <w:pPr>
        <w:pStyle w:val="af"/>
        <w:widowControl w:val="0"/>
        <w:numPr>
          <w:ilvl w:val="0"/>
          <w:numId w:val="2"/>
        </w:numPr>
        <w:shd w:val="clear" w:color="auto" w:fill="FFFFFF"/>
        <w:tabs>
          <w:tab w:val="left" w:pos="8208"/>
        </w:tabs>
        <w:suppressAutoHyphens/>
        <w:spacing w:line="276" w:lineRule="auto"/>
        <w:ind w:left="0" w:firstLine="709"/>
        <w:jc w:val="both"/>
      </w:pPr>
      <w:r w:rsidRPr="003C79A4">
        <w:t xml:space="preserve">- </w:t>
      </w:r>
      <w:r>
        <w:t>численность учащихся в трудоспособном возрасте с отрывом от производства (с 16 лет) в прогнозном периоде также будет расти и достигнет к 2024 году 27,7 и 28</w:t>
      </w:r>
      <w:r w:rsidR="00DB5FFB">
        <w:t>,1</w:t>
      </w:r>
      <w:r>
        <w:t xml:space="preserve"> тыс. человек, в основном, за счет роста численности </w:t>
      </w:r>
      <w:r w:rsidR="00DB5FFB">
        <w:t xml:space="preserve">молодежи </w:t>
      </w:r>
      <w:r>
        <w:t>в возрасте 16-22 лет</w:t>
      </w:r>
      <w:r w:rsidR="00DB5FFB">
        <w:t xml:space="preserve"> (на 6,7 тыс. человек за три прогнозных года)</w:t>
      </w:r>
      <w:r>
        <w:t xml:space="preserve">, составляющих основу данной категории граждан </w:t>
      </w:r>
      <w:r w:rsidR="00DE1BCA">
        <w:t>(</w:t>
      </w:r>
      <w:r>
        <w:t>доля учащихся от этой возрастной категории состави</w:t>
      </w:r>
      <w:r w:rsidR="00DB5FFB">
        <w:t>т</w:t>
      </w:r>
      <w:r>
        <w:t xml:space="preserve"> в прогнозном периоде </w:t>
      </w:r>
      <w:r w:rsidR="00DB5FFB">
        <w:t>около 50</w:t>
      </w:r>
      <w:r>
        <w:t xml:space="preserve">% </w:t>
      </w:r>
      <w:r w:rsidR="004D2DA2" w:rsidRPr="004D2DA2">
        <w:t>(</w:t>
      </w:r>
      <w:r w:rsidR="00DE1BCA">
        <w:t xml:space="preserve">принята </w:t>
      </w:r>
      <w:r w:rsidR="004D2DA2">
        <w:t>на уровне</w:t>
      </w:r>
      <w:r>
        <w:t xml:space="preserve"> 2020-2021 год</w:t>
      </w:r>
      <w:r w:rsidR="004D2DA2">
        <w:t>ов)</w:t>
      </w:r>
      <w:r w:rsidR="00DE1BCA">
        <w:t>)</w:t>
      </w:r>
      <w:r>
        <w:t>;</w:t>
      </w:r>
    </w:p>
    <w:p w14:paraId="12DAD193" w14:textId="4D204334" w:rsidR="00862820" w:rsidRPr="00C77295" w:rsidRDefault="003C79A4" w:rsidP="00A56CAF">
      <w:pPr>
        <w:pStyle w:val="af"/>
        <w:widowControl w:val="0"/>
        <w:numPr>
          <w:ilvl w:val="0"/>
          <w:numId w:val="2"/>
        </w:numPr>
        <w:shd w:val="clear" w:color="auto" w:fill="FFFFFF"/>
        <w:tabs>
          <w:tab w:val="left" w:pos="8208"/>
        </w:tabs>
        <w:suppressAutoHyphens/>
        <w:spacing w:line="276" w:lineRule="auto"/>
        <w:ind w:left="0" w:firstLine="709"/>
        <w:jc w:val="both"/>
      </w:pPr>
      <w:r>
        <w:lastRenderedPageBreak/>
        <w:t xml:space="preserve">-  </w:t>
      </w:r>
      <w:r w:rsidR="00C77295" w:rsidRPr="00C77295">
        <w:t>количество безработных граждан б</w:t>
      </w:r>
      <w:r w:rsidR="00120861" w:rsidRPr="00C77295">
        <w:t xml:space="preserve">удет последовательно снижаться: </w:t>
      </w:r>
      <w:r w:rsidR="00C77295">
        <w:t>по прогнозу ГКУ СО «Центр занятости населения г.о.</w:t>
      </w:r>
      <w:r w:rsidR="00DB5FFB">
        <w:t xml:space="preserve"> </w:t>
      </w:r>
      <w:r w:rsidR="00C77295">
        <w:t>Тольятти» в</w:t>
      </w:r>
      <w:r w:rsidR="00120861" w:rsidRPr="00C77295">
        <w:t xml:space="preserve"> 202</w:t>
      </w:r>
      <w:r w:rsidR="00C77295">
        <w:t>2</w:t>
      </w:r>
      <w:r w:rsidR="00120861" w:rsidRPr="00C77295">
        <w:t xml:space="preserve"> год</w:t>
      </w:r>
      <w:r w:rsidR="00C77295">
        <w:t>у</w:t>
      </w:r>
      <w:r w:rsidR="00120861" w:rsidRPr="00C77295">
        <w:t xml:space="preserve"> количество безработных граждан </w:t>
      </w:r>
      <w:r w:rsidR="00C77295">
        <w:t>в среднегодовом значении составит по первому варианту 4,4</w:t>
      </w:r>
      <w:r w:rsidR="00B9477E" w:rsidRPr="00C77295">
        <w:t xml:space="preserve"> тыс. человек, </w:t>
      </w:r>
      <w:r w:rsidR="00C77295">
        <w:t>а по второму варианту снизится до 3,7 тыс. человек</w:t>
      </w:r>
      <w:r w:rsidR="00DE1BCA">
        <w:t xml:space="preserve"> (приблизится к «докризисному» уровню 2019 года - 3,6 тыс. человек)</w:t>
      </w:r>
      <w:r w:rsidR="00C77295">
        <w:t xml:space="preserve">, </w:t>
      </w:r>
      <w:r w:rsidR="00B9477E" w:rsidRPr="00C77295">
        <w:t xml:space="preserve">уровень средней безработицы </w:t>
      </w:r>
      <w:r w:rsidR="00C77295">
        <w:t>снизится до 1,1% и 0,93</w:t>
      </w:r>
      <w:r w:rsidR="00862820" w:rsidRPr="00C77295">
        <w:t>%</w:t>
      </w:r>
      <w:r w:rsidR="00C77295">
        <w:t xml:space="preserve"> </w:t>
      </w:r>
      <w:r w:rsidR="00B9477E" w:rsidRPr="00C77295">
        <w:t xml:space="preserve"> </w:t>
      </w:r>
      <w:r w:rsidR="00C77295">
        <w:t>соответственно</w:t>
      </w:r>
      <w:r w:rsidR="00862820" w:rsidRPr="00C77295">
        <w:t>. В течение всего прогнозного периода ее уровень будет снижаться и к 202</w:t>
      </w:r>
      <w:r w:rsidR="00C77295">
        <w:t>4</w:t>
      </w:r>
      <w:r w:rsidR="00862820" w:rsidRPr="00C77295">
        <w:t> году достигнет док</w:t>
      </w:r>
      <w:r w:rsidR="005B2ACE" w:rsidRPr="00C77295">
        <w:t>ризисных</w:t>
      </w:r>
      <w:r w:rsidR="00862820" w:rsidRPr="00C77295">
        <w:t xml:space="preserve"> значений </w:t>
      </w:r>
      <w:r w:rsidR="005B2ACE" w:rsidRPr="00C77295">
        <w:t xml:space="preserve">- </w:t>
      </w:r>
      <w:r w:rsidR="00862820" w:rsidRPr="00C77295">
        <w:t>0,92%</w:t>
      </w:r>
      <w:r w:rsidR="00C77295">
        <w:t xml:space="preserve"> и 0,75%</w:t>
      </w:r>
      <w:r w:rsidR="00862820" w:rsidRPr="00C77295">
        <w:t>.</w:t>
      </w:r>
    </w:p>
    <w:p w14:paraId="2C1A8E31" w14:textId="07222051" w:rsidR="008B6F4C" w:rsidRDefault="001E221C" w:rsidP="00A56CAF">
      <w:pPr>
        <w:pStyle w:val="af"/>
        <w:widowControl w:val="0"/>
        <w:numPr>
          <w:ilvl w:val="0"/>
          <w:numId w:val="2"/>
        </w:numPr>
        <w:shd w:val="clear" w:color="auto" w:fill="FFFFFF"/>
        <w:suppressAutoHyphens/>
        <w:spacing w:line="276" w:lineRule="auto"/>
        <w:ind w:left="0" w:firstLine="709"/>
        <w:jc w:val="both"/>
      </w:pPr>
      <w:r>
        <w:t xml:space="preserve">В прогнозном периоде </w:t>
      </w:r>
      <w:r w:rsidR="004D2DA2">
        <w:t xml:space="preserve">будут </w:t>
      </w:r>
      <w:r w:rsidR="008B6F4C">
        <w:t>развиваться процессы структурных изменений и повышения эластичности в сфере занятости с внедрением новых форм организации труда (в том числе фриланса и дистанционного режима) и гибких графиков рабочего времени, повышаться трудовая мобильность населения, способствующая снижению структурных несоответствий спроса и предложения</w:t>
      </w:r>
      <w:r w:rsidR="00DE1BCA">
        <w:t xml:space="preserve"> рабочей силы</w:t>
      </w:r>
      <w:r w:rsidR="008B6F4C">
        <w:t xml:space="preserve">. </w:t>
      </w:r>
    </w:p>
    <w:p w14:paraId="11CDB882" w14:textId="171B7267" w:rsidR="008B6F4C" w:rsidRDefault="008B6F4C" w:rsidP="00A56CAF">
      <w:pPr>
        <w:pStyle w:val="af"/>
        <w:widowControl w:val="0"/>
        <w:numPr>
          <w:ilvl w:val="0"/>
          <w:numId w:val="2"/>
        </w:numPr>
        <w:shd w:val="clear" w:color="auto" w:fill="FFFFFF"/>
        <w:suppressAutoHyphens/>
        <w:spacing w:line="276" w:lineRule="auto"/>
        <w:ind w:left="0" w:firstLine="709"/>
        <w:jc w:val="both"/>
      </w:pPr>
      <w:r>
        <w:t>В целях улучшения ситуации на рынке труда будут реализовываться:</w:t>
      </w:r>
    </w:p>
    <w:p w14:paraId="1C2C0A60" w14:textId="77777777" w:rsidR="008B6F4C" w:rsidRDefault="008B6F4C" w:rsidP="00A56CAF">
      <w:pPr>
        <w:pStyle w:val="af"/>
        <w:widowControl w:val="0"/>
        <w:numPr>
          <w:ilvl w:val="0"/>
          <w:numId w:val="2"/>
        </w:numPr>
        <w:shd w:val="clear" w:color="auto" w:fill="FFFFFF"/>
        <w:suppressAutoHyphens/>
        <w:spacing w:line="276" w:lineRule="auto"/>
        <w:ind w:left="0" w:firstLine="709"/>
        <w:jc w:val="both"/>
      </w:pPr>
      <w:r>
        <w:t xml:space="preserve">- региональный проект «Содействие занятости» в рамках национального проекта «Демография»; </w:t>
      </w:r>
    </w:p>
    <w:p w14:paraId="6096D2B9" w14:textId="77777777" w:rsidR="008B6F4C" w:rsidRDefault="008B6F4C" w:rsidP="00A56CAF">
      <w:pPr>
        <w:pStyle w:val="af"/>
        <w:widowControl w:val="0"/>
        <w:numPr>
          <w:ilvl w:val="0"/>
          <w:numId w:val="2"/>
        </w:numPr>
        <w:shd w:val="clear" w:color="auto" w:fill="FFFFFF"/>
        <w:suppressAutoHyphens/>
        <w:spacing w:line="276" w:lineRule="auto"/>
        <w:ind w:left="0" w:firstLine="709"/>
        <w:jc w:val="both"/>
      </w:pPr>
      <w:r>
        <w:t>- государственные программы Самарской области «Содействие занятости населения Самарской области на 2019 – 2023 годы», «Оказание содействия добровольному переселению в Самарскую область соотечественников, проживающих за рубежом» на 2014 – 2023 годы;</w:t>
      </w:r>
    </w:p>
    <w:p w14:paraId="151EF8D9" w14:textId="77777777" w:rsidR="008B6F4C" w:rsidRDefault="008B6F4C" w:rsidP="00A56CAF">
      <w:pPr>
        <w:pStyle w:val="af"/>
        <w:widowControl w:val="0"/>
        <w:numPr>
          <w:ilvl w:val="0"/>
          <w:numId w:val="2"/>
        </w:numPr>
        <w:shd w:val="clear" w:color="auto" w:fill="FFFFFF"/>
        <w:suppressAutoHyphens/>
        <w:spacing w:line="276" w:lineRule="auto"/>
        <w:ind w:left="0" w:firstLine="709"/>
        <w:jc w:val="both"/>
      </w:pPr>
      <w:r>
        <w:t>- межведомственный План мероприятий по содействию занятости граждан, высвобождаемых с предприятий и организаций, расположенных в муниципальных образованиях Самарской области с напряженной ситуацией на рынке труда;</w:t>
      </w:r>
    </w:p>
    <w:p w14:paraId="603D570D" w14:textId="77777777" w:rsidR="008B6F4C" w:rsidRDefault="008B6F4C" w:rsidP="00A56CAF">
      <w:pPr>
        <w:pStyle w:val="af"/>
        <w:widowControl w:val="0"/>
        <w:numPr>
          <w:ilvl w:val="0"/>
          <w:numId w:val="2"/>
        </w:numPr>
        <w:shd w:val="clear" w:color="auto" w:fill="FFFFFF"/>
        <w:suppressAutoHyphens/>
        <w:spacing w:line="276" w:lineRule="auto"/>
        <w:ind w:left="0" w:firstLine="709"/>
        <w:jc w:val="both"/>
      </w:pPr>
      <w:r>
        <w:t>- План мероприятий по развитию национальной системы профессиональных квалификаций в Самарской области на 2021 – 2024 годы;</w:t>
      </w:r>
    </w:p>
    <w:p w14:paraId="2C416CBC" w14:textId="77777777" w:rsidR="008B6F4C" w:rsidRDefault="008B6F4C" w:rsidP="00A56CAF">
      <w:pPr>
        <w:pStyle w:val="af"/>
        <w:widowControl w:val="0"/>
        <w:numPr>
          <w:ilvl w:val="0"/>
          <w:numId w:val="2"/>
        </w:numPr>
        <w:shd w:val="clear" w:color="auto" w:fill="FFFFFF"/>
        <w:suppressAutoHyphens/>
        <w:spacing w:line="276" w:lineRule="auto"/>
        <w:ind w:left="0" w:firstLine="709"/>
        <w:jc w:val="both"/>
      </w:pPr>
      <w:r>
        <w:t xml:space="preserve">- мероприятия в рамках системы чемпионатов «Молодые </w:t>
      </w:r>
      <w:proofErr w:type="spellStart"/>
      <w:r>
        <w:t>професси-оналы</w:t>
      </w:r>
      <w:proofErr w:type="spellEnd"/>
      <w:r>
        <w:t>» (</w:t>
      </w:r>
      <w:proofErr w:type="spellStart"/>
      <w:r>
        <w:t>Worldskills</w:t>
      </w:r>
      <w:proofErr w:type="spellEnd"/>
      <w:r>
        <w:t xml:space="preserve"> Russia) и конкурсов по профессиональному мастерству среди инвалидов и лиц с ограниченными возможностями здоровья «</w:t>
      </w:r>
      <w:proofErr w:type="spellStart"/>
      <w:r>
        <w:t>Абилимпикс</w:t>
      </w:r>
      <w:proofErr w:type="spellEnd"/>
      <w:r>
        <w:t>» и другие.</w:t>
      </w:r>
    </w:p>
    <w:p w14:paraId="64F5280F" w14:textId="336D3172" w:rsidR="008B6F4C" w:rsidRDefault="008B6F4C" w:rsidP="00A56CAF">
      <w:pPr>
        <w:pStyle w:val="af"/>
        <w:widowControl w:val="0"/>
        <w:numPr>
          <w:ilvl w:val="0"/>
          <w:numId w:val="2"/>
        </w:numPr>
        <w:shd w:val="clear" w:color="auto" w:fill="FFFFFF"/>
        <w:suppressAutoHyphens/>
        <w:spacing w:line="276" w:lineRule="auto"/>
        <w:ind w:left="0" w:firstLine="709"/>
        <w:jc w:val="both"/>
      </w:pPr>
      <w:r>
        <w:t>До конца 2023 года планируется осуществить поэтапный переход к предоставлению 24 часа в сутки семь дней в неделю 12 государственных услуг в сфере занятости населения в соответствии с принципами цифровой трансформации с использованием информационно-аналитической системы Общероссийская база вакансий «Работа в России».</w:t>
      </w:r>
    </w:p>
    <w:p w14:paraId="7C86711F" w14:textId="6BAA09C5" w:rsidR="00C77295" w:rsidRPr="00C77295" w:rsidRDefault="008B6F4C" w:rsidP="00DE1BCA">
      <w:pPr>
        <w:pStyle w:val="af"/>
        <w:widowControl w:val="0"/>
        <w:numPr>
          <w:ilvl w:val="0"/>
          <w:numId w:val="2"/>
        </w:numPr>
        <w:shd w:val="clear" w:color="auto" w:fill="FFFFFF"/>
        <w:suppressAutoHyphens/>
        <w:spacing w:before="120" w:line="276" w:lineRule="auto"/>
        <w:ind w:left="0" w:firstLine="709"/>
        <w:jc w:val="both"/>
        <w:rPr>
          <w:highlight w:val="yellow"/>
        </w:rPr>
      </w:pPr>
      <w:r w:rsidRPr="008B6F4C">
        <w:t>Принимаемые на федеральном и региональном уровнях меры по содействию занятости населения будут меняться и дополняться. В результате о</w:t>
      </w:r>
      <w:r w:rsidR="00C77295" w:rsidRPr="008B6F4C">
        <w:t xml:space="preserve">жидается, что </w:t>
      </w:r>
      <w:r w:rsidR="00C77295">
        <w:t xml:space="preserve">численность прочих категорий граждан городского округа </w:t>
      </w:r>
      <w:r w:rsidR="00C77295">
        <w:lastRenderedPageBreak/>
        <w:t xml:space="preserve">Тольятти, не занятых </w:t>
      </w:r>
      <w:proofErr w:type="gramStart"/>
      <w:r w:rsidR="00C77295">
        <w:t>в экономике</w:t>
      </w:r>
      <w:proofErr w:type="gramEnd"/>
      <w:r w:rsidR="004D2DA2">
        <w:t xml:space="preserve"> </w:t>
      </w:r>
      <w:r w:rsidR="00C45F3B">
        <w:t xml:space="preserve">снизится </w:t>
      </w:r>
      <w:r w:rsidR="00C77295">
        <w:t>и к 2</w:t>
      </w:r>
      <w:r w:rsidR="00C45F3B">
        <w:t>024 году составит 42 и 41,7 тыс. человек соответственно по двум вариантам прогноза.</w:t>
      </w:r>
      <w:r w:rsidR="00C77295">
        <w:t xml:space="preserve"> </w:t>
      </w:r>
    </w:p>
    <w:p w14:paraId="596C4F07" w14:textId="77777777" w:rsidR="00DE1BCA" w:rsidRPr="00DE1BCA" w:rsidRDefault="00DE1BCA" w:rsidP="00DE1BCA">
      <w:pPr>
        <w:pStyle w:val="af"/>
        <w:numPr>
          <w:ilvl w:val="0"/>
          <w:numId w:val="2"/>
        </w:numPr>
        <w:spacing w:before="120" w:line="276" w:lineRule="auto"/>
        <w:ind w:left="0" w:firstLine="0"/>
        <w:jc w:val="center"/>
      </w:pPr>
    </w:p>
    <w:p w14:paraId="66835FEB" w14:textId="107AFDEE" w:rsidR="00E62254" w:rsidRPr="00C45F3B" w:rsidRDefault="0024525F" w:rsidP="00DE1BCA">
      <w:pPr>
        <w:pStyle w:val="af"/>
        <w:numPr>
          <w:ilvl w:val="0"/>
          <w:numId w:val="2"/>
        </w:numPr>
        <w:spacing w:before="120" w:line="276" w:lineRule="auto"/>
        <w:ind w:left="0" w:firstLine="0"/>
        <w:jc w:val="center"/>
      </w:pPr>
      <w:r w:rsidRPr="00C45F3B">
        <w:rPr>
          <w:b/>
        </w:rPr>
        <w:t>Заработная плата</w:t>
      </w:r>
      <w:bookmarkStart w:id="6" w:name="зарплата"/>
      <w:bookmarkEnd w:id="6"/>
    </w:p>
    <w:p w14:paraId="65078A5C" w14:textId="209977C7" w:rsidR="00E43B00" w:rsidRPr="00E43B00" w:rsidRDefault="00E43B00" w:rsidP="005848E6">
      <w:pPr>
        <w:tabs>
          <w:tab w:val="left" w:pos="8208"/>
        </w:tabs>
        <w:spacing w:before="120" w:after="0"/>
        <w:ind w:firstLine="720"/>
        <w:jc w:val="both"/>
        <w:rPr>
          <w:rFonts w:ascii="Times New Roman" w:hAnsi="Times New Roman"/>
          <w:sz w:val="28"/>
          <w:szCs w:val="28"/>
        </w:rPr>
      </w:pPr>
      <w:r>
        <w:rPr>
          <w:rFonts w:ascii="Times New Roman" w:hAnsi="Times New Roman"/>
          <w:sz w:val="28"/>
          <w:szCs w:val="28"/>
        </w:rPr>
        <w:t xml:space="preserve">Согласно </w:t>
      </w:r>
      <w:r w:rsidRPr="004C4873">
        <w:rPr>
          <w:rFonts w:ascii="Times New Roman" w:hAnsi="Times New Roman"/>
          <w:sz w:val="28"/>
          <w:szCs w:val="28"/>
        </w:rPr>
        <w:t>Сценарны</w:t>
      </w:r>
      <w:r>
        <w:rPr>
          <w:rFonts w:ascii="Times New Roman" w:hAnsi="Times New Roman"/>
          <w:sz w:val="28"/>
          <w:szCs w:val="28"/>
        </w:rPr>
        <w:t>м</w:t>
      </w:r>
      <w:r w:rsidRPr="004C4873">
        <w:rPr>
          <w:rFonts w:ascii="Times New Roman" w:hAnsi="Times New Roman"/>
          <w:sz w:val="28"/>
          <w:szCs w:val="28"/>
        </w:rPr>
        <w:t xml:space="preserve"> условия</w:t>
      </w:r>
      <w:r>
        <w:rPr>
          <w:rFonts w:ascii="Times New Roman" w:hAnsi="Times New Roman"/>
          <w:sz w:val="28"/>
          <w:szCs w:val="28"/>
        </w:rPr>
        <w:t>м</w:t>
      </w:r>
      <w:r w:rsidRPr="004C4873">
        <w:rPr>
          <w:rFonts w:ascii="Times New Roman" w:hAnsi="Times New Roman"/>
          <w:sz w:val="28"/>
          <w:szCs w:val="28"/>
        </w:rPr>
        <w:t xml:space="preserve"> Самарской области</w:t>
      </w:r>
      <w:r w:rsidRPr="00E43B00">
        <w:rPr>
          <w:rFonts w:ascii="Times New Roman" w:hAnsi="Times New Roman"/>
          <w:sz w:val="28"/>
          <w:szCs w:val="28"/>
        </w:rPr>
        <w:t xml:space="preserve"> в 2022 – 2024 годах с учетом </w:t>
      </w:r>
      <w:r w:rsidR="00DE1BCA">
        <w:rPr>
          <w:rFonts w:ascii="Times New Roman" w:hAnsi="Times New Roman"/>
          <w:sz w:val="28"/>
          <w:szCs w:val="28"/>
        </w:rPr>
        <w:t xml:space="preserve">относительно </w:t>
      </w:r>
      <w:r w:rsidRPr="00E43B00">
        <w:rPr>
          <w:rFonts w:ascii="Times New Roman" w:hAnsi="Times New Roman"/>
          <w:sz w:val="28"/>
          <w:szCs w:val="28"/>
        </w:rPr>
        <w:t xml:space="preserve">низких темпов роста инфляции, </w:t>
      </w:r>
      <w:r w:rsidRPr="00E43B00">
        <w:rPr>
          <w:rFonts w:ascii="Times New Roman" w:hAnsi="Times New Roman"/>
          <w:spacing w:val="-2"/>
          <w:sz w:val="28"/>
          <w:szCs w:val="28"/>
        </w:rPr>
        <w:t xml:space="preserve">положительной динамики реальной заработной платы, а также увеличения пенсионных и социальных выплат уязвимым группам населения прогнозируется устойчивый рост реальных располагаемых доходов населения в Самарской области  в 2022 году – 103,4% к предыдущему году, в 2023 году – 103,1%, в 2024 году – 103%. </w:t>
      </w:r>
      <w:r w:rsidRPr="00E43B00">
        <w:rPr>
          <w:rFonts w:ascii="Times New Roman" w:hAnsi="Times New Roman"/>
          <w:sz w:val="28"/>
          <w:szCs w:val="28"/>
        </w:rPr>
        <w:t>В целом за прогнозный период (2024 год к 2020 году) показатель увеличится на 10,7%. По муниципалитетам данный показатель органами статистики не рассчитывается.</w:t>
      </w:r>
    </w:p>
    <w:p w14:paraId="43F975A6" w14:textId="09A04B66" w:rsidR="00CA1EE3" w:rsidRPr="006924C5" w:rsidRDefault="00CA1EE3" w:rsidP="00A56CAF">
      <w:pPr>
        <w:tabs>
          <w:tab w:val="left" w:pos="8208"/>
        </w:tabs>
        <w:spacing w:after="0"/>
        <w:ind w:firstLine="720"/>
        <w:jc w:val="both"/>
        <w:rPr>
          <w:rFonts w:ascii="Times New Roman" w:hAnsi="Times New Roman"/>
          <w:sz w:val="28"/>
          <w:szCs w:val="28"/>
        </w:rPr>
      </w:pPr>
      <w:r w:rsidRPr="006924C5">
        <w:rPr>
          <w:rFonts w:ascii="Times New Roman" w:hAnsi="Times New Roman"/>
          <w:sz w:val="28"/>
          <w:szCs w:val="28"/>
        </w:rPr>
        <w:t xml:space="preserve">В среднесрочной перспективе динамика заработных плат работников организаций будет определяться изменениями экономической ситуации. На обеспечение устойчивого роста оплаты труда работников будут направлены следующие меры государственной политики: </w:t>
      </w:r>
    </w:p>
    <w:p w14:paraId="35D07E47" w14:textId="3DED5CA9" w:rsidR="006924C5" w:rsidRPr="006924C5" w:rsidRDefault="000A345D" w:rsidP="00A56CAF">
      <w:pPr>
        <w:pStyle w:val="aa"/>
        <w:spacing w:before="0" w:after="0" w:line="276" w:lineRule="auto"/>
        <w:ind w:firstLine="720"/>
        <w:jc w:val="both"/>
        <w:rPr>
          <w:sz w:val="28"/>
          <w:szCs w:val="28"/>
          <w:lang w:eastAsia="ru-RU"/>
        </w:rPr>
      </w:pPr>
      <w:r w:rsidRPr="006924C5">
        <w:rPr>
          <w:sz w:val="28"/>
          <w:szCs w:val="28"/>
          <w:lang w:eastAsia="ru-RU"/>
        </w:rPr>
        <w:t xml:space="preserve">- </w:t>
      </w:r>
      <w:r w:rsidR="00CA1EE3" w:rsidRPr="006924C5">
        <w:rPr>
          <w:sz w:val="28"/>
          <w:szCs w:val="28"/>
          <w:lang w:eastAsia="ru-RU"/>
        </w:rPr>
        <w:t>ежегодное установление минимального размера оплаты труда (МРОТ) исходя из величины медианной заработной платы, рассчитанной Росстатом за год, предшествующий принятию закона</w:t>
      </w:r>
      <w:r w:rsidR="006924C5" w:rsidRPr="006924C5">
        <w:rPr>
          <w:sz w:val="28"/>
          <w:szCs w:val="28"/>
          <w:lang w:eastAsia="ru-RU"/>
        </w:rPr>
        <w:t xml:space="preserve">. Государственная Дума РФ </w:t>
      </w:r>
      <w:r w:rsidR="006924C5">
        <w:rPr>
          <w:sz w:val="28"/>
          <w:szCs w:val="28"/>
          <w:lang w:eastAsia="ru-RU"/>
        </w:rPr>
        <w:t xml:space="preserve">планирует </w:t>
      </w:r>
      <w:r w:rsidR="006924C5" w:rsidRPr="006924C5">
        <w:rPr>
          <w:sz w:val="28"/>
          <w:szCs w:val="28"/>
          <w:lang w:eastAsia="ru-RU"/>
        </w:rPr>
        <w:t>рассмотр</w:t>
      </w:r>
      <w:r w:rsidR="006924C5">
        <w:rPr>
          <w:sz w:val="28"/>
          <w:szCs w:val="28"/>
          <w:lang w:eastAsia="ru-RU"/>
        </w:rPr>
        <w:t>еть</w:t>
      </w:r>
      <w:r w:rsidR="006924C5" w:rsidRPr="006924C5">
        <w:rPr>
          <w:sz w:val="28"/>
          <w:szCs w:val="28"/>
          <w:lang w:eastAsia="ru-RU"/>
        </w:rPr>
        <w:t xml:space="preserve"> законопроект об увеличении МРОТ с 2022 года на 825 руб</w:t>
      </w:r>
      <w:r w:rsidR="006924C5">
        <w:rPr>
          <w:sz w:val="28"/>
          <w:szCs w:val="28"/>
          <w:lang w:eastAsia="ru-RU"/>
        </w:rPr>
        <w:t>лей</w:t>
      </w:r>
      <w:r w:rsidR="006924C5" w:rsidRPr="006924C5">
        <w:rPr>
          <w:sz w:val="28"/>
          <w:szCs w:val="28"/>
          <w:lang w:eastAsia="ru-RU"/>
        </w:rPr>
        <w:t xml:space="preserve"> до 13 617 руб</w:t>
      </w:r>
      <w:r w:rsidR="006924C5">
        <w:rPr>
          <w:sz w:val="28"/>
          <w:szCs w:val="28"/>
          <w:lang w:eastAsia="ru-RU"/>
        </w:rPr>
        <w:t>лей;</w:t>
      </w:r>
    </w:p>
    <w:p w14:paraId="45C067B1" w14:textId="1460BCF3" w:rsidR="00CA1EE3" w:rsidRPr="006924C5" w:rsidRDefault="00E43B00" w:rsidP="00A56CAF">
      <w:pPr>
        <w:tabs>
          <w:tab w:val="left" w:pos="8208"/>
        </w:tabs>
        <w:spacing w:after="0"/>
        <w:ind w:firstLine="720"/>
        <w:jc w:val="both"/>
        <w:rPr>
          <w:rFonts w:ascii="Times New Roman" w:hAnsi="Times New Roman"/>
          <w:sz w:val="28"/>
          <w:szCs w:val="28"/>
        </w:rPr>
      </w:pPr>
      <w:r w:rsidRPr="006924C5">
        <w:rPr>
          <w:rFonts w:ascii="Times New Roman" w:hAnsi="Times New Roman"/>
          <w:sz w:val="28"/>
          <w:szCs w:val="28"/>
        </w:rPr>
        <w:t xml:space="preserve">- </w:t>
      </w:r>
      <w:r w:rsidR="00CA1EE3" w:rsidRPr="006924C5">
        <w:rPr>
          <w:rFonts w:ascii="Times New Roman" w:hAnsi="Times New Roman"/>
          <w:sz w:val="28"/>
          <w:szCs w:val="28"/>
        </w:rPr>
        <w:t xml:space="preserve">поддержание достигнутых уровней заработной платы отдельных категорий работников, определенных указами Президента Российской Федерации (в том числе в целях решения задач, поставленных Указом Президента Российской Федерации 21 июля 2020 г. № 474 «О национальных целях развития Российской Федерации на период до 2030 года»); </w:t>
      </w:r>
    </w:p>
    <w:p w14:paraId="79ECD38C" w14:textId="48E9D3E0" w:rsidR="00CA1EE3" w:rsidRPr="000A345D" w:rsidRDefault="00E43B00" w:rsidP="00A56CAF">
      <w:pPr>
        <w:tabs>
          <w:tab w:val="left" w:pos="8208"/>
        </w:tabs>
        <w:spacing w:after="0"/>
        <w:ind w:firstLine="709"/>
        <w:jc w:val="both"/>
        <w:rPr>
          <w:rFonts w:ascii="Times New Roman" w:hAnsi="Times New Roman"/>
          <w:sz w:val="28"/>
          <w:szCs w:val="28"/>
        </w:rPr>
      </w:pPr>
      <w:r>
        <w:rPr>
          <w:rFonts w:ascii="Times New Roman" w:hAnsi="Times New Roman"/>
          <w:sz w:val="28"/>
          <w:szCs w:val="28"/>
        </w:rPr>
        <w:t>-</w:t>
      </w:r>
      <w:r w:rsidR="006924C5">
        <w:rPr>
          <w:rFonts w:ascii="Times New Roman" w:hAnsi="Times New Roman"/>
          <w:sz w:val="28"/>
          <w:szCs w:val="28"/>
        </w:rPr>
        <w:t xml:space="preserve"> </w:t>
      </w:r>
      <w:r w:rsidR="00CA1EE3" w:rsidRPr="000A345D">
        <w:rPr>
          <w:rFonts w:ascii="Times New Roman" w:hAnsi="Times New Roman"/>
          <w:sz w:val="28"/>
          <w:szCs w:val="28"/>
        </w:rPr>
        <w:t xml:space="preserve">проведение ежегодной индексации заработной платы иных категорий работников организаций бюджетной сферы. </w:t>
      </w:r>
    </w:p>
    <w:p w14:paraId="168F1337" w14:textId="0D7CA849" w:rsidR="00CA1EE3" w:rsidRPr="00506CD3" w:rsidRDefault="00CA1EE3" w:rsidP="00A56CAF">
      <w:pPr>
        <w:tabs>
          <w:tab w:val="left" w:pos="8208"/>
        </w:tabs>
        <w:spacing w:after="0"/>
        <w:ind w:firstLine="720"/>
        <w:jc w:val="both"/>
        <w:rPr>
          <w:rFonts w:ascii="Times New Roman" w:hAnsi="Times New Roman"/>
          <w:sz w:val="28"/>
          <w:szCs w:val="28"/>
        </w:rPr>
      </w:pPr>
      <w:r w:rsidRPr="00506CD3">
        <w:rPr>
          <w:rFonts w:ascii="Times New Roman" w:hAnsi="Times New Roman"/>
          <w:sz w:val="28"/>
          <w:szCs w:val="28"/>
        </w:rPr>
        <w:t>Во внебюджетном секторе рост заработной платы в целом будет определяться динамикой производительности труда и предложением трудовых ресурсов на рынке труда при сохранении спроса на них.</w:t>
      </w:r>
    </w:p>
    <w:p w14:paraId="16CB6116" w14:textId="24B45AF2" w:rsidR="008B6F4C" w:rsidRPr="006924C5" w:rsidRDefault="008B6F4C" w:rsidP="00A56CAF">
      <w:pPr>
        <w:spacing w:after="0"/>
        <w:ind w:firstLine="708"/>
        <w:jc w:val="both"/>
        <w:rPr>
          <w:rFonts w:ascii="Times New Roman" w:hAnsi="Times New Roman"/>
          <w:sz w:val="28"/>
          <w:szCs w:val="28"/>
        </w:rPr>
      </w:pPr>
      <w:r w:rsidRPr="006924C5">
        <w:rPr>
          <w:rFonts w:ascii="Times New Roman" w:hAnsi="Times New Roman"/>
          <w:sz w:val="28"/>
          <w:szCs w:val="28"/>
        </w:rPr>
        <w:t>По консервативному варианту в прогнозном периоде ожидается более сдержанный</w:t>
      </w:r>
      <w:r w:rsidR="006924C5" w:rsidRPr="006924C5">
        <w:rPr>
          <w:rFonts w:ascii="Times New Roman" w:hAnsi="Times New Roman"/>
          <w:sz w:val="28"/>
          <w:szCs w:val="28"/>
        </w:rPr>
        <w:t xml:space="preserve"> рост заработной платы</w:t>
      </w:r>
      <w:r w:rsidR="00242835">
        <w:rPr>
          <w:rFonts w:ascii="Times New Roman" w:hAnsi="Times New Roman"/>
          <w:sz w:val="28"/>
          <w:szCs w:val="28"/>
        </w:rPr>
        <w:t xml:space="preserve"> за счет имеющихся рисков </w:t>
      </w:r>
      <w:r w:rsidR="00242835" w:rsidRPr="00751B58">
        <w:rPr>
          <w:rFonts w:ascii="Times New Roman" w:hAnsi="Times New Roman"/>
          <w:spacing w:val="-2"/>
          <w:sz w:val="28"/>
          <w:szCs w:val="28"/>
        </w:rPr>
        <w:t>неустойчивого развития</w:t>
      </w:r>
      <w:r w:rsidR="00242835">
        <w:rPr>
          <w:rFonts w:ascii="Times New Roman" w:hAnsi="Times New Roman"/>
          <w:spacing w:val="-2"/>
          <w:sz w:val="28"/>
          <w:szCs w:val="28"/>
        </w:rPr>
        <w:t xml:space="preserve"> экономики, связанных в том числе со сложной эпидемиологической обстановкой</w:t>
      </w:r>
      <w:r w:rsidRPr="006924C5">
        <w:rPr>
          <w:rFonts w:ascii="Times New Roman" w:hAnsi="Times New Roman"/>
          <w:sz w:val="28"/>
          <w:szCs w:val="28"/>
        </w:rPr>
        <w:t xml:space="preserve">. </w:t>
      </w:r>
    </w:p>
    <w:p w14:paraId="135839B3" w14:textId="78E57786" w:rsidR="008B6F4C" w:rsidRPr="00242835" w:rsidRDefault="008B6F4C" w:rsidP="00A56CAF">
      <w:pPr>
        <w:spacing w:after="0"/>
        <w:ind w:firstLine="708"/>
        <w:jc w:val="both"/>
        <w:rPr>
          <w:rFonts w:ascii="Times New Roman" w:hAnsi="Times New Roman"/>
          <w:sz w:val="28"/>
          <w:szCs w:val="28"/>
        </w:rPr>
      </w:pPr>
      <w:r w:rsidRPr="00E43B00">
        <w:rPr>
          <w:rFonts w:ascii="Times New Roman" w:hAnsi="Times New Roman"/>
          <w:sz w:val="28"/>
          <w:szCs w:val="28"/>
        </w:rPr>
        <w:t xml:space="preserve">Среднемесячная номинальная начисленная заработная плата </w:t>
      </w:r>
      <w:r w:rsidR="00E43B00" w:rsidRPr="00E43B00">
        <w:rPr>
          <w:rFonts w:ascii="Times New Roman" w:hAnsi="Times New Roman"/>
          <w:sz w:val="28"/>
          <w:szCs w:val="28"/>
        </w:rPr>
        <w:t xml:space="preserve">работников крупных, средних и малых организаций, а также </w:t>
      </w:r>
      <w:r w:rsidR="00E43B00" w:rsidRPr="00E43B00">
        <w:rPr>
          <w:rFonts w:ascii="Times New Roman" w:hAnsi="Times New Roman"/>
          <w:sz w:val="28"/>
          <w:szCs w:val="28"/>
        </w:rPr>
        <w:lastRenderedPageBreak/>
        <w:t>государственных и муниципальных учр</w:t>
      </w:r>
      <w:r w:rsidR="00E43B00">
        <w:rPr>
          <w:rFonts w:ascii="Times New Roman" w:hAnsi="Times New Roman"/>
          <w:sz w:val="28"/>
          <w:szCs w:val="28"/>
        </w:rPr>
        <w:t>е</w:t>
      </w:r>
      <w:r w:rsidR="00E43B00" w:rsidRPr="00E43B00">
        <w:rPr>
          <w:rFonts w:ascii="Times New Roman" w:hAnsi="Times New Roman"/>
          <w:sz w:val="28"/>
          <w:szCs w:val="28"/>
        </w:rPr>
        <w:t xml:space="preserve">ждений </w:t>
      </w:r>
      <w:r w:rsidRPr="00E43B00">
        <w:rPr>
          <w:rFonts w:ascii="Times New Roman" w:hAnsi="Times New Roman"/>
          <w:sz w:val="28"/>
          <w:szCs w:val="28"/>
        </w:rPr>
        <w:t xml:space="preserve">в 2022 году может составить </w:t>
      </w:r>
      <w:r w:rsidR="00E43B00">
        <w:rPr>
          <w:rFonts w:ascii="Times New Roman" w:hAnsi="Times New Roman"/>
          <w:sz w:val="28"/>
          <w:szCs w:val="28"/>
        </w:rPr>
        <w:t>42450</w:t>
      </w:r>
      <w:r w:rsidRPr="00E43B00">
        <w:rPr>
          <w:rFonts w:ascii="Times New Roman" w:hAnsi="Times New Roman"/>
          <w:sz w:val="28"/>
          <w:szCs w:val="28"/>
        </w:rPr>
        <w:t xml:space="preserve"> рублей </w:t>
      </w:r>
      <w:bookmarkStart w:id="7" w:name="_Hlk84575717"/>
      <w:r w:rsidRPr="00E43B00">
        <w:rPr>
          <w:rFonts w:ascii="Times New Roman" w:hAnsi="Times New Roman"/>
          <w:sz w:val="28"/>
          <w:szCs w:val="28"/>
        </w:rPr>
        <w:t>(</w:t>
      </w:r>
      <w:r w:rsidR="00AA2A96">
        <w:rPr>
          <w:rFonts w:ascii="Times New Roman" w:hAnsi="Times New Roman"/>
          <w:sz w:val="28"/>
          <w:szCs w:val="28"/>
        </w:rPr>
        <w:t>104,9</w:t>
      </w:r>
      <w:r w:rsidRPr="00E43B00">
        <w:rPr>
          <w:rFonts w:ascii="Times New Roman" w:hAnsi="Times New Roman"/>
          <w:sz w:val="28"/>
          <w:szCs w:val="28"/>
        </w:rPr>
        <w:t>% к 2021 году)</w:t>
      </w:r>
      <w:bookmarkEnd w:id="7"/>
      <w:r w:rsidRPr="00E43B00">
        <w:rPr>
          <w:rFonts w:ascii="Times New Roman" w:hAnsi="Times New Roman"/>
          <w:sz w:val="28"/>
          <w:szCs w:val="28"/>
        </w:rPr>
        <w:t xml:space="preserve">, </w:t>
      </w:r>
      <w:r w:rsidR="00E43B00">
        <w:rPr>
          <w:rFonts w:ascii="Times New Roman" w:hAnsi="Times New Roman"/>
          <w:sz w:val="28"/>
          <w:szCs w:val="28"/>
        </w:rPr>
        <w:t xml:space="preserve">в 2023 году – 45100 рублей </w:t>
      </w:r>
      <w:r w:rsidR="00E43B00" w:rsidRPr="00E43B00">
        <w:rPr>
          <w:rFonts w:ascii="Times New Roman" w:hAnsi="Times New Roman"/>
          <w:sz w:val="28"/>
          <w:szCs w:val="28"/>
        </w:rPr>
        <w:t>(</w:t>
      </w:r>
      <w:r w:rsidR="006924C5">
        <w:rPr>
          <w:rFonts w:ascii="Times New Roman" w:hAnsi="Times New Roman"/>
          <w:sz w:val="28"/>
          <w:szCs w:val="28"/>
        </w:rPr>
        <w:t>106,2</w:t>
      </w:r>
      <w:r w:rsidR="00E43B00" w:rsidRPr="00E43B00">
        <w:rPr>
          <w:rFonts w:ascii="Times New Roman" w:hAnsi="Times New Roman"/>
          <w:sz w:val="28"/>
          <w:szCs w:val="28"/>
        </w:rPr>
        <w:t>% к 202</w:t>
      </w:r>
      <w:r w:rsidR="006924C5">
        <w:rPr>
          <w:rFonts w:ascii="Times New Roman" w:hAnsi="Times New Roman"/>
          <w:sz w:val="28"/>
          <w:szCs w:val="28"/>
        </w:rPr>
        <w:t>2</w:t>
      </w:r>
      <w:r w:rsidR="00E43B00" w:rsidRPr="00E43B00">
        <w:rPr>
          <w:rFonts w:ascii="Times New Roman" w:hAnsi="Times New Roman"/>
          <w:sz w:val="28"/>
          <w:szCs w:val="28"/>
        </w:rPr>
        <w:t xml:space="preserve"> году)</w:t>
      </w:r>
      <w:r w:rsidR="006924C5">
        <w:rPr>
          <w:rFonts w:ascii="Times New Roman" w:hAnsi="Times New Roman"/>
          <w:sz w:val="28"/>
          <w:szCs w:val="28"/>
        </w:rPr>
        <w:t>,</w:t>
      </w:r>
      <w:r w:rsidR="00E43B00">
        <w:rPr>
          <w:rFonts w:ascii="Times New Roman" w:hAnsi="Times New Roman"/>
          <w:sz w:val="28"/>
          <w:szCs w:val="28"/>
        </w:rPr>
        <w:t xml:space="preserve"> </w:t>
      </w:r>
      <w:r w:rsidRPr="00E43B00">
        <w:rPr>
          <w:rFonts w:ascii="Times New Roman" w:hAnsi="Times New Roman"/>
          <w:sz w:val="28"/>
          <w:szCs w:val="28"/>
        </w:rPr>
        <w:t xml:space="preserve">в 2024 году </w:t>
      </w:r>
      <w:r w:rsidR="006924C5">
        <w:rPr>
          <w:rFonts w:ascii="Times New Roman" w:hAnsi="Times New Roman"/>
          <w:sz w:val="28"/>
          <w:szCs w:val="28"/>
        </w:rPr>
        <w:t>48 000 т</w:t>
      </w:r>
      <w:r w:rsidRPr="00E43B00">
        <w:rPr>
          <w:rFonts w:ascii="Times New Roman" w:hAnsi="Times New Roman"/>
          <w:sz w:val="28"/>
          <w:szCs w:val="28"/>
        </w:rPr>
        <w:t>ыс. рублей (</w:t>
      </w:r>
      <w:r w:rsidR="006924C5">
        <w:rPr>
          <w:rFonts w:ascii="Times New Roman" w:hAnsi="Times New Roman"/>
          <w:sz w:val="28"/>
          <w:szCs w:val="28"/>
        </w:rPr>
        <w:t>106,4</w:t>
      </w:r>
      <w:r w:rsidRPr="00E43B00">
        <w:rPr>
          <w:rFonts w:ascii="Times New Roman" w:hAnsi="Times New Roman"/>
          <w:sz w:val="28"/>
          <w:szCs w:val="28"/>
        </w:rPr>
        <w:t>% к 202</w:t>
      </w:r>
      <w:r w:rsidR="006924C5">
        <w:rPr>
          <w:rFonts w:ascii="Times New Roman" w:hAnsi="Times New Roman"/>
          <w:sz w:val="28"/>
          <w:szCs w:val="28"/>
        </w:rPr>
        <w:t>2</w:t>
      </w:r>
      <w:r w:rsidRPr="00E43B00">
        <w:rPr>
          <w:rFonts w:ascii="Times New Roman" w:hAnsi="Times New Roman"/>
          <w:sz w:val="28"/>
          <w:szCs w:val="28"/>
        </w:rPr>
        <w:t xml:space="preserve"> году). </w:t>
      </w:r>
      <w:r w:rsidR="00242835">
        <w:rPr>
          <w:rFonts w:ascii="Times New Roman" w:hAnsi="Times New Roman"/>
          <w:sz w:val="28"/>
          <w:szCs w:val="28"/>
        </w:rPr>
        <w:t>К 2024 году размер заработной платы увеличится в реальном выражении на 5,6% к уровню 2021 года.</w:t>
      </w:r>
    </w:p>
    <w:p w14:paraId="4E5A195A" w14:textId="20F03C05" w:rsidR="00242835" w:rsidRDefault="006924C5" w:rsidP="00A56CAF">
      <w:pPr>
        <w:spacing w:after="0"/>
        <w:ind w:firstLine="708"/>
        <w:jc w:val="both"/>
        <w:rPr>
          <w:rFonts w:ascii="Times New Roman" w:hAnsi="Times New Roman"/>
          <w:sz w:val="28"/>
          <w:szCs w:val="28"/>
        </w:rPr>
      </w:pPr>
      <w:r>
        <w:rPr>
          <w:rFonts w:ascii="Times New Roman" w:hAnsi="Times New Roman"/>
          <w:sz w:val="28"/>
          <w:szCs w:val="28"/>
        </w:rPr>
        <w:t xml:space="preserve">По базовому варианту прогноза темп роста заработной платы будет выше и </w:t>
      </w:r>
      <w:r w:rsidR="00AA2A96">
        <w:rPr>
          <w:rFonts w:ascii="Times New Roman" w:hAnsi="Times New Roman"/>
          <w:sz w:val="28"/>
          <w:szCs w:val="28"/>
        </w:rPr>
        <w:t xml:space="preserve">может </w:t>
      </w:r>
      <w:r>
        <w:rPr>
          <w:rFonts w:ascii="Times New Roman" w:hAnsi="Times New Roman"/>
          <w:sz w:val="28"/>
          <w:szCs w:val="28"/>
        </w:rPr>
        <w:t>составит</w:t>
      </w:r>
      <w:r w:rsidR="00AA2A96">
        <w:rPr>
          <w:rFonts w:ascii="Times New Roman" w:hAnsi="Times New Roman"/>
          <w:sz w:val="28"/>
          <w:szCs w:val="28"/>
        </w:rPr>
        <w:t>ь</w:t>
      </w:r>
      <w:r>
        <w:rPr>
          <w:rFonts w:ascii="Times New Roman" w:hAnsi="Times New Roman"/>
          <w:sz w:val="28"/>
          <w:szCs w:val="28"/>
        </w:rPr>
        <w:t xml:space="preserve">: </w:t>
      </w:r>
      <w:r w:rsidR="00AA2A96" w:rsidRPr="00E43B00">
        <w:rPr>
          <w:rFonts w:ascii="Times New Roman" w:hAnsi="Times New Roman"/>
          <w:sz w:val="28"/>
          <w:szCs w:val="28"/>
        </w:rPr>
        <w:t xml:space="preserve">в 2022 году </w:t>
      </w:r>
      <w:r w:rsidR="00AA2A96">
        <w:rPr>
          <w:rFonts w:ascii="Times New Roman" w:hAnsi="Times New Roman"/>
          <w:sz w:val="28"/>
          <w:szCs w:val="28"/>
        </w:rPr>
        <w:t>42800</w:t>
      </w:r>
      <w:r w:rsidR="00AA2A96" w:rsidRPr="00E43B00">
        <w:rPr>
          <w:rFonts w:ascii="Times New Roman" w:hAnsi="Times New Roman"/>
          <w:sz w:val="28"/>
          <w:szCs w:val="28"/>
        </w:rPr>
        <w:t xml:space="preserve"> рублей (</w:t>
      </w:r>
      <w:r w:rsidR="00AA2A96">
        <w:rPr>
          <w:rFonts w:ascii="Times New Roman" w:hAnsi="Times New Roman"/>
          <w:sz w:val="28"/>
          <w:szCs w:val="28"/>
        </w:rPr>
        <w:t>105,8</w:t>
      </w:r>
      <w:r w:rsidR="00AA2A96" w:rsidRPr="00E43B00">
        <w:rPr>
          <w:rFonts w:ascii="Times New Roman" w:hAnsi="Times New Roman"/>
          <w:sz w:val="28"/>
          <w:szCs w:val="28"/>
        </w:rPr>
        <w:t xml:space="preserve">% к 2021 году), </w:t>
      </w:r>
      <w:r w:rsidR="00AA2A96">
        <w:rPr>
          <w:rFonts w:ascii="Times New Roman" w:hAnsi="Times New Roman"/>
          <w:sz w:val="28"/>
          <w:szCs w:val="28"/>
        </w:rPr>
        <w:t xml:space="preserve">в 2023 году – 45850 рублей </w:t>
      </w:r>
      <w:r w:rsidR="00AA2A96" w:rsidRPr="00E43B00">
        <w:rPr>
          <w:rFonts w:ascii="Times New Roman" w:hAnsi="Times New Roman"/>
          <w:sz w:val="28"/>
          <w:szCs w:val="28"/>
        </w:rPr>
        <w:t>(</w:t>
      </w:r>
      <w:r w:rsidR="00AA2A96">
        <w:rPr>
          <w:rFonts w:ascii="Times New Roman" w:hAnsi="Times New Roman"/>
          <w:sz w:val="28"/>
          <w:szCs w:val="28"/>
        </w:rPr>
        <w:t>107,1</w:t>
      </w:r>
      <w:r w:rsidR="00AA2A96" w:rsidRPr="00E43B00">
        <w:rPr>
          <w:rFonts w:ascii="Times New Roman" w:hAnsi="Times New Roman"/>
          <w:sz w:val="28"/>
          <w:szCs w:val="28"/>
        </w:rPr>
        <w:t>% к 202</w:t>
      </w:r>
      <w:r w:rsidR="00AA2A96">
        <w:rPr>
          <w:rFonts w:ascii="Times New Roman" w:hAnsi="Times New Roman"/>
          <w:sz w:val="28"/>
          <w:szCs w:val="28"/>
        </w:rPr>
        <w:t>2</w:t>
      </w:r>
      <w:r w:rsidR="00AA2A96" w:rsidRPr="00E43B00">
        <w:rPr>
          <w:rFonts w:ascii="Times New Roman" w:hAnsi="Times New Roman"/>
          <w:sz w:val="28"/>
          <w:szCs w:val="28"/>
        </w:rPr>
        <w:t xml:space="preserve"> году)</w:t>
      </w:r>
      <w:r w:rsidR="00AA2A96">
        <w:rPr>
          <w:rFonts w:ascii="Times New Roman" w:hAnsi="Times New Roman"/>
          <w:sz w:val="28"/>
          <w:szCs w:val="28"/>
        </w:rPr>
        <w:t xml:space="preserve">, </w:t>
      </w:r>
      <w:r w:rsidR="00AA2A96" w:rsidRPr="00E43B00">
        <w:rPr>
          <w:rFonts w:ascii="Times New Roman" w:hAnsi="Times New Roman"/>
          <w:sz w:val="28"/>
          <w:szCs w:val="28"/>
        </w:rPr>
        <w:t xml:space="preserve">в 2024 году </w:t>
      </w:r>
      <w:r w:rsidR="00AA2A96">
        <w:rPr>
          <w:rFonts w:ascii="Times New Roman" w:hAnsi="Times New Roman"/>
          <w:sz w:val="28"/>
          <w:szCs w:val="28"/>
        </w:rPr>
        <w:t>49150 т</w:t>
      </w:r>
      <w:r w:rsidR="00AA2A96" w:rsidRPr="00E43B00">
        <w:rPr>
          <w:rFonts w:ascii="Times New Roman" w:hAnsi="Times New Roman"/>
          <w:sz w:val="28"/>
          <w:szCs w:val="28"/>
        </w:rPr>
        <w:t>ыс. рублей (</w:t>
      </w:r>
      <w:r w:rsidR="00AA2A96">
        <w:rPr>
          <w:rFonts w:ascii="Times New Roman" w:hAnsi="Times New Roman"/>
          <w:sz w:val="28"/>
          <w:szCs w:val="28"/>
        </w:rPr>
        <w:t>107,2</w:t>
      </w:r>
      <w:r w:rsidR="00AA2A96" w:rsidRPr="00E43B00">
        <w:rPr>
          <w:rFonts w:ascii="Times New Roman" w:hAnsi="Times New Roman"/>
          <w:sz w:val="28"/>
          <w:szCs w:val="28"/>
        </w:rPr>
        <w:t>% к 202</w:t>
      </w:r>
      <w:r w:rsidR="00AA2A96">
        <w:rPr>
          <w:rFonts w:ascii="Times New Roman" w:hAnsi="Times New Roman"/>
          <w:sz w:val="28"/>
          <w:szCs w:val="28"/>
        </w:rPr>
        <w:t>3</w:t>
      </w:r>
      <w:r w:rsidR="00AA2A96" w:rsidRPr="00E43B00">
        <w:rPr>
          <w:rFonts w:ascii="Times New Roman" w:hAnsi="Times New Roman"/>
          <w:sz w:val="28"/>
          <w:szCs w:val="28"/>
        </w:rPr>
        <w:t xml:space="preserve"> году). </w:t>
      </w:r>
      <w:r w:rsidR="00242835">
        <w:rPr>
          <w:rFonts w:ascii="Times New Roman" w:hAnsi="Times New Roman"/>
          <w:sz w:val="28"/>
          <w:szCs w:val="28"/>
        </w:rPr>
        <w:t>К 2024 году размер заработной платы увеличится в реальном выражении на 8,2% к уровню 2021 года.</w:t>
      </w:r>
    </w:p>
    <w:p w14:paraId="27588FF4" w14:textId="7E4A2FBE" w:rsidR="00242835" w:rsidRDefault="00242835" w:rsidP="00A56CAF">
      <w:pPr>
        <w:spacing w:after="0"/>
        <w:ind w:firstLine="708"/>
        <w:jc w:val="both"/>
        <w:rPr>
          <w:rFonts w:ascii="Times New Roman" w:hAnsi="Times New Roman"/>
          <w:sz w:val="28"/>
          <w:szCs w:val="28"/>
        </w:rPr>
      </w:pPr>
      <w:r>
        <w:rPr>
          <w:rFonts w:ascii="Times New Roman" w:hAnsi="Times New Roman"/>
          <w:sz w:val="28"/>
          <w:szCs w:val="28"/>
        </w:rPr>
        <w:t>Заработная плата работников организаций, не относящихся к субъектам малого предпринимательства, будет также расти и ее размер к 2024 году в реальном выражении увеличится на 5,7% и 8,4% по вариантам к уровню 2021 года.</w:t>
      </w:r>
    </w:p>
    <w:p w14:paraId="04F0EFDA" w14:textId="77777777" w:rsidR="009E5DEF" w:rsidRPr="009E5DEF" w:rsidRDefault="009E5DEF" w:rsidP="00A56CAF">
      <w:pPr>
        <w:widowControl w:val="0"/>
        <w:autoSpaceDE w:val="0"/>
        <w:autoSpaceDN w:val="0"/>
        <w:adjustRightInd w:val="0"/>
        <w:spacing w:after="0"/>
        <w:ind w:firstLine="708"/>
        <w:jc w:val="both"/>
        <w:rPr>
          <w:rFonts w:ascii="Times New Roman" w:hAnsi="Times New Roman"/>
          <w:sz w:val="28"/>
          <w:szCs w:val="28"/>
        </w:rPr>
      </w:pPr>
      <w:r w:rsidRPr="009E5DEF">
        <w:rPr>
          <w:rFonts w:ascii="Times New Roman" w:hAnsi="Times New Roman"/>
          <w:sz w:val="28"/>
          <w:szCs w:val="28"/>
        </w:rPr>
        <w:t>В 2022-2024 гг. планируются реализация инвестиционных проектов резидентами территории опережающего социально-экономического развития «Тольятти», ОЭЗ ППТ «Тольятти», индустриальных парков, а также строительство и реконструкция на территории города социальных и инфраструктурных объектов, что способствует привлечению высококвалифицированных специалистов, повышению производительности труда и росту заработной платы.</w:t>
      </w:r>
    </w:p>
    <w:p w14:paraId="5CE1EDE3" w14:textId="57FEF3C6" w:rsidR="00CA1EE3" w:rsidRPr="00242835" w:rsidRDefault="00CA1EE3" w:rsidP="00A56CAF">
      <w:pPr>
        <w:spacing w:after="0"/>
        <w:ind w:firstLine="709"/>
        <w:jc w:val="both"/>
        <w:rPr>
          <w:rFonts w:ascii="Times New Roman" w:hAnsi="Times New Roman"/>
          <w:sz w:val="28"/>
          <w:szCs w:val="28"/>
        </w:rPr>
      </w:pPr>
      <w:r w:rsidRPr="00242835">
        <w:rPr>
          <w:rFonts w:ascii="Times New Roman" w:hAnsi="Times New Roman"/>
          <w:sz w:val="28"/>
          <w:szCs w:val="28"/>
        </w:rPr>
        <w:t xml:space="preserve">По данным министерства экономического развития Российской Федерации в целях повышения доходов граждан в прогнозном периоде будут реализованы меры социальной политики: </w:t>
      </w:r>
    </w:p>
    <w:p w14:paraId="3A1C7004" w14:textId="16F03D05" w:rsidR="00CA1EE3" w:rsidRPr="00242835" w:rsidRDefault="00242835" w:rsidP="00A56CAF">
      <w:pPr>
        <w:spacing w:after="0"/>
        <w:ind w:firstLine="709"/>
        <w:jc w:val="both"/>
        <w:rPr>
          <w:rFonts w:ascii="Times New Roman" w:hAnsi="Times New Roman"/>
          <w:sz w:val="28"/>
          <w:szCs w:val="28"/>
        </w:rPr>
      </w:pPr>
      <w:r>
        <w:rPr>
          <w:rFonts w:ascii="Times New Roman" w:hAnsi="Times New Roman"/>
          <w:sz w:val="28"/>
          <w:szCs w:val="28"/>
        </w:rPr>
        <w:t>- </w:t>
      </w:r>
      <w:r w:rsidR="00CA1EE3" w:rsidRPr="00242835">
        <w:rPr>
          <w:rFonts w:ascii="Times New Roman" w:hAnsi="Times New Roman"/>
          <w:sz w:val="28"/>
          <w:szCs w:val="28"/>
        </w:rPr>
        <w:t xml:space="preserve">ежегодная индексация социальных выплат с 1 февраля соответствующего года с учетом уровня инфляции; </w:t>
      </w:r>
    </w:p>
    <w:p w14:paraId="1B16DCAF" w14:textId="5448C33D" w:rsidR="00CA1EE3" w:rsidRPr="00242835" w:rsidRDefault="00242835" w:rsidP="00A56CAF">
      <w:pPr>
        <w:spacing w:after="0"/>
        <w:ind w:firstLine="709"/>
        <w:jc w:val="both"/>
        <w:rPr>
          <w:rFonts w:ascii="Times New Roman" w:hAnsi="Times New Roman"/>
          <w:sz w:val="28"/>
          <w:szCs w:val="28"/>
        </w:rPr>
      </w:pPr>
      <w:r>
        <w:rPr>
          <w:rFonts w:ascii="Times New Roman" w:hAnsi="Times New Roman"/>
          <w:sz w:val="28"/>
          <w:szCs w:val="28"/>
        </w:rPr>
        <w:t xml:space="preserve">- </w:t>
      </w:r>
      <w:r w:rsidR="00CA1EE3" w:rsidRPr="00242835">
        <w:rPr>
          <w:rFonts w:ascii="Times New Roman" w:hAnsi="Times New Roman"/>
          <w:sz w:val="28"/>
          <w:szCs w:val="28"/>
        </w:rPr>
        <w:t xml:space="preserve">предоставление социальных доплат к пенсии; </w:t>
      </w:r>
    </w:p>
    <w:p w14:paraId="2DC993DA" w14:textId="540E5461" w:rsidR="00CA1EE3" w:rsidRPr="00242835" w:rsidRDefault="00242835" w:rsidP="00A56CAF">
      <w:pPr>
        <w:spacing w:after="0"/>
        <w:ind w:firstLine="709"/>
        <w:jc w:val="both"/>
        <w:rPr>
          <w:rFonts w:ascii="Times New Roman" w:hAnsi="Times New Roman"/>
          <w:sz w:val="28"/>
          <w:szCs w:val="28"/>
        </w:rPr>
      </w:pPr>
      <w:r>
        <w:rPr>
          <w:rFonts w:ascii="Times New Roman" w:hAnsi="Times New Roman"/>
          <w:sz w:val="28"/>
          <w:szCs w:val="28"/>
        </w:rPr>
        <w:t>- </w:t>
      </w:r>
      <w:r w:rsidR="00CA1EE3" w:rsidRPr="00242835">
        <w:rPr>
          <w:rFonts w:ascii="Times New Roman" w:hAnsi="Times New Roman"/>
          <w:sz w:val="28"/>
          <w:szCs w:val="28"/>
        </w:rPr>
        <w:t xml:space="preserve">продолжится предоставление в соответствии с законодательством Российской Федерации иных социальных выплат и компенсаций отдельным категориям граждан, а также мер социальной поддержки за счет средств бюджетов субъектов Российской Федерации; </w:t>
      </w:r>
    </w:p>
    <w:p w14:paraId="2AA2EF2A" w14:textId="23180E8C" w:rsidR="00CA1EE3" w:rsidRPr="00242835" w:rsidRDefault="00242835" w:rsidP="00A56CAF">
      <w:pPr>
        <w:spacing w:after="0"/>
        <w:ind w:firstLine="709"/>
        <w:jc w:val="both"/>
        <w:rPr>
          <w:rFonts w:ascii="Times New Roman" w:hAnsi="Times New Roman"/>
          <w:sz w:val="28"/>
          <w:szCs w:val="28"/>
        </w:rPr>
      </w:pPr>
      <w:r>
        <w:rPr>
          <w:rFonts w:ascii="Times New Roman" w:hAnsi="Times New Roman"/>
          <w:sz w:val="28"/>
          <w:szCs w:val="28"/>
        </w:rPr>
        <w:t>- </w:t>
      </w:r>
      <w:r w:rsidR="00CA1EE3" w:rsidRPr="00242835">
        <w:rPr>
          <w:rFonts w:ascii="Times New Roman" w:hAnsi="Times New Roman"/>
          <w:sz w:val="28"/>
          <w:szCs w:val="28"/>
        </w:rPr>
        <w:t>развитие практики оказания государственной социальной помощи малообеспеченным гражданам на условиях социального контракта (с 2021 г</w:t>
      </w:r>
      <w:r w:rsidR="005272FF">
        <w:rPr>
          <w:rFonts w:ascii="Times New Roman" w:hAnsi="Times New Roman"/>
          <w:sz w:val="28"/>
          <w:szCs w:val="28"/>
        </w:rPr>
        <w:t>ода</w:t>
      </w:r>
      <w:r w:rsidR="00CA1EE3" w:rsidRPr="00242835">
        <w:rPr>
          <w:rFonts w:ascii="Times New Roman" w:hAnsi="Times New Roman"/>
          <w:sz w:val="28"/>
          <w:szCs w:val="28"/>
        </w:rPr>
        <w:t xml:space="preserve"> введено </w:t>
      </w:r>
      <w:proofErr w:type="spellStart"/>
      <w:r w:rsidR="00CA1EE3" w:rsidRPr="00242835">
        <w:rPr>
          <w:rFonts w:ascii="Times New Roman" w:hAnsi="Times New Roman"/>
          <w:sz w:val="28"/>
          <w:szCs w:val="28"/>
        </w:rPr>
        <w:t>софинансирование</w:t>
      </w:r>
      <w:proofErr w:type="spellEnd"/>
      <w:r w:rsidR="00CA1EE3" w:rsidRPr="00242835">
        <w:rPr>
          <w:rFonts w:ascii="Times New Roman" w:hAnsi="Times New Roman"/>
          <w:sz w:val="28"/>
          <w:szCs w:val="28"/>
        </w:rPr>
        <w:t xml:space="preserve"> из федерального бюджета расходов всех субъектов Российской Федерации на указанные цели); </w:t>
      </w:r>
    </w:p>
    <w:p w14:paraId="5A6B70B7" w14:textId="18849C8F" w:rsidR="00CA1EE3" w:rsidRPr="00242835" w:rsidRDefault="00242835" w:rsidP="00A56CAF">
      <w:pPr>
        <w:spacing w:after="0"/>
        <w:ind w:firstLine="709"/>
        <w:jc w:val="both"/>
        <w:rPr>
          <w:rFonts w:ascii="Times New Roman" w:hAnsi="Times New Roman"/>
          <w:sz w:val="28"/>
          <w:szCs w:val="28"/>
        </w:rPr>
      </w:pPr>
      <w:r>
        <w:rPr>
          <w:rFonts w:ascii="Times New Roman" w:hAnsi="Times New Roman"/>
          <w:sz w:val="28"/>
          <w:szCs w:val="28"/>
        </w:rPr>
        <w:t>- </w:t>
      </w:r>
      <w:r w:rsidR="00CA1EE3" w:rsidRPr="00242835">
        <w:rPr>
          <w:rFonts w:ascii="Times New Roman" w:hAnsi="Times New Roman"/>
          <w:sz w:val="28"/>
          <w:szCs w:val="28"/>
        </w:rPr>
        <w:t xml:space="preserve">повышение адресности социальных выплат на основании внедрения комплексной оценки нуждаемости с применением механизма «Социального казначейства», систематизация (унификация) мер социальной поддержки, предоставляемых на федеральном, региональном и муниципальном уровнях, </w:t>
      </w:r>
      <w:r w:rsidR="00CA1EE3" w:rsidRPr="00242835">
        <w:rPr>
          <w:rFonts w:ascii="Times New Roman" w:hAnsi="Times New Roman"/>
          <w:sz w:val="28"/>
          <w:szCs w:val="28"/>
        </w:rPr>
        <w:lastRenderedPageBreak/>
        <w:t xml:space="preserve">и установление единых основных требований к порядку назначения и осуществления региональных и муниципальных мер социальной поддержки; </w:t>
      </w:r>
    </w:p>
    <w:p w14:paraId="5434CD6F" w14:textId="16EC6FA5" w:rsidR="00CA1EE3" w:rsidRPr="00242835" w:rsidRDefault="00242835" w:rsidP="00A56CAF">
      <w:pPr>
        <w:spacing w:after="0"/>
        <w:ind w:firstLine="709"/>
        <w:jc w:val="both"/>
        <w:rPr>
          <w:rFonts w:ascii="Times New Roman" w:hAnsi="Times New Roman"/>
          <w:sz w:val="28"/>
          <w:szCs w:val="28"/>
        </w:rPr>
      </w:pPr>
      <w:r>
        <w:rPr>
          <w:rFonts w:ascii="Times New Roman" w:hAnsi="Times New Roman"/>
          <w:sz w:val="28"/>
          <w:szCs w:val="28"/>
        </w:rPr>
        <w:t>- </w:t>
      </w:r>
      <w:r w:rsidR="00CA1EE3" w:rsidRPr="00242835">
        <w:rPr>
          <w:rFonts w:ascii="Times New Roman" w:hAnsi="Times New Roman"/>
          <w:sz w:val="28"/>
          <w:szCs w:val="28"/>
        </w:rPr>
        <w:t xml:space="preserve">реализация субъектами Российской Федерации региональных программ, направленных на увеличение реальных доходов граждан и снижение уровня бедности; </w:t>
      </w:r>
    </w:p>
    <w:p w14:paraId="60FC3E0F" w14:textId="245E1161" w:rsidR="00CA1EE3" w:rsidRPr="00242835" w:rsidRDefault="00242835" w:rsidP="00A43C33">
      <w:pPr>
        <w:spacing w:after="0"/>
        <w:ind w:firstLine="709"/>
        <w:jc w:val="both"/>
        <w:rPr>
          <w:rFonts w:ascii="Times New Roman" w:hAnsi="Times New Roman"/>
          <w:sz w:val="28"/>
          <w:szCs w:val="28"/>
        </w:rPr>
      </w:pPr>
      <w:r>
        <w:rPr>
          <w:rFonts w:ascii="Times New Roman" w:hAnsi="Times New Roman"/>
          <w:sz w:val="28"/>
          <w:szCs w:val="28"/>
        </w:rPr>
        <w:t>- </w:t>
      </w:r>
      <w:r w:rsidR="00CA1EE3" w:rsidRPr="00242835">
        <w:rPr>
          <w:rFonts w:ascii="Times New Roman" w:hAnsi="Times New Roman"/>
          <w:sz w:val="28"/>
          <w:szCs w:val="28"/>
        </w:rPr>
        <w:t xml:space="preserve">предоставление пособий, установленных Федеральным законом от 19 мая 1995 № 81-ФЗ «О государственных пособиях гражданам, имеющим детей», в том числе осуществление с 1 июля 2021 г. ежемесячных пособий женщине, вставшей на учет в медицинской организации в ранние сроки беременности, и на ребенка в возрасте от 8 до 17 лет; </w:t>
      </w:r>
    </w:p>
    <w:p w14:paraId="71BA8B4D" w14:textId="15DF695B" w:rsidR="00CA1EE3" w:rsidRPr="00242835" w:rsidRDefault="00242835" w:rsidP="00A43C33">
      <w:pPr>
        <w:spacing w:after="0"/>
        <w:ind w:firstLine="709"/>
        <w:jc w:val="both"/>
        <w:rPr>
          <w:rFonts w:ascii="Times New Roman" w:hAnsi="Times New Roman"/>
          <w:sz w:val="28"/>
          <w:szCs w:val="28"/>
        </w:rPr>
      </w:pPr>
      <w:r>
        <w:rPr>
          <w:rFonts w:ascii="Times New Roman" w:hAnsi="Times New Roman"/>
          <w:sz w:val="28"/>
          <w:szCs w:val="28"/>
        </w:rPr>
        <w:t>- </w:t>
      </w:r>
      <w:r w:rsidR="00CA1EE3" w:rsidRPr="00242835">
        <w:rPr>
          <w:rFonts w:ascii="Times New Roman" w:hAnsi="Times New Roman"/>
          <w:sz w:val="28"/>
          <w:szCs w:val="28"/>
        </w:rPr>
        <w:t>осуществление нуждающимся семьям ежемесячной денежной выплаты на детей от трех до семи лет включительно, размер которой с 1 апреля 2021 г</w:t>
      </w:r>
      <w:r w:rsidR="005272FF">
        <w:rPr>
          <w:rFonts w:ascii="Times New Roman" w:hAnsi="Times New Roman"/>
          <w:sz w:val="28"/>
          <w:szCs w:val="28"/>
        </w:rPr>
        <w:t>ода</w:t>
      </w:r>
      <w:r w:rsidR="00CA1EE3" w:rsidRPr="00242835">
        <w:rPr>
          <w:rFonts w:ascii="Times New Roman" w:hAnsi="Times New Roman"/>
          <w:sz w:val="28"/>
          <w:szCs w:val="28"/>
        </w:rPr>
        <w:t xml:space="preserve"> носит дифференцируемый характер (50%, 75% и 100% регионального прожиточного минимума для детей) в зависимости от нуждаемости получателей указанной выплаты.</w:t>
      </w:r>
    </w:p>
    <w:p w14:paraId="0826D061" w14:textId="4D720447" w:rsidR="00252845" w:rsidRPr="00B000B1" w:rsidRDefault="00252845" w:rsidP="005848E6">
      <w:pPr>
        <w:spacing w:before="120" w:after="0"/>
        <w:jc w:val="center"/>
        <w:rPr>
          <w:rFonts w:ascii="Times New Roman" w:hAnsi="Times New Roman"/>
          <w:b/>
          <w:sz w:val="28"/>
          <w:szCs w:val="28"/>
        </w:rPr>
      </w:pPr>
      <w:r w:rsidRPr="00B000B1">
        <w:rPr>
          <w:rFonts w:ascii="Times New Roman" w:hAnsi="Times New Roman"/>
          <w:b/>
          <w:sz w:val="28"/>
          <w:szCs w:val="28"/>
        </w:rPr>
        <w:t>Транспорт</w:t>
      </w:r>
      <w:bookmarkStart w:id="8" w:name="транспорт"/>
      <w:bookmarkEnd w:id="8"/>
    </w:p>
    <w:p w14:paraId="37D31DE8" w14:textId="77777777" w:rsidR="00B000B1" w:rsidRPr="00B000B1" w:rsidRDefault="00B000B1" w:rsidP="005848E6">
      <w:pPr>
        <w:spacing w:before="120" w:after="0"/>
        <w:ind w:firstLine="709"/>
        <w:jc w:val="both"/>
        <w:rPr>
          <w:rFonts w:ascii="Times New Roman" w:hAnsi="Times New Roman"/>
          <w:color w:val="000000"/>
          <w:sz w:val="28"/>
          <w:szCs w:val="28"/>
          <w:lang w:eastAsia="ar-SA"/>
        </w:rPr>
      </w:pPr>
      <w:r w:rsidRPr="00B000B1">
        <w:rPr>
          <w:rFonts w:ascii="Times New Roman" w:hAnsi="Times New Roman"/>
          <w:color w:val="000000"/>
          <w:sz w:val="28"/>
          <w:szCs w:val="28"/>
          <w:lang w:eastAsia="ar-SA"/>
        </w:rPr>
        <w:t xml:space="preserve">Создание условий для предоставления транспортных услуг населению и организациям транспортного обслуживания населения в границах городского округа Тольятти является одним из важных вопросов местного значения. </w:t>
      </w:r>
    </w:p>
    <w:p w14:paraId="392F313D" w14:textId="7B703CCE" w:rsidR="00B000B1" w:rsidRPr="00B000B1" w:rsidRDefault="00B000B1" w:rsidP="00EE6E8F">
      <w:pPr>
        <w:spacing w:after="0"/>
        <w:ind w:firstLine="709"/>
        <w:jc w:val="both"/>
        <w:rPr>
          <w:rFonts w:ascii="Times New Roman" w:hAnsi="Times New Roman"/>
          <w:color w:val="000000"/>
          <w:sz w:val="28"/>
          <w:szCs w:val="28"/>
          <w:lang w:eastAsia="ar-SA"/>
        </w:rPr>
      </w:pPr>
      <w:r w:rsidRPr="00B000B1">
        <w:rPr>
          <w:rFonts w:ascii="Times New Roman" w:hAnsi="Times New Roman"/>
          <w:color w:val="000000"/>
          <w:sz w:val="28"/>
          <w:szCs w:val="28"/>
          <w:lang w:eastAsia="ar-SA"/>
        </w:rPr>
        <w:t xml:space="preserve">По первому и второму вариантам </w:t>
      </w:r>
      <w:r>
        <w:rPr>
          <w:rFonts w:ascii="Times New Roman" w:hAnsi="Times New Roman"/>
          <w:color w:val="000000"/>
          <w:sz w:val="28"/>
          <w:szCs w:val="28"/>
          <w:lang w:eastAsia="ar-SA"/>
        </w:rPr>
        <w:t xml:space="preserve">показатель пассажирооборота спрогнозирован </w:t>
      </w:r>
      <w:r w:rsidRPr="00B000B1">
        <w:rPr>
          <w:rFonts w:ascii="Times New Roman" w:hAnsi="Times New Roman"/>
          <w:color w:val="000000"/>
          <w:sz w:val="28"/>
          <w:szCs w:val="28"/>
          <w:lang w:eastAsia="ar-SA"/>
        </w:rPr>
        <w:t>исходя из планового количества пассажиров в прогнозном периоде и средней дальности поездки одного пассажира.</w:t>
      </w:r>
      <w:r>
        <w:rPr>
          <w:rFonts w:ascii="Times New Roman" w:hAnsi="Times New Roman"/>
          <w:color w:val="000000"/>
          <w:sz w:val="28"/>
          <w:szCs w:val="28"/>
          <w:lang w:eastAsia="ar-SA"/>
        </w:rPr>
        <w:t xml:space="preserve"> </w:t>
      </w:r>
      <w:r w:rsidR="00C45F3B">
        <w:rPr>
          <w:rFonts w:ascii="Times New Roman" w:hAnsi="Times New Roman"/>
          <w:color w:val="000000"/>
          <w:sz w:val="28"/>
          <w:szCs w:val="28"/>
          <w:lang w:eastAsia="ar-SA"/>
        </w:rPr>
        <w:t>С учетом снижения численности населения</w:t>
      </w:r>
      <w:r w:rsidR="00A43C33">
        <w:rPr>
          <w:rFonts w:ascii="Times New Roman" w:hAnsi="Times New Roman"/>
          <w:color w:val="000000"/>
          <w:sz w:val="28"/>
          <w:szCs w:val="28"/>
          <w:lang w:eastAsia="ar-SA"/>
        </w:rPr>
        <w:t xml:space="preserve"> городского округа Тольятти </w:t>
      </w:r>
      <w:r w:rsidR="00C45F3B">
        <w:rPr>
          <w:rFonts w:ascii="Times New Roman" w:hAnsi="Times New Roman"/>
          <w:color w:val="000000"/>
          <w:sz w:val="28"/>
          <w:szCs w:val="28"/>
          <w:lang w:eastAsia="ar-SA"/>
        </w:rPr>
        <w:t>п</w:t>
      </w:r>
      <w:r w:rsidRPr="00B000B1">
        <w:rPr>
          <w:rFonts w:ascii="Times New Roman" w:hAnsi="Times New Roman"/>
          <w:color w:val="000000"/>
          <w:sz w:val="28"/>
          <w:szCs w:val="28"/>
          <w:lang w:eastAsia="ar-SA"/>
        </w:rPr>
        <w:t>ассажирооборот в 2024 году по сравнению с 2021 годом снизится на 0,9% и 0,6% по первому и второму вариантам соответственно.</w:t>
      </w:r>
    </w:p>
    <w:p w14:paraId="7DFEFE73" w14:textId="14CDB212" w:rsidR="00B000B1" w:rsidRPr="00B000B1" w:rsidRDefault="00B000B1" w:rsidP="00EE6E8F">
      <w:pPr>
        <w:spacing w:after="0"/>
        <w:ind w:firstLine="709"/>
        <w:jc w:val="both"/>
        <w:rPr>
          <w:rFonts w:ascii="Times New Roman" w:hAnsi="Times New Roman"/>
          <w:color w:val="000000"/>
          <w:sz w:val="28"/>
          <w:szCs w:val="28"/>
          <w:lang w:eastAsia="ar-SA"/>
        </w:rPr>
      </w:pPr>
      <w:r w:rsidRPr="00B000B1">
        <w:rPr>
          <w:rFonts w:ascii="Times New Roman" w:hAnsi="Times New Roman"/>
          <w:color w:val="000000"/>
          <w:sz w:val="28"/>
          <w:szCs w:val="28"/>
          <w:lang w:eastAsia="ar-SA"/>
        </w:rPr>
        <w:t xml:space="preserve">В прогнозном периоде будут прорабатываться вопросы повышения качества и доступности транспортных услуг, увеличения доли обеспеченности нового подвижного состава парка муниципальных транспортных предприятий, в связи с чем </w:t>
      </w:r>
      <w:r>
        <w:rPr>
          <w:rFonts w:ascii="Times New Roman" w:hAnsi="Times New Roman"/>
          <w:color w:val="000000"/>
          <w:sz w:val="28"/>
          <w:szCs w:val="28"/>
          <w:lang w:eastAsia="ar-SA"/>
        </w:rPr>
        <w:t xml:space="preserve">может </w:t>
      </w:r>
      <w:r w:rsidRPr="00B000B1">
        <w:rPr>
          <w:rFonts w:ascii="Times New Roman" w:hAnsi="Times New Roman"/>
          <w:color w:val="000000"/>
          <w:sz w:val="28"/>
          <w:szCs w:val="28"/>
          <w:lang w:eastAsia="ar-SA"/>
        </w:rPr>
        <w:t>увеличит</w:t>
      </w:r>
      <w:r>
        <w:rPr>
          <w:rFonts w:ascii="Times New Roman" w:hAnsi="Times New Roman"/>
          <w:color w:val="000000"/>
          <w:sz w:val="28"/>
          <w:szCs w:val="28"/>
          <w:lang w:eastAsia="ar-SA"/>
        </w:rPr>
        <w:t>ь</w:t>
      </w:r>
      <w:r w:rsidRPr="00B000B1">
        <w:rPr>
          <w:rFonts w:ascii="Times New Roman" w:hAnsi="Times New Roman"/>
          <w:color w:val="000000"/>
          <w:sz w:val="28"/>
          <w:szCs w:val="28"/>
          <w:lang w:eastAsia="ar-SA"/>
        </w:rPr>
        <w:t>ся привлекательность пассажирского транспорта и создадутся более комфортные условия передвижения на общественном транспорте жителей и гостей городского округа Тольятти.</w:t>
      </w:r>
    </w:p>
    <w:p w14:paraId="3A748294" w14:textId="43DDB67E" w:rsidR="00B000B1" w:rsidRPr="00B000B1" w:rsidRDefault="00B000B1" w:rsidP="00EE6E8F">
      <w:pPr>
        <w:spacing w:after="0"/>
        <w:ind w:firstLine="709"/>
        <w:jc w:val="both"/>
        <w:rPr>
          <w:rFonts w:ascii="Times New Roman" w:hAnsi="Times New Roman"/>
          <w:color w:val="000000"/>
          <w:sz w:val="28"/>
          <w:szCs w:val="28"/>
          <w:lang w:eastAsia="ar-SA"/>
        </w:rPr>
      </w:pPr>
      <w:r w:rsidRPr="00B000B1">
        <w:rPr>
          <w:rFonts w:ascii="Times New Roman" w:hAnsi="Times New Roman"/>
          <w:color w:val="000000"/>
          <w:sz w:val="28"/>
          <w:szCs w:val="28"/>
          <w:lang w:eastAsia="ar-SA"/>
        </w:rPr>
        <w:t xml:space="preserve">В прогнозном периоде по первому и второму вариантам ожидается рост грузооборота к концу 2024 года по сравнению с </w:t>
      </w:r>
      <w:r w:rsidR="00C45F3B">
        <w:rPr>
          <w:rFonts w:ascii="Times New Roman" w:hAnsi="Times New Roman"/>
          <w:color w:val="000000"/>
          <w:sz w:val="28"/>
          <w:szCs w:val="28"/>
          <w:lang w:eastAsia="ar-SA"/>
        </w:rPr>
        <w:t xml:space="preserve">низкой базой </w:t>
      </w:r>
      <w:r w:rsidRPr="00B000B1">
        <w:rPr>
          <w:rFonts w:ascii="Times New Roman" w:hAnsi="Times New Roman"/>
          <w:color w:val="000000"/>
          <w:sz w:val="28"/>
          <w:szCs w:val="28"/>
          <w:lang w:eastAsia="ar-SA"/>
        </w:rPr>
        <w:t>2021 год</w:t>
      </w:r>
      <w:r w:rsidR="00C45F3B">
        <w:rPr>
          <w:rFonts w:ascii="Times New Roman" w:hAnsi="Times New Roman"/>
          <w:color w:val="000000"/>
          <w:sz w:val="28"/>
          <w:szCs w:val="28"/>
          <w:lang w:eastAsia="ar-SA"/>
        </w:rPr>
        <w:t>а</w:t>
      </w:r>
      <w:r w:rsidRPr="00B000B1">
        <w:rPr>
          <w:rFonts w:ascii="Times New Roman" w:hAnsi="Times New Roman"/>
          <w:color w:val="000000"/>
          <w:sz w:val="28"/>
          <w:szCs w:val="28"/>
          <w:lang w:eastAsia="ar-SA"/>
        </w:rPr>
        <w:t xml:space="preserve">: по первому варианту – на 33,8% и на 50,5% по второму варианту. </w:t>
      </w:r>
    </w:p>
    <w:p w14:paraId="22C24AE6" w14:textId="77777777" w:rsidR="00B000B1" w:rsidRPr="00B000B1" w:rsidRDefault="00B000B1" w:rsidP="00A43C33">
      <w:pPr>
        <w:spacing w:after="0"/>
        <w:ind w:firstLine="709"/>
        <w:jc w:val="both"/>
        <w:rPr>
          <w:rFonts w:ascii="Times New Roman" w:hAnsi="Times New Roman"/>
          <w:color w:val="000000"/>
          <w:sz w:val="28"/>
          <w:szCs w:val="28"/>
          <w:lang w:eastAsia="ar-SA"/>
        </w:rPr>
      </w:pPr>
      <w:r w:rsidRPr="00B000B1">
        <w:rPr>
          <w:rFonts w:ascii="Times New Roman" w:hAnsi="Times New Roman"/>
          <w:color w:val="000000"/>
          <w:sz w:val="28"/>
          <w:szCs w:val="28"/>
          <w:lang w:eastAsia="ar-SA"/>
        </w:rPr>
        <w:t xml:space="preserve">Рост показателя связан с ростом промышленного производства, строительством мостового перехода через реку Волга с обходом городского </w:t>
      </w:r>
      <w:r w:rsidRPr="00B000B1">
        <w:rPr>
          <w:rFonts w:ascii="Times New Roman" w:hAnsi="Times New Roman"/>
          <w:color w:val="000000"/>
          <w:sz w:val="28"/>
          <w:szCs w:val="28"/>
          <w:lang w:eastAsia="ar-SA"/>
        </w:rPr>
        <w:lastRenderedPageBreak/>
        <w:t xml:space="preserve">округа Тольятти и выходом на автомобильную дорогу М-5 «Урал» и с проектом создания и эксплуатации инфраструктуры железнодорожного транспорта для обеспечения деятельности ОЭЗ ППТ «Тольятти». Возможный рост конкурентоспособной среды на рынке автомобильных грузоперевозок, также может привезти к повышению качества услуг и увеличению грузооборота. </w:t>
      </w:r>
    </w:p>
    <w:p w14:paraId="12C018F2" w14:textId="5FEFD0F3" w:rsidR="00B000B1" w:rsidRPr="00B000B1" w:rsidRDefault="00B000B1" w:rsidP="00A43C33">
      <w:pPr>
        <w:spacing w:after="0"/>
        <w:ind w:firstLine="709"/>
        <w:jc w:val="both"/>
        <w:rPr>
          <w:rFonts w:ascii="Times New Roman" w:hAnsi="Times New Roman"/>
          <w:color w:val="000000"/>
          <w:sz w:val="28"/>
          <w:szCs w:val="28"/>
          <w:lang w:eastAsia="ar-SA"/>
        </w:rPr>
      </w:pPr>
      <w:r w:rsidRPr="00B000B1">
        <w:rPr>
          <w:rFonts w:ascii="Times New Roman" w:hAnsi="Times New Roman"/>
          <w:color w:val="000000"/>
          <w:sz w:val="28"/>
          <w:szCs w:val="28"/>
          <w:lang w:eastAsia="ar-SA"/>
        </w:rPr>
        <w:t xml:space="preserve">В сфере дорожного хозяйства в рамках подпрограммы </w:t>
      </w:r>
      <w:r w:rsidR="00C45F3B">
        <w:rPr>
          <w:rFonts w:ascii="Times New Roman" w:hAnsi="Times New Roman"/>
          <w:color w:val="000000"/>
          <w:sz w:val="28"/>
          <w:szCs w:val="28"/>
          <w:lang w:eastAsia="ar-SA"/>
        </w:rPr>
        <w:t>«</w:t>
      </w:r>
      <w:r w:rsidRPr="00B000B1">
        <w:rPr>
          <w:rFonts w:ascii="Times New Roman" w:hAnsi="Times New Roman"/>
          <w:color w:val="000000"/>
          <w:sz w:val="28"/>
          <w:szCs w:val="28"/>
          <w:lang w:eastAsia="ar-SA"/>
        </w:rPr>
        <w:t>Повышение безопасности дорожного движения на период 2021-2025 гг.</w:t>
      </w:r>
      <w:r w:rsidR="00C45F3B">
        <w:rPr>
          <w:rFonts w:ascii="Times New Roman" w:hAnsi="Times New Roman"/>
          <w:color w:val="000000"/>
          <w:sz w:val="28"/>
          <w:szCs w:val="28"/>
          <w:lang w:eastAsia="ar-SA"/>
        </w:rPr>
        <w:t>»</w:t>
      </w:r>
      <w:r w:rsidRPr="00B000B1">
        <w:rPr>
          <w:rFonts w:ascii="Times New Roman" w:hAnsi="Times New Roman"/>
          <w:color w:val="000000"/>
          <w:sz w:val="28"/>
          <w:szCs w:val="28"/>
          <w:lang w:eastAsia="ar-SA"/>
        </w:rPr>
        <w:t xml:space="preserve"> муниципальной программы «Развитие транспортной системы и дорожного хозяйства городского округа Тольятти на 2021-2025 гг.», утвержденной постановлением администрации городского округа Тольятти от 14.10.2020 № 3118-п/1, в 2022-2024 годах предусмотрены мероприятия по повышению безопасности дорожного движения на автомобильных дорогах общего пользования местного значения: устройство пешеходных переходов, искусственных дорожных неровностей, установка дорожных знаков, устройство островков безопасности, ликвидация подходов к пешеходным переходам, устройство шумовых полос, установка информационных щитов, ликвидация мест разворота, сокращение заездных карманов, устройство тротуаров, установка пешеходных ограждений, установка П-образных опор, установке </w:t>
      </w:r>
      <w:proofErr w:type="spellStart"/>
      <w:r w:rsidRPr="00B000B1">
        <w:rPr>
          <w:rFonts w:ascii="Times New Roman" w:hAnsi="Times New Roman"/>
          <w:color w:val="000000"/>
          <w:sz w:val="28"/>
          <w:szCs w:val="28"/>
          <w:lang w:eastAsia="ar-SA"/>
        </w:rPr>
        <w:t>световозвращателей</w:t>
      </w:r>
      <w:proofErr w:type="spellEnd"/>
      <w:r w:rsidRPr="00B000B1">
        <w:rPr>
          <w:rFonts w:ascii="Times New Roman" w:hAnsi="Times New Roman"/>
          <w:color w:val="000000"/>
          <w:sz w:val="28"/>
          <w:szCs w:val="28"/>
          <w:lang w:eastAsia="ar-SA"/>
        </w:rPr>
        <w:t>, устройство островков безопасности, устройство и перенос остановок общественного транспорта.</w:t>
      </w:r>
    </w:p>
    <w:p w14:paraId="4E148D52" w14:textId="76EC4079" w:rsidR="00252845" w:rsidRPr="004C4873" w:rsidRDefault="00252845" w:rsidP="00EE6E8F">
      <w:pPr>
        <w:spacing w:before="120" w:after="0"/>
        <w:jc w:val="center"/>
        <w:rPr>
          <w:rFonts w:ascii="Times New Roman" w:hAnsi="Times New Roman"/>
          <w:b/>
          <w:sz w:val="28"/>
          <w:szCs w:val="28"/>
        </w:rPr>
      </w:pPr>
      <w:r w:rsidRPr="004C4873">
        <w:rPr>
          <w:rFonts w:ascii="Times New Roman" w:hAnsi="Times New Roman"/>
          <w:b/>
          <w:sz w:val="28"/>
          <w:szCs w:val="28"/>
        </w:rPr>
        <w:t>Связь</w:t>
      </w:r>
      <w:bookmarkStart w:id="9" w:name="связь"/>
      <w:bookmarkEnd w:id="9"/>
    </w:p>
    <w:p w14:paraId="1BB01988" w14:textId="77777777" w:rsidR="003778A5" w:rsidRPr="004C4873" w:rsidRDefault="003778A5" w:rsidP="00A56CAF">
      <w:pPr>
        <w:spacing w:before="120" w:after="0"/>
        <w:ind w:firstLine="709"/>
        <w:jc w:val="both"/>
        <w:rPr>
          <w:rFonts w:ascii="Times New Roman" w:hAnsi="Times New Roman"/>
          <w:color w:val="000000"/>
          <w:sz w:val="28"/>
          <w:szCs w:val="28"/>
          <w:lang w:eastAsia="ar-SA"/>
        </w:rPr>
      </w:pPr>
      <w:r w:rsidRPr="004C4873">
        <w:rPr>
          <w:rFonts w:ascii="Times New Roman" w:hAnsi="Times New Roman"/>
          <w:color w:val="000000"/>
          <w:sz w:val="28"/>
          <w:szCs w:val="28"/>
          <w:lang w:eastAsia="ar-SA"/>
        </w:rPr>
        <w:t xml:space="preserve">В 2022-2024 годах ожидается дальнейшее развитие услуг в сфере связи. Телефонизация неразрывно связана с развитием первичной сети, заменой физически и морально устаревшего оборудования на значительных участках региональных сетей, а также внедрением новых технологий. </w:t>
      </w:r>
    </w:p>
    <w:p w14:paraId="4DD03951" w14:textId="77777777" w:rsidR="003778A5" w:rsidRPr="004C4873" w:rsidRDefault="003778A5" w:rsidP="00A56CAF">
      <w:pPr>
        <w:spacing w:after="0"/>
        <w:ind w:firstLine="709"/>
        <w:jc w:val="both"/>
        <w:rPr>
          <w:rFonts w:ascii="Times New Roman" w:hAnsi="Times New Roman"/>
          <w:color w:val="000000"/>
          <w:sz w:val="28"/>
          <w:szCs w:val="28"/>
          <w:lang w:eastAsia="ar-SA"/>
        </w:rPr>
      </w:pPr>
      <w:r w:rsidRPr="004C4873">
        <w:rPr>
          <w:rFonts w:ascii="Times New Roman" w:hAnsi="Times New Roman"/>
          <w:color w:val="000000"/>
          <w:sz w:val="28"/>
          <w:szCs w:val="28"/>
          <w:lang w:eastAsia="ar-SA"/>
        </w:rPr>
        <w:t xml:space="preserve">Наряду с развитием традиционных видов связи планируется расширение сетей сотовой связи (в том числе развитие технологии LTE), Интернета, IP-телефонии, интеллектуальных сетей и других видов связи. </w:t>
      </w:r>
    </w:p>
    <w:p w14:paraId="4833BA22" w14:textId="5EC93376" w:rsidR="003778A5" w:rsidRPr="004C4873" w:rsidRDefault="003778A5" w:rsidP="00A56CAF">
      <w:pPr>
        <w:spacing w:after="0"/>
        <w:ind w:firstLine="709"/>
        <w:jc w:val="both"/>
        <w:rPr>
          <w:rFonts w:ascii="Times New Roman" w:hAnsi="Times New Roman"/>
          <w:color w:val="000000"/>
          <w:sz w:val="28"/>
          <w:szCs w:val="28"/>
          <w:lang w:eastAsia="ar-SA"/>
        </w:rPr>
      </w:pPr>
      <w:r w:rsidRPr="004C4873">
        <w:rPr>
          <w:rFonts w:ascii="Times New Roman" w:hAnsi="Times New Roman"/>
          <w:color w:val="000000"/>
          <w:sz w:val="28"/>
          <w:szCs w:val="28"/>
          <w:lang w:eastAsia="ar-SA"/>
        </w:rPr>
        <w:t xml:space="preserve">С учетом умеренных темпов роста доходов населения консервативный вариант развития предусматривает рост объема услуг связи: к 2024 году увеличение показателя в действующих ценах составит 9,5% к 2021 году до 3 921,3 млн. </w:t>
      </w:r>
      <w:r w:rsidR="00EA5C0A">
        <w:rPr>
          <w:rFonts w:ascii="Times New Roman" w:hAnsi="Times New Roman"/>
          <w:color w:val="000000"/>
          <w:sz w:val="28"/>
          <w:szCs w:val="28"/>
          <w:lang w:eastAsia="ar-SA"/>
        </w:rPr>
        <w:t>рублей</w:t>
      </w:r>
      <w:r w:rsidRPr="004C4873">
        <w:rPr>
          <w:rFonts w:ascii="Times New Roman" w:hAnsi="Times New Roman"/>
          <w:color w:val="000000"/>
          <w:sz w:val="28"/>
          <w:szCs w:val="28"/>
          <w:lang w:eastAsia="ar-SA"/>
        </w:rPr>
        <w:t>.</w:t>
      </w:r>
    </w:p>
    <w:p w14:paraId="03787ECD" w14:textId="67C82270" w:rsidR="003778A5" w:rsidRPr="004C4873" w:rsidRDefault="003778A5" w:rsidP="00A56CAF">
      <w:pPr>
        <w:spacing w:after="0"/>
        <w:ind w:firstLine="709"/>
        <w:jc w:val="both"/>
        <w:rPr>
          <w:rFonts w:ascii="Times New Roman" w:hAnsi="Times New Roman"/>
          <w:color w:val="000000"/>
          <w:sz w:val="28"/>
          <w:szCs w:val="28"/>
          <w:lang w:eastAsia="ar-SA"/>
        </w:rPr>
      </w:pPr>
      <w:r w:rsidRPr="004C4873">
        <w:rPr>
          <w:rFonts w:ascii="Times New Roman" w:hAnsi="Times New Roman"/>
          <w:color w:val="000000"/>
          <w:sz w:val="28"/>
          <w:szCs w:val="28"/>
          <w:lang w:eastAsia="ar-SA"/>
        </w:rPr>
        <w:t xml:space="preserve">Ожидается существенное ослабление интереса у населения к телефонной стационарной связи. Количество операторов стационарной связи пойдет на спад, они направят свои силы на развитие более востребованных услуг, таких как интернет, IP-TV. Количество абонентов домашнего </w:t>
      </w:r>
      <w:r w:rsidRPr="004C4873">
        <w:rPr>
          <w:rFonts w:ascii="Times New Roman" w:hAnsi="Times New Roman"/>
          <w:color w:val="000000"/>
          <w:sz w:val="28"/>
          <w:szCs w:val="28"/>
          <w:lang w:eastAsia="ar-SA"/>
        </w:rPr>
        <w:lastRenderedPageBreak/>
        <w:t xml:space="preserve">интернета будет уменьшатся в связи с тем, что абоненты будут искать более дешевые варианты выхода в интернет, такие как мобильный интернет. </w:t>
      </w:r>
    </w:p>
    <w:p w14:paraId="40A526C9" w14:textId="330481EC" w:rsidR="003778A5" w:rsidRPr="004C4873" w:rsidRDefault="003778A5" w:rsidP="00A56CAF">
      <w:pPr>
        <w:spacing w:after="0"/>
        <w:ind w:firstLine="709"/>
        <w:jc w:val="both"/>
        <w:rPr>
          <w:rFonts w:ascii="Times New Roman" w:hAnsi="Times New Roman"/>
          <w:color w:val="000000"/>
          <w:sz w:val="28"/>
          <w:szCs w:val="28"/>
          <w:lang w:eastAsia="ar-SA"/>
        </w:rPr>
      </w:pPr>
      <w:r w:rsidRPr="004C4873">
        <w:rPr>
          <w:rFonts w:ascii="Times New Roman" w:hAnsi="Times New Roman"/>
          <w:color w:val="000000"/>
          <w:sz w:val="28"/>
          <w:szCs w:val="28"/>
          <w:lang w:eastAsia="ar-SA"/>
        </w:rPr>
        <w:t xml:space="preserve">По базовому варианту объем услуг связи в прогнозном периоде будет расти более высокими темпами. Так, за период 2021 – 2024 годов рост показателя в действующих ценах может составить 23,9% до 4 437,9 млн. </w:t>
      </w:r>
      <w:r w:rsidR="00EA5C0A">
        <w:rPr>
          <w:rFonts w:ascii="Times New Roman" w:hAnsi="Times New Roman"/>
          <w:color w:val="000000"/>
          <w:sz w:val="28"/>
          <w:szCs w:val="28"/>
          <w:lang w:eastAsia="ar-SA"/>
        </w:rPr>
        <w:t>рублей</w:t>
      </w:r>
      <w:r w:rsidRPr="004C4873">
        <w:rPr>
          <w:rFonts w:ascii="Times New Roman" w:hAnsi="Times New Roman"/>
          <w:color w:val="000000"/>
          <w:sz w:val="28"/>
          <w:szCs w:val="28"/>
          <w:lang w:eastAsia="ar-SA"/>
        </w:rPr>
        <w:t>.</w:t>
      </w:r>
    </w:p>
    <w:p w14:paraId="1ACDBC39" w14:textId="77777777" w:rsidR="003778A5" w:rsidRPr="004C4873" w:rsidRDefault="003778A5" w:rsidP="00A56CAF">
      <w:pPr>
        <w:spacing w:after="0"/>
        <w:ind w:firstLine="709"/>
        <w:jc w:val="both"/>
        <w:rPr>
          <w:rFonts w:ascii="Times New Roman" w:hAnsi="Times New Roman"/>
          <w:color w:val="000000"/>
          <w:sz w:val="28"/>
          <w:szCs w:val="28"/>
          <w:lang w:eastAsia="ar-SA"/>
        </w:rPr>
      </w:pPr>
      <w:r w:rsidRPr="004C4873">
        <w:rPr>
          <w:rFonts w:ascii="Times New Roman" w:hAnsi="Times New Roman"/>
          <w:color w:val="000000"/>
          <w:sz w:val="28"/>
          <w:szCs w:val="28"/>
          <w:lang w:eastAsia="ar-SA"/>
        </w:rPr>
        <w:t>Ожидается стабильное и планомерное развитие рынка мобильной связи на территории городского округа Тольятти: продолжится внедрение протокола беспроводного доступа в сеть Интернет по различным технологиям операторами сотовой связи и провайдерами Интернет (услуги широкополосного высокоскоростного доступа в Интернет как по технологии 3G, 4G модем, так и по технологии «оптика до здания» - FTTB).</w:t>
      </w:r>
    </w:p>
    <w:p w14:paraId="61BA89F5" w14:textId="77777777" w:rsidR="003778A5" w:rsidRPr="004C4873" w:rsidRDefault="003778A5" w:rsidP="00A56CAF">
      <w:pPr>
        <w:spacing w:after="0"/>
        <w:ind w:firstLine="709"/>
        <w:jc w:val="both"/>
        <w:rPr>
          <w:rFonts w:ascii="Times New Roman" w:hAnsi="Times New Roman"/>
          <w:color w:val="000000"/>
          <w:sz w:val="28"/>
          <w:szCs w:val="28"/>
          <w:lang w:eastAsia="ar-SA"/>
        </w:rPr>
      </w:pPr>
      <w:r w:rsidRPr="004C4873">
        <w:rPr>
          <w:rFonts w:ascii="Times New Roman" w:hAnsi="Times New Roman"/>
          <w:color w:val="000000"/>
          <w:sz w:val="28"/>
          <w:szCs w:val="28"/>
          <w:lang w:eastAsia="ar-SA"/>
        </w:rPr>
        <w:t>Количество операторов связи, в основном, останется на прежнем уровне. Прирост абонентов Интернета будет небольшим, но стабильным. Доступ в сеть интернет станет основой, на которой в течение следующих лет будут развиваться и другие современные телекоммуникационные услуги. К примеру, IP-TV c неограниченным количеством телевизионных каналов, SIP-телефония с возможностью видеосвязи и многие другие.</w:t>
      </w:r>
    </w:p>
    <w:p w14:paraId="4C4B5F22" w14:textId="77777777" w:rsidR="003778A5" w:rsidRPr="004C4873" w:rsidRDefault="003778A5" w:rsidP="00A56CAF">
      <w:pPr>
        <w:spacing w:after="0"/>
        <w:ind w:firstLine="709"/>
        <w:jc w:val="both"/>
        <w:rPr>
          <w:rFonts w:ascii="Times New Roman" w:hAnsi="Times New Roman"/>
          <w:color w:val="000000"/>
          <w:sz w:val="28"/>
          <w:szCs w:val="28"/>
          <w:lang w:eastAsia="ar-SA"/>
        </w:rPr>
      </w:pPr>
      <w:r w:rsidRPr="004C4873">
        <w:rPr>
          <w:rFonts w:ascii="Times New Roman" w:hAnsi="Times New Roman"/>
          <w:color w:val="000000"/>
          <w:sz w:val="28"/>
          <w:szCs w:val="28"/>
          <w:lang w:eastAsia="ar-SA"/>
        </w:rPr>
        <w:t>Работа операторов телевидения в городском округе Тольятти направлена на увеличение количества транслируемых каналов по линиям кабельного телевидения, а также на увеличение количества транслируемых программ, улучшению качества предоставляемых услуг и другое.</w:t>
      </w:r>
    </w:p>
    <w:p w14:paraId="028D811C" w14:textId="77777777" w:rsidR="003778A5" w:rsidRPr="004C4873" w:rsidRDefault="003778A5" w:rsidP="00A56CAF">
      <w:pPr>
        <w:spacing w:after="0"/>
        <w:ind w:firstLine="709"/>
        <w:jc w:val="both"/>
        <w:rPr>
          <w:rFonts w:ascii="Times New Roman" w:hAnsi="Times New Roman"/>
          <w:color w:val="000000"/>
          <w:sz w:val="28"/>
          <w:szCs w:val="28"/>
          <w:lang w:eastAsia="ar-SA"/>
        </w:rPr>
      </w:pPr>
      <w:r w:rsidRPr="004C4873">
        <w:rPr>
          <w:rFonts w:ascii="Times New Roman" w:hAnsi="Times New Roman"/>
          <w:color w:val="000000"/>
          <w:sz w:val="28"/>
          <w:szCs w:val="28"/>
          <w:lang w:eastAsia="ar-SA"/>
        </w:rPr>
        <w:t>Таким образом, положительная динамика показателя в прогнозном периоде будет обусловлена ростом числа дополнительных сервисов и внедрением новых видов услуг.</w:t>
      </w:r>
    </w:p>
    <w:p w14:paraId="26027896" w14:textId="77777777" w:rsidR="006E0886" w:rsidRPr="004C4873" w:rsidRDefault="006E0886" w:rsidP="00C45F3B">
      <w:pPr>
        <w:spacing w:before="120" w:after="0" w:line="312" w:lineRule="auto"/>
        <w:jc w:val="center"/>
        <w:rPr>
          <w:rFonts w:ascii="Times New Roman" w:hAnsi="Times New Roman"/>
          <w:b/>
          <w:sz w:val="28"/>
          <w:szCs w:val="28"/>
        </w:rPr>
      </w:pPr>
      <w:r w:rsidRPr="004C4873">
        <w:rPr>
          <w:rFonts w:ascii="Times New Roman" w:hAnsi="Times New Roman"/>
          <w:b/>
          <w:sz w:val="28"/>
          <w:szCs w:val="28"/>
        </w:rPr>
        <w:t>Образование</w:t>
      </w:r>
    </w:p>
    <w:p w14:paraId="6F41B04D" w14:textId="77777777" w:rsidR="00704FFF" w:rsidRPr="004C4873" w:rsidRDefault="00704FFF" w:rsidP="00A56CAF">
      <w:pPr>
        <w:widowControl w:val="0"/>
        <w:spacing w:before="120" w:after="0"/>
        <w:ind w:firstLine="709"/>
        <w:jc w:val="both"/>
        <w:rPr>
          <w:rFonts w:ascii="Times New Roman" w:hAnsi="Times New Roman"/>
          <w:sz w:val="28"/>
          <w:szCs w:val="28"/>
          <w:lang w:eastAsia="ar-SA"/>
        </w:rPr>
      </w:pPr>
      <w:r w:rsidRPr="004C4873">
        <w:rPr>
          <w:rFonts w:ascii="Times New Roman" w:hAnsi="Times New Roman"/>
          <w:sz w:val="28"/>
          <w:szCs w:val="28"/>
          <w:lang w:eastAsia="ar-SA"/>
        </w:rPr>
        <w:t>Продолжится реализация мероприятий по созданию дополнительных мест в учреждениях образования.</w:t>
      </w:r>
    </w:p>
    <w:p w14:paraId="3FC39044" w14:textId="55FADF30" w:rsidR="00704FFF" w:rsidRPr="004C4873" w:rsidRDefault="00704FFF" w:rsidP="00A56CAF">
      <w:pPr>
        <w:spacing w:after="0"/>
        <w:ind w:firstLine="709"/>
        <w:contextualSpacing/>
        <w:jc w:val="both"/>
        <w:rPr>
          <w:rFonts w:ascii="Times New Roman" w:hAnsi="Times New Roman"/>
          <w:sz w:val="28"/>
          <w:szCs w:val="28"/>
          <w:lang w:eastAsia="ar-SA"/>
        </w:rPr>
      </w:pPr>
      <w:r w:rsidRPr="004C4873">
        <w:rPr>
          <w:rFonts w:ascii="Times New Roman" w:hAnsi="Times New Roman"/>
          <w:sz w:val="28"/>
          <w:szCs w:val="28"/>
          <w:lang w:eastAsia="ar-SA"/>
        </w:rPr>
        <w:t>Основны</w:t>
      </w:r>
      <w:r w:rsidR="00A43C33">
        <w:rPr>
          <w:rFonts w:ascii="Times New Roman" w:hAnsi="Times New Roman"/>
          <w:sz w:val="28"/>
          <w:szCs w:val="28"/>
          <w:lang w:eastAsia="ar-SA"/>
        </w:rPr>
        <w:t>ми</w:t>
      </w:r>
      <w:r w:rsidRPr="004C4873">
        <w:rPr>
          <w:rFonts w:ascii="Times New Roman" w:hAnsi="Times New Roman"/>
          <w:sz w:val="28"/>
          <w:szCs w:val="28"/>
          <w:lang w:eastAsia="ar-SA"/>
        </w:rPr>
        <w:t xml:space="preserve"> направления</w:t>
      </w:r>
      <w:r w:rsidR="00A43C33">
        <w:rPr>
          <w:rFonts w:ascii="Times New Roman" w:hAnsi="Times New Roman"/>
          <w:sz w:val="28"/>
          <w:szCs w:val="28"/>
          <w:lang w:eastAsia="ar-SA"/>
        </w:rPr>
        <w:t>ми</w:t>
      </w:r>
      <w:r w:rsidRPr="004C4873">
        <w:rPr>
          <w:rFonts w:ascii="Times New Roman" w:hAnsi="Times New Roman"/>
          <w:sz w:val="28"/>
          <w:szCs w:val="28"/>
          <w:lang w:eastAsia="ar-SA"/>
        </w:rPr>
        <w:t xml:space="preserve"> деятельности в прогнозном периоде 2022-2024 годов остаются: </w:t>
      </w:r>
    </w:p>
    <w:p w14:paraId="4C825CDD" w14:textId="77777777" w:rsidR="00704FFF" w:rsidRPr="004C4873" w:rsidRDefault="00704FFF" w:rsidP="00A56CAF">
      <w:pPr>
        <w:spacing w:after="0"/>
        <w:ind w:firstLine="709"/>
        <w:contextualSpacing/>
        <w:jc w:val="both"/>
        <w:rPr>
          <w:rFonts w:ascii="Times New Roman" w:hAnsi="Times New Roman"/>
          <w:sz w:val="28"/>
          <w:szCs w:val="28"/>
          <w:lang w:eastAsia="ar-SA"/>
        </w:rPr>
      </w:pPr>
      <w:r w:rsidRPr="004C4873">
        <w:rPr>
          <w:rFonts w:ascii="Times New Roman" w:hAnsi="Times New Roman"/>
          <w:sz w:val="28"/>
          <w:szCs w:val="28"/>
          <w:lang w:eastAsia="ar-SA"/>
        </w:rPr>
        <w:t xml:space="preserve">- реализация мероприятий по обеспечению доступности дошкольного образования для детей в возрасте до трех лет; </w:t>
      </w:r>
    </w:p>
    <w:p w14:paraId="40317429" w14:textId="77777777" w:rsidR="00704FFF" w:rsidRPr="004C4873" w:rsidRDefault="00704FFF" w:rsidP="00A56CAF">
      <w:pPr>
        <w:spacing w:after="0"/>
        <w:ind w:firstLine="709"/>
        <w:contextualSpacing/>
        <w:jc w:val="both"/>
        <w:rPr>
          <w:rFonts w:ascii="Times New Roman" w:hAnsi="Times New Roman"/>
          <w:sz w:val="28"/>
          <w:szCs w:val="28"/>
          <w:lang w:eastAsia="ar-SA"/>
        </w:rPr>
      </w:pPr>
      <w:r w:rsidRPr="004C4873">
        <w:rPr>
          <w:rFonts w:ascii="Times New Roman" w:hAnsi="Times New Roman"/>
          <w:sz w:val="28"/>
          <w:szCs w:val="28"/>
          <w:lang w:eastAsia="ar-SA"/>
        </w:rPr>
        <w:t>- реализация мероприятия по строительству школ;</w:t>
      </w:r>
    </w:p>
    <w:p w14:paraId="4442159F" w14:textId="77777777" w:rsidR="00704FFF" w:rsidRPr="004C4873" w:rsidRDefault="00704FFF" w:rsidP="00A56CAF">
      <w:pPr>
        <w:spacing w:after="0"/>
        <w:ind w:firstLine="709"/>
        <w:contextualSpacing/>
        <w:jc w:val="both"/>
        <w:rPr>
          <w:rFonts w:ascii="Times New Roman" w:hAnsi="Times New Roman"/>
          <w:sz w:val="28"/>
          <w:szCs w:val="28"/>
          <w:lang w:eastAsia="ar-SA"/>
        </w:rPr>
      </w:pPr>
      <w:r w:rsidRPr="004C4873">
        <w:rPr>
          <w:rFonts w:ascii="Times New Roman" w:hAnsi="Times New Roman"/>
          <w:sz w:val="28"/>
          <w:szCs w:val="28"/>
          <w:lang w:eastAsia="ar-SA"/>
        </w:rPr>
        <w:t>- выполнение комплекса мероприятий по созданию современной образовательной среды, по укреплению материально-технической базы образовательных учреждений городского округа Тольятти.</w:t>
      </w:r>
    </w:p>
    <w:p w14:paraId="36444E9A" w14:textId="77777777" w:rsidR="00704FFF" w:rsidRPr="004C4873" w:rsidRDefault="00704FFF" w:rsidP="00A56CAF">
      <w:pPr>
        <w:pStyle w:val="22"/>
        <w:spacing w:after="0" w:line="276" w:lineRule="auto"/>
        <w:ind w:firstLine="709"/>
        <w:jc w:val="both"/>
        <w:rPr>
          <w:sz w:val="28"/>
          <w:szCs w:val="28"/>
        </w:rPr>
      </w:pPr>
      <w:r w:rsidRPr="004C4873">
        <w:rPr>
          <w:sz w:val="28"/>
          <w:szCs w:val="28"/>
        </w:rPr>
        <w:lastRenderedPageBreak/>
        <w:t>Остается актуальной проблема отдельных территорий городского округа Тольятти по обеспечению местами детей в детских садах (кварталы-новостройки и приближенные к ним кварталы).</w:t>
      </w:r>
    </w:p>
    <w:p w14:paraId="75883B9D" w14:textId="4599D16F" w:rsidR="00704FFF" w:rsidRPr="004C4873" w:rsidRDefault="00704FFF" w:rsidP="00A56CAF">
      <w:pPr>
        <w:pStyle w:val="aa"/>
        <w:spacing w:before="0" w:after="0" w:line="276" w:lineRule="auto"/>
        <w:ind w:firstLine="709"/>
        <w:jc w:val="both"/>
        <w:rPr>
          <w:sz w:val="28"/>
          <w:szCs w:val="28"/>
        </w:rPr>
      </w:pPr>
      <w:r w:rsidRPr="004C4873">
        <w:rPr>
          <w:sz w:val="28"/>
          <w:szCs w:val="28"/>
        </w:rPr>
        <w:t>В прогнозном периоде количество детей возрастной категории 3-6 лет будет снижаться (за счет спада рождаемости с 201</w:t>
      </w:r>
      <w:r w:rsidR="00C45F3B">
        <w:rPr>
          <w:sz w:val="28"/>
          <w:szCs w:val="28"/>
        </w:rPr>
        <w:t>7</w:t>
      </w:r>
      <w:r w:rsidRPr="004C4873">
        <w:rPr>
          <w:sz w:val="28"/>
          <w:szCs w:val="28"/>
        </w:rPr>
        <w:t xml:space="preserve"> года) на 20,5%-19,4% в зависимости от варианта прогноза, а обеспеченность дошкольными образовательными учреждениями в 2024 году может составить порядка 1330-1333 мест на 1000 детей в возрасте 3-6 лет по консервативному и базовому варианту прогноза соответственно.</w:t>
      </w:r>
    </w:p>
    <w:p w14:paraId="0663F5CB" w14:textId="7B1AACB8" w:rsidR="00704FFF" w:rsidRPr="004C4873" w:rsidRDefault="00704FFF" w:rsidP="00A56CAF">
      <w:pPr>
        <w:ind w:firstLine="709"/>
        <w:contextualSpacing/>
        <w:jc w:val="both"/>
        <w:rPr>
          <w:rFonts w:ascii="Times New Roman" w:hAnsi="Times New Roman"/>
          <w:sz w:val="28"/>
          <w:szCs w:val="28"/>
          <w:lang w:eastAsia="ar-SA"/>
        </w:rPr>
      </w:pPr>
      <w:r w:rsidRPr="004C4873">
        <w:rPr>
          <w:rFonts w:ascii="Times New Roman" w:hAnsi="Times New Roman"/>
          <w:sz w:val="28"/>
          <w:szCs w:val="28"/>
          <w:lang w:eastAsia="ar-SA"/>
        </w:rPr>
        <w:t xml:space="preserve">Численность детей в дошкольных образовательных учреждениях в 2022 году по базовому варианту составит 33,5 тыс. человек, что на 1,5 тыс. детей ниже относительно 2021 года. Показатель рассчитан с учетом снижения численности детей возрастной категории 1-6 лет и ввода в эксплуатацию д/с ЛДС-2 (ул.40 лет Победы) на 150 мест (в </w:t>
      </w:r>
      <w:r w:rsidR="00C45F3B">
        <w:rPr>
          <w:rFonts w:ascii="Times New Roman" w:hAnsi="Times New Roman"/>
          <w:sz w:val="28"/>
          <w:szCs w:val="28"/>
          <w:lang w:eastAsia="ar-SA"/>
        </w:rPr>
        <w:t>том числе</w:t>
      </w:r>
      <w:r w:rsidRPr="004C4873">
        <w:rPr>
          <w:rFonts w:ascii="Times New Roman" w:hAnsi="Times New Roman"/>
          <w:sz w:val="28"/>
          <w:szCs w:val="28"/>
          <w:lang w:eastAsia="ar-SA"/>
        </w:rPr>
        <w:t xml:space="preserve"> 105 мест для детей 3-6 лет).</w:t>
      </w:r>
    </w:p>
    <w:p w14:paraId="43D914AF" w14:textId="58016F6F" w:rsidR="00704FFF" w:rsidRPr="004C4873" w:rsidRDefault="00704FFF" w:rsidP="00A56CAF">
      <w:pPr>
        <w:ind w:firstLine="709"/>
        <w:contextualSpacing/>
        <w:jc w:val="both"/>
        <w:rPr>
          <w:rFonts w:ascii="Times New Roman" w:hAnsi="Times New Roman"/>
          <w:sz w:val="28"/>
          <w:szCs w:val="28"/>
          <w:lang w:eastAsia="ar-SA"/>
        </w:rPr>
      </w:pPr>
      <w:r w:rsidRPr="004C4873">
        <w:rPr>
          <w:rFonts w:ascii="Times New Roman" w:hAnsi="Times New Roman"/>
          <w:sz w:val="28"/>
          <w:szCs w:val="28"/>
          <w:lang w:eastAsia="ar-SA"/>
        </w:rPr>
        <w:t xml:space="preserve">В 2023 году по базовому варианту планируется создание 350 мест (в </w:t>
      </w:r>
      <w:r w:rsidR="00C45F3B">
        <w:rPr>
          <w:rFonts w:ascii="Times New Roman" w:hAnsi="Times New Roman"/>
          <w:sz w:val="28"/>
          <w:szCs w:val="28"/>
          <w:lang w:eastAsia="ar-SA"/>
        </w:rPr>
        <w:t>том числе</w:t>
      </w:r>
      <w:r w:rsidRPr="004C4873">
        <w:rPr>
          <w:rFonts w:ascii="Times New Roman" w:hAnsi="Times New Roman"/>
          <w:sz w:val="28"/>
          <w:szCs w:val="28"/>
          <w:lang w:eastAsia="ar-SA"/>
        </w:rPr>
        <w:t xml:space="preserve"> 290 мест для детей 3-6 лет) за счет ввода в эксплуатацию д/с в </w:t>
      </w:r>
      <w:proofErr w:type="spellStart"/>
      <w:r w:rsidRPr="004C4873">
        <w:rPr>
          <w:rFonts w:ascii="Times New Roman" w:hAnsi="Times New Roman"/>
          <w:sz w:val="28"/>
          <w:szCs w:val="28"/>
          <w:lang w:eastAsia="ar-SA"/>
        </w:rPr>
        <w:t>мкр</w:t>
      </w:r>
      <w:proofErr w:type="spellEnd"/>
      <w:r w:rsidRPr="004C4873">
        <w:rPr>
          <w:rFonts w:ascii="Times New Roman" w:hAnsi="Times New Roman"/>
          <w:sz w:val="28"/>
          <w:szCs w:val="28"/>
          <w:lang w:eastAsia="ar-SA"/>
        </w:rPr>
        <w:t xml:space="preserve">. «Калина», а также 150 мест за счет ввода в эксплуатацию д/с ЛДС-1 по ул.40 лет Победы (в </w:t>
      </w:r>
      <w:r w:rsidR="00C45F3B">
        <w:rPr>
          <w:rFonts w:ascii="Times New Roman" w:hAnsi="Times New Roman"/>
          <w:sz w:val="28"/>
          <w:szCs w:val="28"/>
          <w:lang w:eastAsia="ar-SA"/>
        </w:rPr>
        <w:t>том числе</w:t>
      </w:r>
      <w:r w:rsidRPr="004C4873">
        <w:rPr>
          <w:rFonts w:ascii="Times New Roman" w:hAnsi="Times New Roman"/>
          <w:sz w:val="28"/>
          <w:szCs w:val="28"/>
          <w:lang w:eastAsia="ar-SA"/>
        </w:rPr>
        <w:t xml:space="preserve"> 105 мест для детей 3-6 лет). </w:t>
      </w:r>
    </w:p>
    <w:p w14:paraId="79FB504B" w14:textId="4F6C629C" w:rsidR="00704FFF" w:rsidRPr="004C4873" w:rsidRDefault="00704FFF" w:rsidP="00A56CAF">
      <w:pPr>
        <w:spacing w:after="0"/>
        <w:ind w:firstLine="709"/>
        <w:contextualSpacing/>
        <w:jc w:val="both"/>
        <w:rPr>
          <w:rFonts w:ascii="Times New Roman" w:hAnsi="Times New Roman"/>
          <w:sz w:val="28"/>
          <w:szCs w:val="28"/>
          <w:lang w:eastAsia="ar-SA"/>
        </w:rPr>
      </w:pPr>
      <w:r w:rsidRPr="004C4873">
        <w:rPr>
          <w:rFonts w:ascii="Times New Roman" w:hAnsi="Times New Roman"/>
          <w:sz w:val="28"/>
          <w:szCs w:val="28"/>
          <w:lang w:eastAsia="ar-SA"/>
        </w:rPr>
        <w:t xml:space="preserve">В 2024 году в дошкольные образовательные учреждения планируется дополнительно принять 350 детей за счет ввода в эксплуатацию д/с в </w:t>
      </w:r>
      <w:proofErr w:type="spellStart"/>
      <w:r w:rsidRPr="004C4873">
        <w:rPr>
          <w:rFonts w:ascii="Times New Roman" w:hAnsi="Times New Roman"/>
          <w:sz w:val="28"/>
          <w:szCs w:val="28"/>
          <w:lang w:eastAsia="ar-SA"/>
        </w:rPr>
        <w:t>мкр</w:t>
      </w:r>
      <w:proofErr w:type="spellEnd"/>
      <w:r w:rsidRPr="004C4873">
        <w:rPr>
          <w:rFonts w:ascii="Times New Roman" w:hAnsi="Times New Roman"/>
          <w:sz w:val="28"/>
          <w:szCs w:val="28"/>
          <w:lang w:eastAsia="ar-SA"/>
        </w:rPr>
        <w:t xml:space="preserve">. «Северный» (в </w:t>
      </w:r>
      <w:r w:rsidR="00C45F3B">
        <w:rPr>
          <w:rFonts w:ascii="Times New Roman" w:hAnsi="Times New Roman"/>
          <w:sz w:val="28"/>
          <w:szCs w:val="28"/>
          <w:lang w:eastAsia="ar-SA"/>
        </w:rPr>
        <w:t>том числе</w:t>
      </w:r>
      <w:r w:rsidRPr="004C4873">
        <w:rPr>
          <w:rFonts w:ascii="Times New Roman" w:hAnsi="Times New Roman"/>
          <w:sz w:val="28"/>
          <w:szCs w:val="28"/>
          <w:lang w:eastAsia="ar-SA"/>
        </w:rPr>
        <w:t xml:space="preserve"> 290 мест для детей 3-6 лет). Численность детей в дошкольных образовательных учреждениях в 2024 году может составить 30,5 тыс. человек по базовому варианту прогноза.</w:t>
      </w:r>
    </w:p>
    <w:p w14:paraId="39443B77" w14:textId="77777777" w:rsidR="00704FFF" w:rsidRPr="004C4873" w:rsidRDefault="00704FFF" w:rsidP="00A56CAF">
      <w:pPr>
        <w:pStyle w:val="aa"/>
        <w:spacing w:before="0" w:after="0" w:line="276" w:lineRule="auto"/>
        <w:ind w:firstLine="709"/>
        <w:jc w:val="both"/>
        <w:rPr>
          <w:sz w:val="28"/>
          <w:szCs w:val="28"/>
          <w:highlight w:val="yellow"/>
        </w:rPr>
      </w:pPr>
      <w:r w:rsidRPr="004C4873">
        <w:rPr>
          <w:sz w:val="28"/>
          <w:szCs w:val="28"/>
        </w:rPr>
        <w:t>Численность детей, состоящих на учете для определения в дошкольные образовательные учреждения, будет снижаться и к концу 2024 года составит 4,3-4,0 тыс. детей (снижение на 25,3% и 31,3% к 2021 году) по консервативному и базовому варианту, за счет вновь создаваемых мест, а также за счет сокращения численности детей в городе (рождаемость, миграция).</w:t>
      </w:r>
    </w:p>
    <w:p w14:paraId="09AA2591" w14:textId="77777777" w:rsidR="00704FFF" w:rsidRPr="004C4873" w:rsidRDefault="00704FFF" w:rsidP="00A56CAF">
      <w:pPr>
        <w:pStyle w:val="aa"/>
        <w:spacing w:before="0" w:after="0" w:line="276" w:lineRule="auto"/>
        <w:ind w:firstLine="709"/>
        <w:jc w:val="both"/>
        <w:rPr>
          <w:sz w:val="28"/>
          <w:szCs w:val="28"/>
        </w:rPr>
      </w:pPr>
      <w:r w:rsidRPr="004C4873">
        <w:rPr>
          <w:sz w:val="28"/>
          <w:szCs w:val="28"/>
        </w:rPr>
        <w:t xml:space="preserve">В прогнозном периоде численность детей в возрасте 7-17 лет, напротив, будет расти и к 2024 году составит порядка 91,1 тыс. человек по базовому варианту прогноза (на 6,7% относительно 2021 года). Численность обучающихся в муниципальных общеобразовательных учреждениях увеличится в 2024 году на 6,4% к уровню 2020 года и составит порядка 78,8 тыс. человек. </w:t>
      </w:r>
    </w:p>
    <w:p w14:paraId="5F6FDD47" w14:textId="77777777" w:rsidR="00704FFF" w:rsidRPr="004C4873" w:rsidRDefault="00704FFF" w:rsidP="00A56CAF">
      <w:pPr>
        <w:spacing w:after="0"/>
        <w:ind w:firstLine="709"/>
        <w:contextualSpacing/>
        <w:jc w:val="both"/>
        <w:rPr>
          <w:rFonts w:ascii="Times New Roman" w:hAnsi="Times New Roman"/>
          <w:sz w:val="28"/>
          <w:szCs w:val="28"/>
          <w:lang w:eastAsia="ar-SA"/>
        </w:rPr>
      </w:pPr>
      <w:r w:rsidRPr="004C4873">
        <w:rPr>
          <w:rFonts w:ascii="Times New Roman" w:hAnsi="Times New Roman"/>
          <w:sz w:val="28"/>
          <w:szCs w:val="28"/>
          <w:lang w:eastAsia="ar-SA"/>
        </w:rPr>
        <w:t>Доля детей, занимающихся в первую смену, в прогнозном периоде увеличится за счёт роста численности детей в первых классах и составит в 2024 году 96,8% - 97,6% по двум вариантам прогноза соответственно.</w:t>
      </w:r>
    </w:p>
    <w:p w14:paraId="6188D012" w14:textId="77777777" w:rsidR="00704FFF" w:rsidRPr="004C4873" w:rsidRDefault="00704FFF" w:rsidP="00A56CAF">
      <w:pPr>
        <w:pStyle w:val="aa"/>
        <w:spacing w:before="0" w:after="0" w:line="276" w:lineRule="auto"/>
        <w:ind w:firstLine="709"/>
        <w:jc w:val="both"/>
        <w:rPr>
          <w:sz w:val="28"/>
          <w:szCs w:val="28"/>
        </w:rPr>
      </w:pPr>
      <w:r w:rsidRPr="004C4873">
        <w:rPr>
          <w:sz w:val="28"/>
          <w:szCs w:val="28"/>
        </w:rPr>
        <w:lastRenderedPageBreak/>
        <w:t>В прогнозном периоде будет продолжена работа по реализации национальных проектов.</w:t>
      </w:r>
    </w:p>
    <w:p w14:paraId="58A3363A" w14:textId="77777777" w:rsidR="00704FFF" w:rsidRPr="004C4873" w:rsidRDefault="00704FFF" w:rsidP="00A56CAF">
      <w:pPr>
        <w:pStyle w:val="aa"/>
        <w:spacing w:before="0" w:after="0" w:line="276" w:lineRule="auto"/>
        <w:ind w:firstLine="709"/>
        <w:jc w:val="both"/>
        <w:rPr>
          <w:sz w:val="28"/>
          <w:szCs w:val="28"/>
        </w:rPr>
      </w:pPr>
      <w:r w:rsidRPr="004C4873">
        <w:rPr>
          <w:sz w:val="28"/>
          <w:szCs w:val="28"/>
        </w:rPr>
        <w:t>Руководствуясь постановлением Правительства Самарской области от 02.11.2018 № 635 «Об общей координации реализации национальных и федеральных проектов и внесении изменений в отдельные постановления Правительства Самарской области» и другими нормативными правовыми актами различных уровней, в городском округе Тольятти по отрасли «Образование» реализуются два национальных проекта «Образование» и «Демография».</w:t>
      </w:r>
    </w:p>
    <w:p w14:paraId="08643A4C" w14:textId="77777777" w:rsidR="00704FFF" w:rsidRPr="004C4873" w:rsidRDefault="00704FFF" w:rsidP="00A56CAF">
      <w:pPr>
        <w:pStyle w:val="aa"/>
        <w:spacing w:before="0" w:after="0" w:line="276" w:lineRule="auto"/>
        <w:ind w:firstLine="709"/>
        <w:jc w:val="both"/>
        <w:rPr>
          <w:sz w:val="28"/>
          <w:szCs w:val="28"/>
        </w:rPr>
      </w:pPr>
      <w:r w:rsidRPr="004C4873">
        <w:rPr>
          <w:sz w:val="28"/>
          <w:szCs w:val="28"/>
        </w:rPr>
        <w:t xml:space="preserve"> Финансовая составляющая региональных проектов по городскому округу Тольятти заложена в федеральных проектах «Современная школа» и «Цифровая образовательная среда» национального проекта «Образование», а также в национальном проекте «Демография» (в части, касающейся образования: строительство детских садов).    </w:t>
      </w:r>
    </w:p>
    <w:p w14:paraId="081D2651" w14:textId="77777777" w:rsidR="00704FFF" w:rsidRPr="004C4873" w:rsidRDefault="00704FFF" w:rsidP="00A56CAF">
      <w:pPr>
        <w:shd w:val="clear" w:color="auto" w:fill="FFFFFF"/>
        <w:suppressAutoHyphens/>
        <w:spacing w:after="0"/>
        <w:ind w:firstLine="709"/>
        <w:jc w:val="both"/>
        <w:rPr>
          <w:rFonts w:ascii="Times New Roman" w:hAnsi="Times New Roman"/>
          <w:bCs/>
          <w:sz w:val="28"/>
          <w:szCs w:val="28"/>
        </w:rPr>
      </w:pPr>
      <w:r w:rsidRPr="004C4873">
        <w:rPr>
          <w:rFonts w:ascii="Times New Roman" w:hAnsi="Times New Roman"/>
          <w:bCs/>
          <w:sz w:val="28"/>
          <w:szCs w:val="28"/>
        </w:rPr>
        <w:t xml:space="preserve">Продолжится работа по увеличению охвата детей, занятых в системе дополнительного образования по программам технического творчества, естественнонаучной направленности. </w:t>
      </w:r>
    </w:p>
    <w:p w14:paraId="6153A773" w14:textId="77777777" w:rsidR="00704FFF" w:rsidRPr="004C4873" w:rsidRDefault="00704FFF" w:rsidP="00A56CAF">
      <w:pPr>
        <w:shd w:val="clear" w:color="auto" w:fill="FFFFFF"/>
        <w:suppressAutoHyphens/>
        <w:spacing w:after="0"/>
        <w:ind w:firstLine="709"/>
        <w:jc w:val="both"/>
        <w:rPr>
          <w:rFonts w:ascii="Times New Roman" w:hAnsi="Times New Roman"/>
          <w:sz w:val="28"/>
          <w:szCs w:val="28"/>
        </w:rPr>
      </w:pPr>
      <w:r w:rsidRPr="004C4873">
        <w:rPr>
          <w:rFonts w:ascii="Times New Roman" w:hAnsi="Times New Roman"/>
          <w:sz w:val="28"/>
          <w:szCs w:val="28"/>
        </w:rPr>
        <w:t xml:space="preserve">Развитие технического потенциала подрастающего поколения - одна из стратегических задач развития городского округа Тольятти и Самарской области. </w:t>
      </w:r>
    </w:p>
    <w:p w14:paraId="614BBF31" w14:textId="77777777" w:rsidR="00704FFF" w:rsidRPr="004C4873" w:rsidRDefault="00704FFF" w:rsidP="00A56CAF">
      <w:pPr>
        <w:tabs>
          <w:tab w:val="left" w:pos="426"/>
        </w:tabs>
        <w:spacing w:after="0"/>
        <w:ind w:firstLine="709"/>
        <w:jc w:val="both"/>
        <w:rPr>
          <w:rFonts w:ascii="Times New Roman" w:hAnsi="Times New Roman"/>
          <w:sz w:val="28"/>
          <w:szCs w:val="28"/>
        </w:rPr>
      </w:pPr>
      <w:r w:rsidRPr="004C4873">
        <w:rPr>
          <w:rFonts w:ascii="Times New Roman" w:hAnsi="Times New Roman"/>
          <w:sz w:val="28"/>
          <w:szCs w:val="28"/>
        </w:rPr>
        <w:t>В рамках составляющей национального проекта «Успех каждого ребенка», в целях сохранения к 2024 году доли детей в возрасте от 5 до 18 лет (на уровне 83%), охваченных дополнительным образованием, на территории городского округа Тольятти создан центр цифрового образования «IT-куб» на базе МБОУ ДО ГЦИР, продолжит осуществлять подготовку будущих кадров для территории опережающего развития и национального центра инжиниринга в городском округе Тольятти на качественно ином уровне детский технопарк «</w:t>
      </w:r>
      <w:proofErr w:type="spellStart"/>
      <w:r w:rsidRPr="004C4873">
        <w:rPr>
          <w:rFonts w:ascii="Times New Roman" w:hAnsi="Times New Roman"/>
          <w:sz w:val="28"/>
          <w:szCs w:val="28"/>
        </w:rPr>
        <w:t>Кванториум</w:t>
      </w:r>
      <w:proofErr w:type="spellEnd"/>
      <w:r w:rsidRPr="004C4873">
        <w:rPr>
          <w:rFonts w:ascii="Times New Roman" w:hAnsi="Times New Roman"/>
          <w:sz w:val="28"/>
          <w:szCs w:val="28"/>
        </w:rPr>
        <w:t>».</w:t>
      </w:r>
    </w:p>
    <w:p w14:paraId="31F2A187" w14:textId="64021AAE" w:rsidR="00704FFF" w:rsidRPr="004C4873" w:rsidRDefault="00704FFF" w:rsidP="00A56CAF">
      <w:pPr>
        <w:tabs>
          <w:tab w:val="left" w:pos="993"/>
        </w:tabs>
        <w:snapToGrid w:val="0"/>
        <w:spacing w:after="0"/>
        <w:ind w:firstLine="709"/>
        <w:jc w:val="both"/>
        <w:rPr>
          <w:rFonts w:ascii="Times New Roman" w:hAnsi="Times New Roman"/>
          <w:sz w:val="28"/>
          <w:szCs w:val="28"/>
        </w:rPr>
      </w:pPr>
      <w:r w:rsidRPr="004C4873">
        <w:rPr>
          <w:rFonts w:ascii="Times New Roman" w:hAnsi="Times New Roman"/>
          <w:sz w:val="28"/>
          <w:szCs w:val="28"/>
        </w:rPr>
        <w:t>Сводный показатель охвата дополнительным образованием детей в 2024 году незначительно снизится (на 0,5%) по консервативному варианту и останется на уровне 83,0% по базовому варианту соответственно. Следует отметить, что показатель охвата дополнительным образованием детей в возрасте от 5 до 18 лет включает численность детей по учреждениям отраслей «Образование», «Культура» и «Физкультура», а также организациям, имеющим право на осуществление деятельности по дополнительным общеобразовательным программам (согласно лицензии)</w:t>
      </w:r>
      <w:r w:rsidR="00D36B9D">
        <w:rPr>
          <w:rFonts w:ascii="Times New Roman" w:hAnsi="Times New Roman"/>
          <w:sz w:val="28"/>
          <w:szCs w:val="28"/>
        </w:rPr>
        <w:t>.</w:t>
      </w:r>
    </w:p>
    <w:p w14:paraId="45FF109D" w14:textId="6E7EAF33" w:rsidR="005848E6" w:rsidRDefault="00704FFF" w:rsidP="005848E6">
      <w:pPr>
        <w:suppressAutoHyphens/>
        <w:ind w:firstLine="709"/>
        <w:jc w:val="both"/>
        <w:rPr>
          <w:rFonts w:ascii="Times New Roman" w:hAnsi="Times New Roman"/>
          <w:sz w:val="28"/>
          <w:szCs w:val="28"/>
        </w:rPr>
      </w:pPr>
      <w:r w:rsidRPr="004C4873">
        <w:rPr>
          <w:rFonts w:ascii="Times New Roman" w:hAnsi="Times New Roman"/>
          <w:sz w:val="28"/>
          <w:szCs w:val="28"/>
        </w:rPr>
        <w:t xml:space="preserve">Городские мероприятия для молодежи городского округа Тольятти предусмотрены в рамках муниципальной программы </w:t>
      </w:r>
      <w:r w:rsidR="00A43C33">
        <w:rPr>
          <w:rFonts w:ascii="Times New Roman" w:hAnsi="Times New Roman"/>
          <w:sz w:val="28"/>
          <w:szCs w:val="28"/>
        </w:rPr>
        <w:t xml:space="preserve">городского округа Тольятти </w:t>
      </w:r>
      <w:r w:rsidRPr="004C4873">
        <w:rPr>
          <w:rFonts w:ascii="Times New Roman" w:hAnsi="Times New Roman"/>
          <w:sz w:val="28"/>
          <w:szCs w:val="28"/>
        </w:rPr>
        <w:t>«Молодежь Тольятти на 2021-2030 гг.»</w:t>
      </w:r>
      <w:r w:rsidR="00A43C33">
        <w:rPr>
          <w:rFonts w:ascii="Times New Roman" w:hAnsi="Times New Roman"/>
          <w:sz w:val="28"/>
          <w:szCs w:val="28"/>
        </w:rPr>
        <w:t xml:space="preserve">, утвержденной </w:t>
      </w:r>
      <w:r w:rsidR="00A43C33" w:rsidRPr="00A43C33">
        <w:rPr>
          <w:rFonts w:ascii="Times New Roman" w:hAnsi="Times New Roman"/>
          <w:sz w:val="28"/>
          <w:szCs w:val="28"/>
        </w:rPr>
        <w:lastRenderedPageBreak/>
        <w:t>постановлением администрации городского округа Тольятти №3066-п/1 от 09.10.2020</w:t>
      </w:r>
      <w:r w:rsidRPr="004C4873">
        <w:rPr>
          <w:rFonts w:ascii="Times New Roman" w:hAnsi="Times New Roman"/>
          <w:sz w:val="28"/>
          <w:szCs w:val="28"/>
        </w:rPr>
        <w:t xml:space="preserve">. В 2022-2024 годах планируется сохранить 100% уровень достижения результата. </w:t>
      </w:r>
    </w:p>
    <w:p w14:paraId="3D79DD6C" w14:textId="5A77EE55" w:rsidR="0024525F" w:rsidRPr="00C45F3B" w:rsidRDefault="0024525F" w:rsidP="005848E6">
      <w:pPr>
        <w:suppressAutoHyphens/>
        <w:ind w:firstLine="709"/>
        <w:jc w:val="center"/>
        <w:rPr>
          <w:rFonts w:ascii="Times New Roman" w:hAnsi="Times New Roman"/>
          <w:b/>
          <w:bCs/>
          <w:sz w:val="28"/>
          <w:szCs w:val="28"/>
        </w:rPr>
      </w:pPr>
      <w:r w:rsidRPr="00C45F3B">
        <w:rPr>
          <w:rFonts w:ascii="Times New Roman" w:hAnsi="Times New Roman"/>
          <w:b/>
          <w:bCs/>
          <w:sz w:val="28"/>
          <w:szCs w:val="28"/>
        </w:rPr>
        <w:t>Культура</w:t>
      </w:r>
      <w:bookmarkStart w:id="10" w:name="культура"/>
      <w:bookmarkEnd w:id="10"/>
    </w:p>
    <w:p w14:paraId="7C609CC2" w14:textId="55F3B9ED" w:rsidR="00F0428C" w:rsidRPr="00F0428C" w:rsidRDefault="00F0428C" w:rsidP="00A56CAF">
      <w:pPr>
        <w:pStyle w:val="af"/>
        <w:numPr>
          <w:ilvl w:val="0"/>
          <w:numId w:val="2"/>
        </w:numPr>
        <w:spacing w:line="276" w:lineRule="auto"/>
        <w:ind w:left="0" w:firstLine="709"/>
        <w:jc w:val="both"/>
        <w:rPr>
          <w:highlight w:val="yellow"/>
        </w:rPr>
      </w:pPr>
      <w:r w:rsidRPr="00F0428C">
        <w:t xml:space="preserve">Изменений в структуре сети учреждений культуры и искусства и дополнительного образования </w:t>
      </w:r>
      <w:r>
        <w:t>в прогнозном периоде</w:t>
      </w:r>
      <w:r w:rsidRPr="00F0428C">
        <w:t xml:space="preserve"> 2022-2024 гг. в настоящий момент не планируется.</w:t>
      </w:r>
    </w:p>
    <w:p w14:paraId="0E563A29" w14:textId="5AE4D915" w:rsidR="00862820" w:rsidRPr="00F0428C" w:rsidRDefault="00862820" w:rsidP="00A56CAF">
      <w:pPr>
        <w:pStyle w:val="af"/>
        <w:numPr>
          <w:ilvl w:val="0"/>
          <w:numId w:val="2"/>
        </w:numPr>
        <w:spacing w:line="276" w:lineRule="auto"/>
        <w:ind w:left="0" w:firstLine="709"/>
        <w:jc w:val="both"/>
      </w:pPr>
      <w:r w:rsidRPr="00F0428C">
        <w:t>При сохранении количества общедоступных библиотек (43 единицы), а также за счет прогнозируемого снижения численности населения городского округа Тольятти значение показателя обеспеченности общедоступными библиотеками ожидается на уровне 0,6</w:t>
      </w:r>
      <w:r w:rsidR="00F0428C">
        <w:t>3</w:t>
      </w:r>
      <w:r w:rsidRPr="00F0428C">
        <w:t xml:space="preserve"> учреждения на 10 тыс. населения в 202</w:t>
      </w:r>
      <w:r w:rsidR="00F0428C">
        <w:t>2</w:t>
      </w:r>
      <w:r w:rsidRPr="00F0428C">
        <w:t>-202</w:t>
      </w:r>
      <w:r w:rsidR="00F0428C">
        <w:t>3</w:t>
      </w:r>
      <w:r w:rsidRPr="00F0428C">
        <w:t> годах и 0,6</w:t>
      </w:r>
      <w:r w:rsidR="00F0428C">
        <w:t>4</w:t>
      </w:r>
      <w:r w:rsidRPr="00F0428C">
        <w:t> учреждения на 10 тыс. населения в 202</w:t>
      </w:r>
      <w:r w:rsidR="00F0428C">
        <w:t>4</w:t>
      </w:r>
      <w:r w:rsidRPr="00F0428C">
        <w:t> году.</w:t>
      </w:r>
    </w:p>
    <w:p w14:paraId="1D01E581" w14:textId="77777777" w:rsidR="00862820" w:rsidRPr="00F0428C" w:rsidRDefault="00862820" w:rsidP="00A56CAF">
      <w:pPr>
        <w:pStyle w:val="af"/>
        <w:numPr>
          <w:ilvl w:val="0"/>
          <w:numId w:val="2"/>
        </w:numPr>
        <w:spacing w:line="276" w:lineRule="auto"/>
        <w:ind w:left="0" w:firstLine="709"/>
        <w:jc w:val="both"/>
      </w:pPr>
      <w:r w:rsidRPr="00F0428C">
        <w:t xml:space="preserve">В прогнозном периоде ожидается сохранение обеспеченности учреждениями культурно-досугового типа (5 единиц) на уровне 0,07 учреждений на 10 тыс. населения. </w:t>
      </w:r>
    </w:p>
    <w:p w14:paraId="517659CC" w14:textId="77777777" w:rsidR="00F0428C" w:rsidRDefault="00F0428C" w:rsidP="00A56CAF">
      <w:pPr>
        <w:pStyle w:val="af"/>
        <w:widowControl w:val="0"/>
        <w:numPr>
          <w:ilvl w:val="0"/>
          <w:numId w:val="2"/>
        </w:numPr>
        <w:spacing w:before="120" w:line="276" w:lineRule="auto"/>
        <w:ind w:left="0" w:firstLine="709"/>
        <w:jc w:val="both"/>
      </w:pPr>
      <w:r>
        <w:t>В</w:t>
      </w:r>
      <w:r w:rsidRPr="00F0428C">
        <w:t xml:space="preserve"> 2022-202</w:t>
      </w:r>
      <w:r>
        <w:t>4</w:t>
      </w:r>
      <w:r w:rsidRPr="00F0428C">
        <w:t xml:space="preserve"> годы </w:t>
      </w:r>
      <w:r>
        <w:t xml:space="preserve">в </w:t>
      </w:r>
      <w:r w:rsidRPr="00F0428C">
        <w:t>услови</w:t>
      </w:r>
      <w:r>
        <w:t>ях</w:t>
      </w:r>
      <w:r w:rsidRPr="00F0428C">
        <w:t xml:space="preserve"> сохранения требований по соблюдению мер социального дистанцирования и иных ограничительных мер и требований к проведению культурно-массовых мероприятий рассматривается как консервативный сценарий, в этом случае предполагается незначительное увеличение показателя по сравнению с оценкой 2021 года. </w:t>
      </w:r>
    </w:p>
    <w:p w14:paraId="27AB0543" w14:textId="77777777" w:rsidR="00F0428C" w:rsidRDefault="00F0428C" w:rsidP="00A56CAF">
      <w:pPr>
        <w:pStyle w:val="af"/>
        <w:widowControl w:val="0"/>
        <w:numPr>
          <w:ilvl w:val="0"/>
          <w:numId w:val="2"/>
        </w:numPr>
        <w:spacing w:before="120" w:line="276" w:lineRule="auto"/>
        <w:ind w:left="0" w:firstLine="709"/>
        <w:jc w:val="both"/>
      </w:pPr>
      <w:r w:rsidRPr="00F0428C">
        <w:t xml:space="preserve">В случае отмены ограничительных мероприятий в полном объеме либо изменения методики расчета количества посещений в части учета мероприятий в виртуальном формате на интернет-ресурсах, рассматриваемых реализация базового сценария значение показателя «Количество посещений социокультурных мероприятий на территории муниципального образования» будет увеличиваться, в том числе с учетом выполнения показателя национального проекта «Культура» «Увеличение количества посещений учреждений культуры». </w:t>
      </w:r>
    </w:p>
    <w:p w14:paraId="0301246E" w14:textId="66F5AA89" w:rsidR="00F0428C" w:rsidRDefault="00F0428C" w:rsidP="00A56CAF">
      <w:pPr>
        <w:pStyle w:val="af"/>
        <w:widowControl w:val="0"/>
        <w:numPr>
          <w:ilvl w:val="0"/>
          <w:numId w:val="2"/>
        </w:numPr>
        <w:spacing w:before="120" w:line="276" w:lineRule="auto"/>
        <w:ind w:left="0" w:firstLine="709"/>
        <w:jc w:val="both"/>
      </w:pPr>
      <w:r w:rsidRPr="00F0428C">
        <w:t xml:space="preserve">Таким образом, в 2024 году по отношению к оценке 2021 года количество посещений социокультурных мероприятий на 1000 чел. населения увеличится на </w:t>
      </w:r>
      <w:r>
        <w:t>2,7</w:t>
      </w:r>
      <w:r w:rsidRPr="00F0428C">
        <w:t>-</w:t>
      </w:r>
      <w:r>
        <w:t>43,4</w:t>
      </w:r>
      <w:r w:rsidRPr="00F0428C">
        <w:t>% по вариантам прогноза.</w:t>
      </w:r>
    </w:p>
    <w:p w14:paraId="1D46E5D5" w14:textId="5DDF4AEE" w:rsidR="006C4920" w:rsidRDefault="006C4920" w:rsidP="00A56CAF">
      <w:pPr>
        <w:pStyle w:val="af"/>
        <w:widowControl w:val="0"/>
        <w:numPr>
          <w:ilvl w:val="0"/>
          <w:numId w:val="2"/>
        </w:numPr>
        <w:spacing w:before="120" w:line="276" w:lineRule="auto"/>
        <w:ind w:left="0" w:firstLine="709"/>
        <w:jc w:val="both"/>
      </w:pPr>
      <w:r>
        <w:t xml:space="preserve">В прогнозном периоде будет продолжена работа по участию в мероприятиях и конкурсах национального проекта «Культура», а также иных федеральных и региональных проектах и программах, в том числе планируется: участие в федеральном проекте «Театр – детям» (2021-2023 годы), участие в региональном проекте «Содействие» (2022 год),  оснащение МБУ ДО ШИ им. М.А. Балакирева (ул. Мурысева,89а)  музыкальными инструментами, оборудованием и учебными материалами (2022 г.), </w:t>
      </w:r>
      <w:r>
        <w:lastRenderedPageBreak/>
        <w:t>осуществление капитального ремонта МБУ ДО Школа искусств № 1, ул. Шлюзовая, 3 (2023 год), участие в  конкурсе на создание модельных библиотек на базе МБУК «Объединение детских библиотек» и МБУК «Библиотеки Тольятти» (2022-2023 годы), Библиотеки МАУ «КЦ «Автоград».</w:t>
      </w:r>
    </w:p>
    <w:p w14:paraId="43EBE2BD" w14:textId="51083F21" w:rsidR="006C4920" w:rsidRDefault="006C4920" w:rsidP="00A56CAF">
      <w:pPr>
        <w:pStyle w:val="af"/>
        <w:widowControl w:val="0"/>
        <w:numPr>
          <w:ilvl w:val="0"/>
          <w:numId w:val="2"/>
        </w:numPr>
        <w:spacing w:before="120" w:line="276" w:lineRule="auto"/>
        <w:ind w:left="0" w:firstLine="709"/>
        <w:jc w:val="both"/>
      </w:pPr>
      <w:r>
        <w:t>Для участия в отборе на предоставление средств федерального бюджета на 2022-2024 годы в министерство культуры Самарской области направлена заявка на реконструкцию здания муниципального бюджетного учреждения дополнительного образования детская музыкальная школа № 4 имени заслуженного работника культуры Российской Федерации Владимира Михайловича Свердлова городского округа Тольятти, расположенного по адресу: г. Тольятти, пр. Степана Разина,95, со строительством корпуса для муниципального бюджетного учреждения дополнительного образования детская хореографическая школа имени М.М. Плисецкой городского округа Тольятти.</w:t>
      </w:r>
    </w:p>
    <w:p w14:paraId="2B24AB46" w14:textId="446AC84E" w:rsidR="006C4920" w:rsidRPr="006C4920" w:rsidRDefault="006C4920" w:rsidP="005848E6">
      <w:pPr>
        <w:pStyle w:val="af"/>
        <w:widowControl w:val="0"/>
        <w:numPr>
          <w:ilvl w:val="0"/>
          <w:numId w:val="2"/>
        </w:numPr>
        <w:spacing w:before="120" w:line="276" w:lineRule="auto"/>
        <w:ind w:left="0" w:firstLine="709"/>
        <w:jc w:val="both"/>
        <w:rPr>
          <w:b/>
        </w:rPr>
      </w:pPr>
      <w:r>
        <w:t xml:space="preserve">На имя первого вице-губернатора – председателя Правительства Самарской области Кудряшова В.В. направлено обращение о выделении средств областного бюджета в 2022  году на выполнение мероприятия «Проектирование ремонтно-реставрационных работ по сохранению объекта культурного наследия с приспособлением для современного использования муниципального бюджетного учреждения искусства городского округа Тольятти «Тольяттинский театр кукол» г.о. Тольятти», площадь Свободы, 2». </w:t>
      </w:r>
    </w:p>
    <w:p w14:paraId="6F57781A" w14:textId="77777777" w:rsidR="005848E6" w:rsidRDefault="005848E6" w:rsidP="005848E6">
      <w:pPr>
        <w:pStyle w:val="af"/>
        <w:widowControl w:val="0"/>
        <w:numPr>
          <w:ilvl w:val="0"/>
          <w:numId w:val="2"/>
        </w:numPr>
        <w:spacing w:before="120" w:line="276" w:lineRule="auto"/>
        <w:ind w:left="0"/>
        <w:jc w:val="center"/>
        <w:rPr>
          <w:b/>
        </w:rPr>
      </w:pPr>
    </w:p>
    <w:p w14:paraId="60BC4229" w14:textId="3D4085BD" w:rsidR="000C5A22" w:rsidRDefault="000C5A22" w:rsidP="005848E6">
      <w:pPr>
        <w:pStyle w:val="af"/>
        <w:widowControl w:val="0"/>
        <w:numPr>
          <w:ilvl w:val="0"/>
          <w:numId w:val="2"/>
        </w:numPr>
        <w:spacing w:before="120" w:line="276" w:lineRule="auto"/>
        <w:ind w:left="0"/>
        <w:jc w:val="center"/>
        <w:rPr>
          <w:b/>
        </w:rPr>
      </w:pPr>
      <w:r w:rsidRPr="004C4873">
        <w:rPr>
          <w:b/>
        </w:rPr>
        <w:t>Физическая культура и спорт</w:t>
      </w:r>
    </w:p>
    <w:p w14:paraId="75A624A1" w14:textId="178D3A58" w:rsidR="00257CB7" w:rsidRPr="004C4873" w:rsidRDefault="00257CB7" w:rsidP="005848E6">
      <w:pPr>
        <w:pStyle w:val="af"/>
        <w:widowControl w:val="0"/>
        <w:numPr>
          <w:ilvl w:val="0"/>
          <w:numId w:val="2"/>
        </w:numPr>
        <w:spacing w:before="120" w:line="276" w:lineRule="auto"/>
        <w:ind w:left="0" w:firstLine="709"/>
        <w:jc w:val="both"/>
      </w:pPr>
      <w:r w:rsidRPr="004C4873">
        <w:t xml:space="preserve">Основной целью развития отрасли является создание в городском округе </w:t>
      </w:r>
      <w:r w:rsidR="00A43C33">
        <w:t xml:space="preserve">Тольятти </w:t>
      </w:r>
      <w:r w:rsidRPr="004C4873">
        <w:t>условий для роста численности населения, систематически занимающегося физической культурой и спортом.</w:t>
      </w:r>
    </w:p>
    <w:p w14:paraId="01D83A77" w14:textId="77777777" w:rsidR="00257CB7" w:rsidRPr="004C4873" w:rsidRDefault="00257CB7" w:rsidP="00EE6E8F">
      <w:pPr>
        <w:pStyle w:val="af"/>
        <w:widowControl w:val="0"/>
        <w:numPr>
          <w:ilvl w:val="0"/>
          <w:numId w:val="2"/>
        </w:numPr>
        <w:spacing w:line="276" w:lineRule="auto"/>
        <w:ind w:left="0" w:firstLine="709"/>
        <w:jc w:val="both"/>
      </w:pPr>
      <w:r w:rsidRPr="004C4873">
        <w:t xml:space="preserve">Приоритетным направлением работы по развитию физической культуры и спорта в прогнозном периоде определено развитие спортивной инфраструктуры, в том числе, проектирование и строительство новых спортивных сооружений и реконструкция имеющихся спортивных объектов для более эффективного их использования, и увеличения пропускной способности. </w:t>
      </w:r>
    </w:p>
    <w:p w14:paraId="5F479203" w14:textId="06AD720A" w:rsidR="00257CB7" w:rsidRPr="004C4873" w:rsidRDefault="00257CB7" w:rsidP="00EE6E8F">
      <w:pPr>
        <w:pStyle w:val="af"/>
        <w:numPr>
          <w:ilvl w:val="0"/>
          <w:numId w:val="2"/>
        </w:numPr>
        <w:overflowPunct w:val="0"/>
        <w:autoSpaceDE w:val="0"/>
        <w:spacing w:line="276" w:lineRule="auto"/>
        <w:ind w:left="0" w:firstLine="709"/>
        <w:jc w:val="both"/>
      </w:pPr>
      <w:r w:rsidRPr="004C4873">
        <w:t xml:space="preserve">Для положительной динамики численности населения, систематически занимающихся физической культурой и спортом, имеется потребность по введению ставок инструкторов по спорту в МБУС </w:t>
      </w:r>
      <w:r w:rsidR="005569BE">
        <w:t>«</w:t>
      </w:r>
      <w:r w:rsidRPr="004C4873">
        <w:t>Центр физической культуры и спорта</w:t>
      </w:r>
      <w:r w:rsidR="005569BE">
        <w:t>»</w:t>
      </w:r>
      <w:r w:rsidRPr="004C4873">
        <w:t xml:space="preserve">, введенных в 2016-2019 годах с 27 ед. до 89 ед., в соответствии с рекомендациями </w:t>
      </w:r>
      <w:r w:rsidR="00DB60A1">
        <w:t>м</w:t>
      </w:r>
      <w:r w:rsidRPr="004C4873">
        <w:t>инистерства спорта Самарской области, устанавливающими показатель из расчёта - 1 инструктор на 8 000 жителей.</w:t>
      </w:r>
    </w:p>
    <w:p w14:paraId="57B9726E" w14:textId="77777777" w:rsidR="00257CB7" w:rsidRPr="004C4873" w:rsidRDefault="00257CB7" w:rsidP="00EE6E8F">
      <w:pPr>
        <w:pStyle w:val="af"/>
        <w:widowControl w:val="0"/>
        <w:numPr>
          <w:ilvl w:val="0"/>
          <w:numId w:val="2"/>
        </w:numPr>
        <w:overflowPunct w:val="0"/>
        <w:autoSpaceDE w:val="0"/>
        <w:autoSpaceDN w:val="0"/>
        <w:adjustRightInd w:val="0"/>
        <w:spacing w:line="276" w:lineRule="auto"/>
        <w:ind w:left="0" w:firstLine="709"/>
        <w:jc w:val="both"/>
        <w:textAlignment w:val="baseline"/>
      </w:pPr>
      <w:r w:rsidRPr="004C4873">
        <w:lastRenderedPageBreak/>
        <w:t xml:space="preserve">Кроме того, для повышения качества предоставления услуг, проведения учебно-тренировочных занятий и физкультурных мероприятий и спортивных мероприятий, привлечения обучающихся образовательных организаций к регулярным занятиям физической культурой и спортом, удовлетворения потребностей населения, а также повышения интереса различных категорий граждан к занятиям физической культурой и спортом, необходимо создание малобюджетных спортивных объектов в шаговой доступности и выполнить ремонт пришкольных спортивных площадок, оснащение их оборудованием в соответствии с современными требованиями. </w:t>
      </w:r>
    </w:p>
    <w:p w14:paraId="0067C1AD" w14:textId="77777777" w:rsidR="00257CB7" w:rsidRPr="004C4873" w:rsidRDefault="00257CB7" w:rsidP="00EE6E8F">
      <w:pPr>
        <w:pStyle w:val="af"/>
        <w:numPr>
          <w:ilvl w:val="0"/>
          <w:numId w:val="2"/>
        </w:numPr>
        <w:autoSpaceDE w:val="0"/>
        <w:autoSpaceDN w:val="0"/>
        <w:adjustRightInd w:val="0"/>
        <w:spacing w:line="276" w:lineRule="auto"/>
        <w:ind w:left="0" w:firstLine="709"/>
        <w:jc w:val="both"/>
      </w:pPr>
      <w:r w:rsidRPr="004C4873">
        <w:t>Наличие соответствующих современным требованиям спортивных сооружений сможет повысить интерес различных категорий граждан к занятиям физической культурой и спортом, будет способствовать развитию массового спорта, спартакиадного движения, увеличению двигательной активности населения, улучшению физической подготовленности молодежи допризывного возраста.</w:t>
      </w:r>
    </w:p>
    <w:p w14:paraId="277DC9EA" w14:textId="77777777" w:rsidR="00257CB7" w:rsidRPr="004C4873" w:rsidRDefault="00257CB7" w:rsidP="00EE6E8F">
      <w:pPr>
        <w:pStyle w:val="af"/>
        <w:numPr>
          <w:ilvl w:val="0"/>
          <w:numId w:val="2"/>
        </w:numPr>
        <w:autoSpaceDE w:val="0"/>
        <w:autoSpaceDN w:val="0"/>
        <w:adjustRightInd w:val="0"/>
        <w:spacing w:line="276" w:lineRule="auto"/>
        <w:ind w:left="0" w:firstLine="709"/>
        <w:jc w:val="both"/>
      </w:pPr>
      <w:r w:rsidRPr="004C4873">
        <w:t>В рамках национального проекта «Демография» реализуются цели и задачи, поставленные в Указе Президента Российской Федерации от 07.05.2018 № 204 «О национальных целях и стратегических задачах развития Российской Федерации на период до 2024 года». В сфере физической культуры и спорта действует федеральный проект «Спорт - норма жизни» с целью доведения к 2024 году до 56% доли граждан, систематически занимающихся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а также подготовки спортивного резерва и развития спортивной инфраструктуры.</w:t>
      </w:r>
    </w:p>
    <w:p w14:paraId="1FB7D51A" w14:textId="47307394" w:rsidR="00257CB7" w:rsidRPr="004C4873" w:rsidRDefault="00257CB7" w:rsidP="00EE6E8F">
      <w:pPr>
        <w:pStyle w:val="af"/>
        <w:numPr>
          <w:ilvl w:val="0"/>
          <w:numId w:val="2"/>
        </w:numPr>
        <w:spacing w:line="276" w:lineRule="auto"/>
        <w:ind w:left="0" w:firstLine="709"/>
        <w:jc w:val="both"/>
      </w:pPr>
      <w:r w:rsidRPr="004C4873">
        <w:t xml:space="preserve">В целях решения проблемы недостаточности материально-технической базы для занятий физической культурой и спортом разработана муниципальная программа </w:t>
      </w:r>
      <w:r w:rsidR="005569BE">
        <w:t xml:space="preserve">городского округа Тольятти </w:t>
      </w:r>
      <w:r w:rsidRPr="004C4873">
        <w:t>«Развитие физической культуры и спорта в городском округе Тольятти на 2022-2026 годы»</w:t>
      </w:r>
      <w:r w:rsidR="005569BE">
        <w:t>, утвержденная п</w:t>
      </w:r>
      <w:r w:rsidR="005569BE" w:rsidRPr="005569BE">
        <w:t>остановлением администрации городского округа Тольятти № 2572-п/1 от 21.07.2021</w:t>
      </w:r>
      <w:r w:rsidR="005569BE">
        <w:t>,</w:t>
      </w:r>
      <w:r w:rsidRPr="004C4873">
        <w:t xml:space="preserve"> одной из задач которой предусматривается строительство, реконструкция и капитальный ремонт спортивных объектов в прогнозируемом периоде. </w:t>
      </w:r>
    </w:p>
    <w:p w14:paraId="6A77060F" w14:textId="77777777" w:rsidR="00257CB7" w:rsidRPr="004C4873" w:rsidRDefault="00257CB7" w:rsidP="00EE6E8F">
      <w:pPr>
        <w:pStyle w:val="af"/>
        <w:numPr>
          <w:ilvl w:val="0"/>
          <w:numId w:val="2"/>
        </w:numPr>
        <w:spacing w:line="276" w:lineRule="auto"/>
        <w:ind w:left="0" w:firstLine="709"/>
        <w:jc w:val="both"/>
      </w:pPr>
      <w:r w:rsidRPr="004C4873">
        <w:t xml:space="preserve">В результате реализации мероприятий муниципальной программы на 2022-2026 годы планируется строительство новых спортивных объектов и реконструкция (ремонт) имеющихся спортивных сооружений, что будет способствовать созданию временных рабочих мест в процессе строительства </w:t>
      </w:r>
      <w:r w:rsidRPr="004C4873">
        <w:lastRenderedPageBreak/>
        <w:t xml:space="preserve">объектов, а по окончанию строительства при сдаче объектов повлечет за собой создание новых рабочих мест, как для специалистов сферы физической культуры и спорта, так и обслуживающего персонала по обслуживанию объектов, проведению занятий с населением. </w:t>
      </w:r>
    </w:p>
    <w:p w14:paraId="73304F74" w14:textId="77777777" w:rsidR="00257CB7" w:rsidRPr="004C4873" w:rsidRDefault="00257CB7" w:rsidP="00EE6E8F">
      <w:pPr>
        <w:pStyle w:val="af"/>
        <w:numPr>
          <w:ilvl w:val="0"/>
          <w:numId w:val="2"/>
        </w:numPr>
        <w:spacing w:line="276" w:lineRule="auto"/>
        <w:ind w:left="0" w:firstLine="709"/>
        <w:jc w:val="both"/>
      </w:pPr>
      <w:r w:rsidRPr="004C4873">
        <w:t>В прогнозном периоде в рамках государственной программы Самарской области «Развитие физической культуры и спорта в Самарской области на 2014-2023 годы» запланированы мероприятия по строительству следующих спортивных объектов:</w:t>
      </w:r>
    </w:p>
    <w:p w14:paraId="1F650576" w14:textId="77777777" w:rsidR="00257CB7" w:rsidRPr="004C4873" w:rsidRDefault="00257CB7" w:rsidP="00EE6E8F">
      <w:pPr>
        <w:pStyle w:val="af"/>
        <w:numPr>
          <w:ilvl w:val="0"/>
          <w:numId w:val="2"/>
        </w:numPr>
        <w:spacing w:line="276" w:lineRule="auto"/>
        <w:ind w:left="0" w:firstLine="709"/>
        <w:jc w:val="both"/>
      </w:pPr>
      <w:r w:rsidRPr="004C4873">
        <w:t xml:space="preserve">- физкультурно-оздоровительный комплекс в </w:t>
      </w:r>
      <w:proofErr w:type="spellStart"/>
      <w:proofErr w:type="gramStart"/>
      <w:r w:rsidRPr="004C4873">
        <w:t>мкр.Шлюзовой</w:t>
      </w:r>
      <w:proofErr w:type="spellEnd"/>
      <w:proofErr w:type="gramEnd"/>
      <w:r w:rsidRPr="004C4873">
        <w:t xml:space="preserve"> (мероприятия будут осуществляться в том числе и в рамках реализации муниципальной программы «Развитие физической культуры и спорта в городском округе Тольятти на 2022-2026 годы»);</w:t>
      </w:r>
    </w:p>
    <w:p w14:paraId="018F3E23" w14:textId="77777777" w:rsidR="00257CB7" w:rsidRPr="004C4873" w:rsidRDefault="00257CB7" w:rsidP="00EE6E8F">
      <w:pPr>
        <w:pStyle w:val="af"/>
        <w:numPr>
          <w:ilvl w:val="0"/>
          <w:numId w:val="2"/>
        </w:numPr>
        <w:spacing w:line="276" w:lineRule="auto"/>
        <w:ind w:left="0" w:firstLine="709"/>
        <w:jc w:val="both"/>
      </w:pPr>
      <w:r w:rsidRPr="004C4873">
        <w:t>- физкультурно-спортивный комплекс (площадка «Певческое поле»);</w:t>
      </w:r>
    </w:p>
    <w:p w14:paraId="6F4F7604" w14:textId="77777777" w:rsidR="00257CB7" w:rsidRPr="004C4873" w:rsidRDefault="00257CB7" w:rsidP="00EE6E8F">
      <w:pPr>
        <w:pStyle w:val="af"/>
        <w:numPr>
          <w:ilvl w:val="0"/>
          <w:numId w:val="2"/>
        </w:numPr>
        <w:spacing w:line="276" w:lineRule="auto"/>
        <w:ind w:left="0" w:firstLine="709"/>
        <w:jc w:val="both"/>
      </w:pPr>
      <w:r w:rsidRPr="004C4873">
        <w:t>- центр спортивной гимнастики «Немов-центр»;</w:t>
      </w:r>
    </w:p>
    <w:p w14:paraId="566F6539" w14:textId="77777777" w:rsidR="00257CB7" w:rsidRPr="004C4873" w:rsidRDefault="00257CB7" w:rsidP="00EE6E8F">
      <w:pPr>
        <w:pStyle w:val="af"/>
        <w:numPr>
          <w:ilvl w:val="0"/>
          <w:numId w:val="2"/>
        </w:numPr>
        <w:spacing w:line="276" w:lineRule="auto"/>
        <w:ind w:left="0" w:firstLine="709"/>
        <w:jc w:val="both"/>
      </w:pPr>
      <w:r w:rsidRPr="004C4873">
        <w:t>- устройство универсальных спортивных площадок - 17 ед. (срок реализации 2022 год).</w:t>
      </w:r>
    </w:p>
    <w:p w14:paraId="0A8B2522" w14:textId="77777777" w:rsidR="00257CB7" w:rsidRPr="004C4873" w:rsidRDefault="00257CB7" w:rsidP="00EE6E8F">
      <w:pPr>
        <w:pStyle w:val="aa"/>
        <w:numPr>
          <w:ilvl w:val="0"/>
          <w:numId w:val="2"/>
        </w:numPr>
        <w:shd w:val="clear" w:color="auto" w:fill="FFFFFF" w:themeFill="background1"/>
        <w:spacing w:before="0" w:after="0" w:line="276" w:lineRule="auto"/>
        <w:ind w:left="0" w:firstLine="709"/>
        <w:jc w:val="both"/>
        <w:rPr>
          <w:sz w:val="28"/>
          <w:szCs w:val="28"/>
        </w:rPr>
      </w:pPr>
      <w:r w:rsidRPr="004C4873">
        <w:rPr>
          <w:sz w:val="28"/>
          <w:szCs w:val="28"/>
        </w:rPr>
        <w:t>В прогнозном периоде предполагается рост уровня фактической обеспеченности населения объектами спорта от нормативной потребности: данный показатель к 2024 году достигнет значения 31,4% и 31,6% по двум вариантам прогноза соответственно за счёт строительства универсальных спортивных площадок и физкультурно-спортивных комплексов.</w:t>
      </w:r>
    </w:p>
    <w:p w14:paraId="171C52A2" w14:textId="77777777" w:rsidR="00257CB7" w:rsidRPr="004C4873" w:rsidRDefault="00257CB7" w:rsidP="00EE6E8F">
      <w:pPr>
        <w:pStyle w:val="af"/>
        <w:widowControl w:val="0"/>
        <w:numPr>
          <w:ilvl w:val="0"/>
          <w:numId w:val="2"/>
        </w:numPr>
        <w:spacing w:line="276" w:lineRule="auto"/>
        <w:ind w:left="0" w:firstLine="709"/>
        <w:jc w:val="both"/>
        <w:rPr>
          <w:highlight w:val="yellow"/>
        </w:rPr>
      </w:pPr>
      <w:r w:rsidRPr="004C4873">
        <w:t xml:space="preserve">Корректировка показателя «Уровень фактической обеспеченности населения объектами спорта от нормативной численности» в сторону уменьшения по сравнению с </w:t>
      </w:r>
      <w:r w:rsidRPr="004C4873">
        <w:rPr>
          <w:lang w:eastAsia="ar-SA"/>
        </w:rPr>
        <w:t>прошлогодними параметрами (на 0,5-0,8 процентных пункта в 2022 и 2023 годах по базовому варианту) произведена на основании фактически сложившихся значений показателя, а также в связи с изменениями факторов, влияющих на динамику показателя: численность населения 3-79 лет и количество вводимых в эксплуатацию объектов спорта и их суммарная единовременная пропускная способность.</w:t>
      </w:r>
    </w:p>
    <w:p w14:paraId="349ADD0E" w14:textId="28CED281" w:rsidR="00257CB7" w:rsidRPr="004C4873" w:rsidRDefault="00257CB7" w:rsidP="005848E6">
      <w:pPr>
        <w:pStyle w:val="af"/>
        <w:widowControl w:val="0"/>
        <w:numPr>
          <w:ilvl w:val="0"/>
          <w:numId w:val="2"/>
        </w:numPr>
        <w:spacing w:before="120" w:line="276" w:lineRule="auto"/>
        <w:ind w:left="0" w:firstLine="709"/>
        <w:jc w:val="both"/>
        <w:rPr>
          <w:highlight w:val="yellow"/>
        </w:rPr>
      </w:pPr>
      <w:r w:rsidRPr="004C4873">
        <w:t>В 2022-2024 годах предполагается увеличение доли населения, систематически занимающегося физической культурой и спортом. К 2024 году данный показатель может достигнуть значения: 53,0% - по консервативному и 56,0 % - по базовому варианту развития. Рост показателя объясняется наличием системной работы в городском округе Тольятти, имеется значительный физкультурный актив: общественные организации спортивного направления – клубы, федерации, фитнес клубы. Большое внимание уделяется развитию Спартакиадного движения среди всех возрастных групп населения – дошкольников, школьников, студентов, трудящихся, инвалидов, ветеранов спорта.</w:t>
      </w:r>
    </w:p>
    <w:p w14:paraId="1C253A72" w14:textId="77777777" w:rsidR="00252845" w:rsidRPr="004C4873" w:rsidRDefault="00252845" w:rsidP="005848E6">
      <w:pPr>
        <w:widowControl w:val="0"/>
        <w:spacing w:before="120" w:after="0"/>
        <w:jc w:val="center"/>
        <w:rPr>
          <w:rFonts w:ascii="Times New Roman" w:hAnsi="Times New Roman"/>
          <w:b/>
          <w:sz w:val="28"/>
          <w:szCs w:val="28"/>
        </w:rPr>
      </w:pPr>
      <w:r w:rsidRPr="004C4873">
        <w:rPr>
          <w:rFonts w:ascii="Times New Roman" w:hAnsi="Times New Roman"/>
          <w:b/>
          <w:sz w:val="28"/>
          <w:szCs w:val="28"/>
        </w:rPr>
        <w:lastRenderedPageBreak/>
        <w:t>Потребительский рынок товаров</w:t>
      </w:r>
      <w:bookmarkStart w:id="11" w:name="потреб"/>
      <w:bookmarkEnd w:id="11"/>
    </w:p>
    <w:p w14:paraId="669D1F7B" w14:textId="77777777" w:rsidR="000E2E83" w:rsidRPr="004C4873" w:rsidRDefault="000E2E83" w:rsidP="005848E6">
      <w:pPr>
        <w:suppressAutoHyphens/>
        <w:spacing w:before="120" w:after="0"/>
        <w:ind w:firstLine="709"/>
        <w:jc w:val="both"/>
        <w:rPr>
          <w:rFonts w:ascii="Times New Roman" w:hAnsi="Times New Roman"/>
          <w:sz w:val="28"/>
          <w:szCs w:val="28"/>
        </w:rPr>
      </w:pPr>
      <w:r w:rsidRPr="004C4873">
        <w:rPr>
          <w:rFonts w:ascii="Times New Roman" w:hAnsi="Times New Roman"/>
          <w:sz w:val="28"/>
          <w:szCs w:val="28"/>
        </w:rPr>
        <w:t>Состояние рынка потребительских товаров в прогнозном периоде будет характеризоваться уровнем потребительского спроса со стороны домашних хозяйств, основанном на динамике роста заработной платы, сохранении инфляции на достаточно низком уровне, ростом потребительского кредитования.</w:t>
      </w:r>
    </w:p>
    <w:p w14:paraId="34CDA141" w14:textId="77777777" w:rsidR="000E2E83" w:rsidRPr="004C4873" w:rsidRDefault="000E2E83" w:rsidP="00A56CAF">
      <w:pPr>
        <w:autoSpaceDE w:val="0"/>
        <w:autoSpaceDN w:val="0"/>
        <w:adjustRightInd w:val="0"/>
        <w:spacing w:after="0"/>
        <w:ind w:firstLine="709"/>
        <w:jc w:val="both"/>
        <w:rPr>
          <w:rFonts w:ascii="Times New Roman" w:hAnsi="Times New Roman"/>
          <w:sz w:val="28"/>
          <w:szCs w:val="28"/>
        </w:rPr>
      </w:pPr>
      <w:r w:rsidRPr="004C4873">
        <w:rPr>
          <w:rFonts w:ascii="Times New Roman" w:hAnsi="Times New Roman"/>
          <w:sz w:val="28"/>
          <w:szCs w:val="28"/>
        </w:rPr>
        <w:t xml:space="preserve">Консервативный вариант развития предусматривает сдержанную динамику потребительского спроса, обусловленную невысоким ростом доходов населения. Кроме этого, ожидаемое снижение численности населения городского округа Тольятти также будет сдерживать темпы роста показателя оборота розничной торговли. В итоге, к концу 2024 года оборот розничной торговли снизится в сопоставимых ценах на 2,7% к 2021 году (в действующих ценах рост показателя за тот же период времени составит 9,9%). </w:t>
      </w:r>
    </w:p>
    <w:p w14:paraId="4FAFFFD9" w14:textId="77777777" w:rsidR="000E2E83" w:rsidRPr="004C4873" w:rsidRDefault="000E2E83" w:rsidP="00A56CAF">
      <w:pPr>
        <w:suppressAutoHyphens/>
        <w:spacing w:after="0"/>
        <w:ind w:firstLine="720"/>
        <w:jc w:val="both"/>
        <w:rPr>
          <w:rFonts w:ascii="Times New Roman" w:hAnsi="Times New Roman"/>
          <w:sz w:val="28"/>
          <w:szCs w:val="28"/>
        </w:rPr>
      </w:pPr>
      <w:r w:rsidRPr="004C4873">
        <w:rPr>
          <w:rFonts w:ascii="Times New Roman" w:hAnsi="Times New Roman"/>
          <w:sz w:val="28"/>
          <w:szCs w:val="28"/>
        </w:rPr>
        <w:t>По второму (базовому) варианту прогноза прирост оборота розничной торговли в 2024 году к 2021 году в сопоставимых ценах составит 2% (14,3% - в действующих ценах).</w:t>
      </w:r>
    </w:p>
    <w:p w14:paraId="2DF6FB61" w14:textId="50169BE2" w:rsidR="000E2E83" w:rsidRPr="004C4873" w:rsidRDefault="000E2E83" w:rsidP="005569BE">
      <w:pPr>
        <w:spacing w:after="0"/>
        <w:ind w:firstLine="709"/>
        <w:jc w:val="both"/>
        <w:textAlignment w:val="top"/>
        <w:rPr>
          <w:rFonts w:ascii="Times New Roman" w:hAnsi="Times New Roman"/>
          <w:sz w:val="28"/>
          <w:szCs w:val="28"/>
        </w:rPr>
      </w:pPr>
      <w:r w:rsidRPr="004C4873">
        <w:rPr>
          <w:rFonts w:ascii="Times New Roman" w:hAnsi="Times New Roman"/>
          <w:sz w:val="28"/>
          <w:szCs w:val="28"/>
        </w:rPr>
        <w:t>В прогнозном периоде реализация мероприятий в сфере потребительского рынка будет осуществляться в рамках муниципальной программы «Развитие потребительского рынка в городском округе Тольятти на 2022–2026 гг.» (находится в стадии согласования). В рамках данной Программы предусмотрено проведение мониторинга мелкорозничной торговли, размещенной на территории городского округа Тольятти, организация работы по вывозу незаконно размещенных объектов потребительского рынка и др</w:t>
      </w:r>
      <w:r w:rsidR="005569BE">
        <w:rPr>
          <w:rFonts w:ascii="Times New Roman" w:hAnsi="Times New Roman"/>
          <w:sz w:val="28"/>
          <w:szCs w:val="28"/>
        </w:rPr>
        <w:t>угое</w:t>
      </w:r>
      <w:r w:rsidRPr="004C4873">
        <w:rPr>
          <w:rFonts w:ascii="Times New Roman" w:hAnsi="Times New Roman"/>
          <w:sz w:val="28"/>
          <w:szCs w:val="28"/>
        </w:rPr>
        <w:t>.</w:t>
      </w:r>
    </w:p>
    <w:p w14:paraId="77168004" w14:textId="0AA40D4A" w:rsidR="000E2E83" w:rsidRPr="004C4873" w:rsidRDefault="000E2E83" w:rsidP="005569BE">
      <w:pPr>
        <w:spacing w:after="0"/>
        <w:ind w:firstLine="709"/>
        <w:jc w:val="both"/>
        <w:textAlignment w:val="top"/>
        <w:rPr>
          <w:rFonts w:ascii="Times New Roman" w:hAnsi="Times New Roman"/>
          <w:sz w:val="28"/>
          <w:szCs w:val="28"/>
        </w:rPr>
      </w:pPr>
      <w:r w:rsidRPr="004C4873">
        <w:rPr>
          <w:rFonts w:ascii="Times New Roman" w:hAnsi="Times New Roman"/>
          <w:sz w:val="28"/>
          <w:szCs w:val="28"/>
        </w:rPr>
        <w:t>Кроме того, в целях развития потребительского рынка, поддержки местных товаропроизводителей, конкурентной среды, а также снижения и стабилизации цен на товары и услуги в прогнозном периоде планируется реализация следующих мероприятий: мониторинг цен на отдельные виды социально значимых товаров;  развитие локальных сетей розничной торговли шаговой доступности; определение обеспеченности жителей городского округа Тольятти торговыми площадями, посадочными местами предприятий общественного питания и рабочими местами предприятий бытового обслуживания и др</w:t>
      </w:r>
      <w:r w:rsidR="005569BE">
        <w:rPr>
          <w:rFonts w:ascii="Times New Roman" w:hAnsi="Times New Roman"/>
          <w:sz w:val="28"/>
          <w:szCs w:val="28"/>
        </w:rPr>
        <w:t>угое</w:t>
      </w:r>
      <w:r w:rsidRPr="004C4873">
        <w:rPr>
          <w:rFonts w:ascii="Times New Roman" w:hAnsi="Times New Roman"/>
          <w:sz w:val="28"/>
          <w:szCs w:val="28"/>
        </w:rPr>
        <w:t xml:space="preserve">. Также, с целью реализации продукции местных товаропроизводителей, в прогнозном периоде будет продолжена организация ярмарочной торговли. </w:t>
      </w:r>
    </w:p>
    <w:p w14:paraId="5B3FE286" w14:textId="216E5B42" w:rsidR="00DC207E" w:rsidRDefault="00DC207E" w:rsidP="005848E6">
      <w:pPr>
        <w:widowControl w:val="0"/>
        <w:spacing w:before="120" w:after="0"/>
        <w:jc w:val="center"/>
        <w:rPr>
          <w:rFonts w:ascii="Times New Roman" w:hAnsi="Times New Roman"/>
          <w:b/>
          <w:sz w:val="28"/>
          <w:szCs w:val="28"/>
        </w:rPr>
      </w:pPr>
    </w:p>
    <w:p w14:paraId="21AFB5E4" w14:textId="77777777" w:rsidR="005569BE" w:rsidRDefault="005569BE" w:rsidP="005848E6">
      <w:pPr>
        <w:widowControl w:val="0"/>
        <w:spacing w:before="120" w:after="0"/>
        <w:jc w:val="center"/>
        <w:rPr>
          <w:rFonts w:ascii="Times New Roman" w:hAnsi="Times New Roman"/>
          <w:b/>
          <w:sz w:val="28"/>
          <w:szCs w:val="28"/>
        </w:rPr>
      </w:pPr>
    </w:p>
    <w:p w14:paraId="69BEFB09" w14:textId="0FFF9691" w:rsidR="00065A6A" w:rsidRPr="00513F65" w:rsidRDefault="00065A6A" w:rsidP="005848E6">
      <w:pPr>
        <w:widowControl w:val="0"/>
        <w:spacing w:before="120" w:after="0"/>
        <w:jc w:val="center"/>
        <w:rPr>
          <w:rFonts w:ascii="Times New Roman" w:hAnsi="Times New Roman"/>
          <w:b/>
          <w:sz w:val="28"/>
          <w:szCs w:val="28"/>
        </w:rPr>
      </w:pPr>
      <w:r w:rsidRPr="00513F65">
        <w:rPr>
          <w:rFonts w:ascii="Times New Roman" w:hAnsi="Times New Roman"/>
          <w:b/>
          <w:sz w:val="28"/>
          <w:szCs w:val="28"/>
        </w:rPr>
        <w:lastRenderedPageBreak/>
        <w:t>Охрана окружающей среды</w:t>
      </w:r>
      <w:bookmarkStart w:id="12" w:name="экология"/>
      <w:bookmarkEnd w:id="12"/>
    </w:p>
    <w:p w14:paraId="2A4A4654" w14:textId="77777777" w:rsidR="001A6A5D" w:rsidRPr="001A6A5D" w:rsidRDefault="001A6A5D" w:rsidP="005848E6">
      <w:pPr>
        <w:spacing w:before="120" w:after="0"/>
        <w:ind w:firstLine="720"/>
        <w:jc w:val="both"/>
        <w:rPr>
          <w:rFonts w:ascii="Times New Roman" w:hAnsi="Times New Roman"/>
          <w:bCs/>
          <w:sz w:val="28"/>
          <w:szCs w:val="28"/>
          <w:lang w:eastAsia="x-none"/>
        </w:rPr>
      </w:pPr>
      <w:r w:rsidRPr="001A6A5D">
        <w:rPr>
          <w:rFonts w:ascii="Times New Roman" w:hAnsi="Times New Roman"/>
          <w:bCs/>
          <w:sz w:val="28"/>
          <w:szCs w:val="28"/>
          <w:lang w:val="x-none" w:eastAsia="x-none"/>
        </w:rPr>
        <w:t>В 20</w:t>
      </w:r>
      <w:r w:rsidRPr="001A6A5D">
        <w:rPr>
          <w:rFonts w:ascii="Times New Roman" w:hAnsi="Times New Roman"/>
          <w:bCs/>
          <w:sz w:val="28"/>
          <w:szCs w:val="28"/>
          <w:lang w:eastAsia="x-none"/>
        </w:rPr>
        <w:t>22</w:t>
      </w:r>
      <w:r w:rsidRPr="001A6A5D">
        <w:rPr>
          <w:rFonts w:ascii="Times New Roman" w:hAnsi="Times New Roman"/>
          <w:bCs/>
          <w:sz w:val="28"/>
          <w:szCs w:val="28"/>
          <w:lang w:val="x-none" w:eastAsia="x-none"/>
        </w:rPr>
        <w:t xml:space="preserve"> - 20</w:t>
      </w:r>
      <w:r w:rsidRPr="001A6A5D">
        <w:rPr>
          <w:rFonts w:ascii="Times New Roman" w:hAnsi="Times New Roman"/>
          <w:bCs/>
          <w:sz w:val="28"/>
          <w:szCs w:val="28"/>
          <w:lang w:eastAsia="x-none"/>
        </w:rPr>
        <w:t>24</w:t>
      </w:r>
      <w:r w:rsidRPr="001A6A5D">
        <w:rPr>
          <w:rFonts w:ascii="Times New Roman" w:hAnsi="Times New Roman"/>
          <w:bCs/>
          <w:sz w:val="28"/>
          <w:szCs w:val="28"/>
          <w:lang w:val="x-none" w:eastAsia="x-none"/>
        </w:rPr>
        <w:t xml:space="preserve"> годах экологическая обстановка, сложившаяся в городском округе Тольятти,  будет определяться характером и масштабами воздействия на окружающую среду предприятий промышленности, автомобильного транспорта, коммунального хозяйства, а также эффективностью реализованных ими природоохранных мероприятий.</w:t>
      </w:r>
    </w:p>
    <w:p w14:paraId="793171B1" w14:textId="08BBB5BE" w:rsidR="001A6A5D" w:rsidRPr="001A6A5D" w:rsidRDefault="005569BE" w:rsidP="00A56CAF">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М</w:t>
      </w:r>
      <w:r w:rsidR="001A6A5D" w:rsidRPr="001A6A5D">
        <w:rPr>
          <w:rFonts w:ascii="Times New Roman" w:hAnsi="Times New Roman"/>
          <w:sz w:val="28"/>
          <w:szCs w:val="28"/>
        </w:rPr>
        <w:t>униципальной программ</w:t>
      </w:r>
      <w:r>
        <w:rPr>
          <w:rFonts w:ascii="Times New Roman" w:hAnsi="Times New Roman"/>
          <w:sz w:val="28"/>
          <w:szCs w:val="28"/>
        </w:rPr>
        <w:t>ой</w:t>
      </w:r>
      <w:r w:rsidR="001A6A5D" w:rsidRPr="001A6A5D">
        <w:rPr>
          <w:rFonts w:ascii="Times New Roman" w:hAnsi="Times New Roman"/>
          <w:sz w:val="28"/>
          <w:szCs w:val="28"/>
        </w:rPr>
        <w:t xml:space="preserve"> </w:t>
      </w:r>
      <w:r>
        <w:rPr>
          <w:rFonts w:ascii="Times New Roman" w:hAnsi="Times New Roman"/>
          <w:sz w:val="28"/>
          <w:szCs w:val="28"/>
        </w:rPr>
        <w:t xml:space="preserve">городского округа Тольятти </w:t>
      </w:r>
      <w:r w:rsidR="001A6A5D" w:rsidRPr="001A6A5D">
        <w:rPr>
          <w:rFonts w:ascii="Times New Roman" w:hAnsi="Times New Roman"/>
          <w:sz w:val="28"/>
          <w:szCs w:val="28"/>
        </w:rPr>
        <w:t>«Охрана окружающей среды на территории городского округа Тольятти на 2022-2026 годы»</w:t>
      </w:r>
      <w:r>
        <w:rPr>
          <w:rFonts w:ascii="Times New Roman" w:hAnsi="Times New Roman"/>
          <w:sz w:val="28"/>
          <w:szCs w:val="28"/>
        </w:rPr>
        <w:t>, утвержденной п</w:t>
      </w:r>
      <w:r w:rsidRPr="005569BE">
        <w:rPr>
          <w:rFonts w:ascii="Times New Roman" w:hAnsi="Times New Roman"/>
          <w:sz w:val="28"/>
          <w:szCs w:val="28"/>
        </w:rPr>
        <w:t>остановлением администрации городского округа Тольятти № 2700-п/1 от 04.08.2021</w:t>
      </w:r>
      <w:r>
        <w:rPr>
          <w:rFonts w:ascii="Times New Roman" w:hAnsi="Times New Roman"/>
          <w:sz w:val="28"/>
          <w:szCs w:val="28"/>
        </w:rPr>
        <w:t>,</w:t>
      </w:r>
      <w:r w:rsidR="001A6A5D" w:rsidRPr="001A6A5D">
        <w:rPr>
          <w:rFonts w:ascii="Times New Roman" w:hAnsi="Times New Roman"/>
          <w:sz w:val="28"/>
          <w:szCs w:val="28"/>
        </w:rPr>
        <w:t xml:space="preserve"> предусмотрены мероприятия, связанные с консервацией, ликвидацией объектов накопленного вреда окружающей среде на территории городского округа Тольятти и объектах муниципальной собственности, относящихся к объектам размещения отходов, выполняются в ходе реализации ведомственных и муниципальных </w:t>
      </w:r>
      <w:hyperlink r:id="rId9" w:history="1">
        <w:r w:rsidR="001A6A5D" w:rsidRPr="001A6A5D">
          <w:rPr>
            <w:rFonts w:ascii="Times New Roman" w:hAnsi="Times New Roman"/>
            <w:sz w:val="28"/>
            <w:szCs w:val="28"/>
          </w:rPr>
          <w:t xml:space="preserve">программ городского округа Тольятти планируемых, в том числе, в рамках </w:t>
        </w:r>
      </w:hyperlink>
      <w:r w:rsidR="001A6A5D" w:rsidRPr="001A6A5D">
        <w:rPr>
          <w:rFonts w:ascii="Times New Roman" w:hAnsi="Times New Roman"/>
          <w:sz w:val="28"/>
          <w:szCs w:val="28"/>
        </w:rPr>
        <w:t xml:space="preserve">Государственной </w:t>
      </w:r>
      <w:hyperlink r:id="rId10" w:history="1">
        <w:r w:rsidR="001A6A5D" w:rsidRPr="001A6A5D">
          <w:rPr>
            <w:rFonts w:ascii="Times New Roman" w:hAnsi="Times New Roman"/>
            <w:sz w:val="28"/>
            <w:szCs w:val="28"/>
          </w:rPr>
          <w:t>программы</w:t>
        </w:r>
      </w:hyperlink>
      <w:r w:rsidR="001A6A5D" w:rsidRPr="001A6A5D">
        <w:rPr>
          <w:rFonts w:ascii="Times New Roman" w:hAnsi="Times New Roman"/>
          <w:sz w:val="28"/>
          <w:szCs w:val="28"/>
        </w:rPr>
        <w:t xml:space="preserve"> Самарской области «Охрана окружающей среды Самарской области на 2014 - 2025 годы и на период до 2030 года», утвержденной Постановлением Правительства Самарской области от 27.11.2013 № 668 (далее - Государственная программа).</w:t>
      </w:r>
    </w:p>
    <w:p w14:paraId="78E385DD" w14:textId="77777777" w:rsidR="001A6A5D" w:rsidRPr="001A6A5D" w:rsidRDefault="001A6A5D" w:rsidP="00A56CAF">
      <w:pPr>
        <w:widowControl w:val="0"/>
        <w:autoSpaceDE w:val="0"/>
        <w:autoSpaceDN w:val="0"/>
        <w:spacing w:after="0"/>
        <w:ind w:firstLine="709"/>
        <w:jc w:val="both"/>
        <w:rPr>
          <w:rFonts w:ascii="Times New Roman" w:hAnsi="Times New Roman"/>
          <w:sz w:val="28"/>
          <w:szCs w:val="28"/>
        </w:rPr>
      </w:pPr>
      <w:r w:rsidRPr="001A6A5D">
        <w:rPr>
          <w:rFonts w:ascii="Times New Roman" w:hAnsi="Times New Roman"/>
          <w:sz w:val="28"/>
          <w:szCs w:val="28"/>
        </w:rPr>
        <w:t xml:space="preserve">Программой предусмотрена реализация следующих мероприятий, в том числе предусмотренных Государственной программой: </w:t>
      </w:r>
    </w:p>
    <w:p w14:paraId="4B936526" w14:textId="77777777" w:rsidR="001A6A5D" w:rsidRPr="001A6A5D" w:rsidRDefault="001A6A5D" w:rsidP="00A56CAF">
      <w:pPr>
        <w:widowControl w:val="0"/>
        <w:autoSpaceDE w:val="0"/>
        <w:autoSpaceDN w:val="0"/>
        <w:spacing w:after="0"/>
        <w:ind w:firstLine="709"/>
        <w:jc w:val="both"/>
        <w:rPr>
          <w:rFonts w:ascii="Times New Roman" w:hAnsi="Times New Roman"/>
          <w:sz w:val="28"/>
          <w:szCs w:val="28"/>
        </w:rPr>
      </w:pPr>
      <w:r w:rsidRPr="001A6A5D">
        <w:rPr>
          <w:rFonts w:ascii="Times New Roman" w:hAnsi="Times New Roman"/>
          <w:sz w:val="28"/>
          <w:szCs w:val="28"/>
        </w:rPr>
        <w:t>1. Корректировка проектной сметной документации и производство работ по ликвидации и рекультивации массивов существующих объектов размещения отходов, в том числе реконструкция их элементов (мероприятие включает в себя проектирование, реконструкцию элементов и рекультивацию полигона «</w:t>
      </w:r>
      <w:proofErr w:type="spellStart"/>
      <w:r w:rsidRPr="001A6A5D">
        <w:rPr>
          <w:rFonts w:ascii="Times New Roman" w:hAnsi="Times New Roman"/>
          <w:sz w:val="28"/>
          <w:szCs w:val="28"/>
        </w:rPr>
        <w:t>Узюково</w:t>
      </w:r>
      <w:proofErr w:type="spellEnd"/>
      <w:r w:rsidRPr="001A6A5D">
        <w:rPr>
          <w:rFonts w:ascii="Times New Roman" w:hAnsi="Times New Roman"/>
          <w:sz w:val="28"/>
          <w:szCs w:val="28"/>
        </w:rPr>
        <w:t>»).</w:t>
      </w:r>
    </w:p>
    <w:p w14:paraId="709C3200" w14:textId="77777777" w:rsidR="001A6A5D" w:rsidRPr="001A6A5D" w:rsidRDefault="001A6A5D" w:rsidP="00A56CAF">
      <w:pPr>
        <w:spacing w:after="0"/>
        <w:ind w:firstLine="709"/>
        <w:jc w:val="both"/>
        <w:rPr>
          <w:rFonts w:ascii="Times New Roman" w:eastAsia="Calibri" w:hAnsi="Times New Roman"/>
          <w:sz w:val="28"/>
          <w:szCs w:val="28"/>
          <w:lang w:eastAsia="en-US"/>
        </w:rPr>
      </w:pPr>
      <w:r w:rsidRPr="001A6A5D">
        <w:rPr>
          <w:rFonts w:ascii="Times New Roman" w:eastAsia="Calibri" w:hAnsi="Times New Roman"/>
          <w:sz w:val="28"/>
          <w:szCs w:val="28"/>
          <w:lang w:eastAsia="en-US"/>
        </w:rPr>
        <w:t>2. Рекультивация бывшей городской свалки промышленных и бытовых отходов Комсомольского района (южнее завода ОАО «</w:t>
      </w:r>
      <w:proofErr w:type="spellStart"/>
      <w:r w:rsidRPr="001A6A5D">
        <w:rPr>
          <w:rFonts w:ascii="Times New Roman" w:eastAsia="Calibri" w:hAnsi="Times New Roman"/>
          <w:sz w:val="28"/>
          <w:szCs w:val="28"/>
          <w:lang w:eastAsia="en-US"/>
        </w:rPr>
        <w:t>АвтоВАЗАгрегат</w:t>
      </w:r>
      <w:proofErr w:type="spellEnd"/>
      <w:r w:rsidRPr="001A6A5D">
        <w:rPr>
          <w:rFonts w:ascii="Times New Roman" w:eastAsia="Calibri" w:hAnsi="Times New Roman"/>
          <w:sz w:val="28"/>
          <w:szCs w:val="28"/>
          <w:lang w:eastAsia="en-US"/>
        </w:rPr>
        <w:t>») (мероприятие включено в федеральный проект «Чистая страна» национального проекта «Экология»).</w:t>
      </w:r>
    </w:p>
    <w:p w14:paraId="333729FB" w14:textId="77777777" w:rsidR="001A6A5D" w:rsidRPr="001A6A5D" w:rsidRDefault="001A6A5D" w:rsidP="00A56CAF">
      <w:pPr>
        <w:spacing w:after="0"/>
        <w:ind w:firstLine="539"/>
        <w:jc w:val="both"/>
        <w:rPr>
          <w:rFonts w:ascii="Times New Roman" w:eastAsia="Calibri" w:hAnsi="Times New Roman"/>
          <w:sz w:val="28"/>
          <w:szCs w:val="28"/>
          <w:lang w:eastAsia="en-US"/>
        </w:rPr>
      </w:pPr>
      <w:r w:rsidRPr="001A6A5D">
        <w:rPr>
          <w:rFonts w:ascii="Times New Roman" w:eastAsia="Calibri" w:hAnsi="Times New Roman"/>
          <w:sz w:val="28"/>
          <w:szCs w:val="28"/>
          <w:lang w:eastAsia="en-US"/>
        </w:rPr>
        <w:t>3. Рекультивация вскрытой свалки инертных отходов, расположенной напротив 1-3 вставок ПАО «АвтоВАЗ» (мероприятие включено в федеральный проект «Чистая страна» национального проекта «Экология»).</w:t>
      </w:r>
    </w:p>
    <w:p w14:paraId="66523EF3" w14:textId="77777777" w:rsidR="001A6A5D" w:rsidRPr="001A6A5D" w:rsidRDefault="001A6A5D" w:rsidP="00A56CAF">
      <w:pPr>
        <w:spacing w:after="0"/>
        <w:ind w:firstLine="709"/>
        <w:jc w:val="both"/>
        <w:rPr>
          <w:rFonts w:ascii="Times New Roman" w:hAnsi="Times New Roman"/>
          <w:sz w:val="28"/>
          <w:szCs w:val="28"/>
          <w:lang w:eastAsia="en-US"/>
        </w:rPr>
      </w:pPr>
      <w:r w:rsidRPr="001A6A5D">
        <w:rPr>
          <w:rFonts w:ascii="Times New Roman" w:eastAsia="Calibri" w:hAnsi="Times New Roman"/>
          <w:sz w:val="28"/>
          <w:szCs w:val="28"/>
          <w:lang w:eastAsia="en-US"/>
        </w:rPr>
        <w:t>Цель реализации указанных мероприятий:</w:t>
      </w:r>
      <w:r w:rsidRPr="001A6A5D">
        <w:rPr>
          <w:rFonts w:ascii="Times New Roman" w:hAnsi="Times New Roman"/>
          <w:sz w:val="28"/>
          <w:szCs w:val="28"/>
          <w:lang w:eastAsia="en-US"/>
        </w:rPr>
        <w:t xml:space="preserve"> ликвидация объектов накопленного вреда окружающей среде, исключения их негативного воздействия на компоненты природной среды и вовлечения земельных участков, на которых расположены захоронения отходов, в дальнейшее использование в хозяйственных или рекреационных целях.</w:t>
      </w:r>
    </w:p>
    <w:p w14:paraId="7C45D607" w14:textId="77777777" w:rsidR="001A6A5D" w:rsidRPr="001A6A5D" w:rsidRDefault="001A6A5D" w:rsidP="00A56CAF">
      <w:pPr>
        <w:spacing w:after="0"/>
        <w:ind w:firstLine="709"/>
        <w:jc w:val="both"/>
        <w:rPr>
          <w:rFonts w:ascii="Times New Roman" w:eastAsia="Calibri" w:hAnsi="Times New Roman"/>
          <w:sz w:val="28"/>
          <w:szCs w:val="28"/>
          <w:lang w:eastAsia="en-US"/>
        </w:rPr>
      </w:pPr>
      <w:r w:rsidRPr="001A6A5D">
        <w:rPr>
          <w:rFonts w:ascii="Times New Roman" w:eastAsia="Calibri" w:hAnsi="Times New Roman"/>
          <w:sz w:val="28"/>
          <w:szCs w:val="28"/>
          <w:lang w:eastAsia="en-US"/>
        </w:rPr>
        <w:lastRenderedPageBreak/>
        <w:t xml:space="preserve">Для снижения негативного воздействия ливневых стоков на Куйбышевское водохранилище  планируется мероприятие  «Выполнение проектно-изыскательских работ по объекту «Строительство очистных сооружений дождевых сточных вод с селитебной территории Автозаводского района г. Тольятти с подводящими трубопроводами и инженерно-техническим обеспечением», предусмотренное Государственной программой Самарской области «Развитие коммунальной инфраструктуры в Самарской области» на 2014-2022 годы, утвержденной постановлением Правительства Самарской области от 29.11.2013 № 701. Мероприятие реализуется в рамках федерального проекта «Оздоровление Волги» национального проекта «Экология». </w:t>
      </w:r>
    </w:p>
    <w:p w14:paraId="1E30BE03" w14:textId="77777777" w:rsidR="001A6A5D" w:rsidRPr="001A6A5D" w:rsidRDefault="001A6A5D" w:rsidP="00A56CAF">
      <w:pPr>
        <w:spacing w:after="0"/>
        <w:ind w:firstLine="709"/>
        <w:jc w:val="both"/>
        <w:rPr>
          <w:rFonts w:ascii="Times New Roman" w:hAnsi="Times New Roman"/>
          <w:bCs/>
          <w:sz w:val="28"/>
          <w:szCs w:val="28"/>
          <w:lang w:eastAsia="x-none"/>
        </w:rPr>
      </w:pPr>
      <w:r w:rsidRPr="001A6A5D">
        <w:rPr>
          <w:rFonts w:ascii="Times New Roman" w:hAnsi="Times New Roman"/>
          <w:bCs/>
          <w:sz w:val="28"/>
          <w:szCs w:val="28"/>
          <w:lang w:eastAsia="x-none"/>
        </w:rPr>
        <w:t xml:space="preserve">В рамках </w:t>
      </w:r>
      <w:proofErr w:type="gramStart"/>
      <w:r w:rsidRPr="001A6A5D">
        <w:rPr>
          <w:rFonts w:ascii="Times New Roman" w:hAnsi="Times New Roman"/>
          <w:bCs/>
          <w:sz w:val="28"/>
          <w:szCs w:val="28"/>
          <w:lang w:eastAsia="x-none"/>
        </w:rPr>
        <w:t>реализации  государственной</w:t>
      </w:r>
      <w:proofErr w:type="gramEnd"/>
      <w:r w:rsidRPr="001A6A5D">
        <w:rPr>
          <w:rFonts w:ascii="Times New Roman" w:hAnsi="Times New Roman"/>
          <w:bCs/>
          <w:sz w:val="28"/>
          <w:szCs w:val="28"/>
          <w:lang w:eastAsia="x-none"/>
        </w:rPr>
        <w:t xml:space="preserve"> программы Самарской области «Оздоровление Волги. Строительство и реконструкция (модернизация) очистных сооружений централизованных систем водоотведения» на 2020-2024 годы городской округ Тольятти участвует со следующими мероприятиями:</w:t>
      </w:r>
    </w:p>
    <w:p w14:paraId="4EF6291E" w14:textId="43031FCA" w:rsidR="001A6A5D" w:rsidRPr="001A6A5D" w:rsidRDefault="001A6A5D" w:rsidP="00A56CAF">
      <w:pPr>
        <w:spacing w:after="0"/>
        <w:ind w:firstLine="709"/>
        <w:jc w:val="both"/>
        <w:rPr>
          <w:rFonts w:ascii="Times New Roman" w:hAnsi="Times New Roman" w:cs="Arial"/>
          <w:color w:val="000000"/>
          <w:sz w:val="28"/>
          <w:szCs w:val="28"/>
        </w:rPr>
      </w:pPr>
      <w:r w:rsidRPr="001A6A5D">
        <w:rPr>
          <w:rFonts w:ascii="Times New Roman" w:hAnsi="Times New Roman" w:cs="Arial"/>
          <w:color w:val="000000"/>
          <w:sz w:val="28"/>
          <w:szCs w:val="28"/>
        </w:rPr>
        <w:t>1. Строительство первой очереди очистных сооружений дождевых сточных вод с селитебной территории Автозаводского района г. Тольятти с подводящими трубопроводами и инженерно-техническим обеспечением (муниципальные очистные сооружения). Сумма финансирования 2 004 800 тыс. руб</w:t>
      </w:r>
      <w:r>
        <w:rPr>
          <w:rFonts w:ascii="Times New Roman" w:hAnsi="Times New Roman" w:cs="Arial"/>
          <w:color w:val="000000"/>
          <w:sz w:val="28"/>
          <w:szCs w:val="28"/>
        </w:rPr>
        <w:t>лей</w:t>
      </w:r>
      <w:r w:rsidRPr="001A6A5D">
        <w:rPr>
          <w:rFonts w:ascii="Times New Roman" w:hAnsi="Times New Roman" w:cs="Arial"/>
          <w:color w:val="000000"/>
          <w:sz w:val="28"/>
          <w:szCs w:val="28"/>
        </w:rPr>
        <w:t>; Реализация мероприятия 2022-2024 гг.</w:t>
      </w:r>
    </w:p>
    <w:p w14:paraId="54944E4C" w14:textId="461FEC4D" w:rsidR="001A6A5D" w:rsidRPr="001A6A5D" w:rsidRDefault="001A6A5D" w:rsidP="00A56CAF">
      <w:pPr>
        <w:spacing w:after="0"/>
        <w:ind w:firstLine="709"/>
        <w:jc w:val="both"/>
        <w:rPr>
          <w:rFonts w:ascii="Times New Roman" w:hAnsi="Times New Roman" w:cs="Arial"/>
          <w:color w:val="000000"/>
          <w:sz w:val="28"/>
          <w:szCs w:val="28"/>
        </w:rPr>
      </w:pPr>
      <w:r w:rsidRPr="001A6A5D">
        <w:rPr>
          <w:rFonts w:ascii="Times New Roman" w:hAnsi="Times New Roman" w:cs="Arial"/>
          <w:color w:val="000000"/>
          <w:sz w:val="28"/>
          <w:szCs w:val="28"/>
        </w:rPr>
        <w:t>2. Строительство очистных сооружений поверхностных и приравненных к ним по составу производственных сточных вод с территории промышленно-коммунальной зоны северо-западной части Автозаводского района. Финансирование за счет средств предприятия ООО «АВТОГРАД-ВОДОКАНАЛ». Реализация мероприятия 2022-2024 гг.</w:t>
      </w:r>
    </w:p>
    <w:p w14:paraId="588C90C0" w14:textId="20D0F7FA" w:rsidR="001A6A5D" w:rsidRPr="001A6A5D" w:rsidRDefault="001A6A5D" w:rsidP="00A56CAF">
      <w:pPr>
        <w:spacing w:after="0"/>
        <w:ind w:firstLine="709"/>
        <w:jc w:val="both"/>
        <w:rPr>
          <w:rFonts w:ascii="Times New Roman" w:hAnsi="Times New Roman" w:cs="Arial"/>
          <w:color w:val="000000"/>
          <w:sz w:val="28"/>
          <w:szCs w:val="28"/>
        </w:rPr>
      </w:pPr>
      <w:r w:rsidRPr="001A6A5D">
        <w:rPr>
          <w:rFonts w:ascii="Times New Roman" w:hAnsi="Times New Roman" w:cs="Arial"/>
          <w:color w:val="000000"/>
          <w:sz w:val="28"/>
          <w:szCs w:val="28"/>
        </w:rPr>
        <w:t>3. Химические предприятия городского округа Тольятти. (Строительство 1-го этапа канализационных очистных сооружений ПАО «</w:t>
      </w:r>
      <w:proofErr w:type="spellStart"/>
      <w:r w:rsidRPr="001A6A5D">
        <w:rPr>
          <w:rFonts w:ascii="Times New Roman" w:hAnsi="Times New Roman" w:cs="Arial"/>
          <w:color w:val="000000"/>
          <w:sz w:val="28"/>
          <w:szCs w:val="28"/>
        </w:rPr>
        <w:t>Куйбышев</w:t>
      </w:r>
      <w:r w:rsidR="00847218">
        <w:rPr>
          <w:rFonts w:ascii="Times New Roman" w:hAnsi="Times New Roman" w:cs="Arial"/>
          <w:color w:val="000000"/>
          <w:sz w:val="28"/>
          <w:szCs w:val="28"/>
        </w:rPr>
        <w:t>А</w:t>
      </w:r>
      <w:r w:rsidRPr="001A6A5D">
        <w:rPr>
          <w:rFonts w:ascii="Times New Roman" w:hAnsi="Times New Roman" w:cs="Arial"/>
          <w:color w:val="000000"/>
          <w:sz w:val="28"/>
          <w:szCs w:val="28"/>
        </w:rPr>
        <w:t>зот</w:t>
      </w:r>
      <w:proofErr w:type="spellEnd"/>
      <w:r w:rsidRPr="001A6A5D">
        <w:rPr>
          <w:rFonts w:ascii="Times New Roman" w:hAnsi="Times New Roman" w:cs="Arial"/>
          <w:color w:val="000000"/>
          <w:sz w:val="28"/>
          <w:szCs w:val="28"/>
        </w:rPr>
        <w:t>» смешанного потока сточных вод предприятий Северного промузла г. Тольятти в районе регулирующей ёмкости). Финансирование за счет средств предприятия. Реализация мероприятия 2019-2020 гг.;</w:t>
      </w:r>
    </w:p>
    <w:p w14:paraId="2399F91B" w14:textId="48DD7F84" w:rsidR="001A6A5D" w:rsidRPr="001A6A5D" w:rsidRDefault="001A6A5D" w:rsidP="00A56CAF">
      <w:pPr>
        <w:spacing w:after="0"/>
        <w:ind w:firstLine="709"/>
        <w:jc w:val="both"/>
        <w:rPr>
          <w:rFonts w:ascii="Times New Roman" w:hAnsi="Times New Roman" w:cs="Arial"/>
          <w:color w:val="000000"/>
          <w:sz w:val="28"/>
          <w:szCs w:val="28"/>
        </w:rPr>
      </w:pPr>
      <w:r w:rsidRPr="001A6A5D">
        <w:rPr>
          <w:rFonts w:ascii="Times New Roman" w:hAnsi="Times New Roman" w:cs="Arial"/>
          <w:color w:val="000000"/>
          <w:sz w:val="28"/>
          <w:szCs w:val="28"/>
        </w:rPr>
        <w:t>4. Нефтехимические предприятия городского округа Тольятти. (Сокращение поступления загрязнённых сточных вод в водные объекты Волжского бассейна от ООО «</w:t>
      </w:r>
      <w:proofErr w:type="spellStart"/>
      <w:r w:rsidRPr="001A6A5D">
        <w:rPr>
          <w:rFonts w:ascii="Times New Roman" w:hAnsi="Times New Roman" w:cs="Arial"/>
          <w:color w:val="000000"/>
          <w:sz w:val="28"/>
          <w:szCs w:val="28"/>
        </w:rPr>
        <w:t>Тольяттикаучук</w:t>
      </w:r>
      <w:proofErr w:type="spellEnd"/>
      <w:r w:rsidRPr="001A6A5D">
        <w:rPr>
          <w:rFonts w:ascii="Times New Roman" w:hAnsi="Times New Roman" w:cs="Arial"/>
          <w:color w:val="000000"/>
          <w:sz w:val="28"/>
          <w:szCs w:val="28"/>
        </w:rPr>
        <w:t>»). Финансирование за счет средств предприятия. Реализация мероприятия 2019-2024 гг.;</w:t>
      </w:r>
    </w:p>
    <w:p w14:paraId="64F6551A" w14:textId="7471BD85" w:rsidR="001A6A5D" w:rsidRPr="001A6A5D" w:rsidRDefault="001A6A5D" w:rsidP="00A56CAF">
      <w:pPr>
        <w:spacing w:after="0"/>
        <w:ind w:firstLine="709"/>
        <w:jc w:val="both"/>
        <w:rPr>
          <w:rFonts w:ascii="Times New Roman" w:hAnsi="Times New Roman" w:cs="Arial"/>
          <w:color w:val="000000"/>
          <w:sz w:val="28"/>
          <w:szCs w:val="28"/>
        </w:rPr>
      </w:pPr>
      <w:r w:rsidRPr="001A6A5D">
        <w:rPr>
          <w:rFonts w:ascii="Times New Roman" w:hAnsi="Times New Roman" w:cs="Arial"/>
          <w:color w:val="000000"/>
          <w:sz w:val="28"/>
          <w:szCs w:val="28"/>
        </w:rPr>
        <w:t>5. Реконструкция биологических очистных сооружений канализации городского округа Тольятти. Финансирование за счет средств предприятия ООО «АВТОГРАД-ВОДОКАНАЛ». Реализация мероприятия 2019-2024 гг.;</w:t>
      </w:r>
    </w:p>
    <w:p w14:paraId="592BAD8C" w14:textId="4A809DF6" w:rsidR="001A6A5D" w:rsidRPr="001A6A5D" w:rsidRDefault="001A6A5D" w:rsidP="00A56CAF">
      <w:pPr>
        <w:spacing w:after="0"/>
        <w:ind w:firstLine="709"/>
        <w:jc w:val="both"/>
        <w:rPr>
          <w:rFonts w:ascii="Times New Roman" w:hAnsi="Times New Roman" w:cs="Arial"/>
          <w:color w:val="000000"/>
          <w:sz w:val="28"/>
          <w:szCs w:val="28"/>
        </w:rPr>
      </w:pPr>
      <w:r w:rsidRPr="001A6A5D">
        <w:rPr>
          <w:rFonts w:ascii="Times New Roman" w:hAnsi="Times New Roman" w:cs="Arial"/>
          <w:color w:val="000000"/>
          <w:sz w:val="28"/>
          <w:szCs w:val="28"/>
        </w:rPr>
        <w:lastRenderedPageBreak/>
        <w:t>При этом направление средств федерального, регионального и муниципального бюджетов предполагается только для мероприятия №1, остальные мероприятия выполняются предприятиями в рамках инвестиционных программ за счет собственных средств.</w:t>
      </w:r>
    </w:p>
    <w:p w14:paraId="7BADAB4C" w14:textId="50736EF5" w:rsidR="001A6A5D" w:rsidRDefault="001A6A5D" w:rsidP="00A56CAF">
      <w:pPr>
        <w:spacing w:after="0"/>
        <w:ind w:firstLine="709"/>
        <w:jc w:val="both"/>
        <w:rPr>
          <w:rFonts w:ascii="Times New Roman" w:hAnsi="Times New Roman" w:cs="Arial"/>
          <w:color w:val="000000"/>
          <w:sz w:val="28"/>
          <w:szCs w:val="28"/>
        </w:rPr>
      </w:pPr>
      <w:r w:rsidRPr="001A6A5D">
        <w:rPr>
          <w:rFonts w:ascii="Times New Roman" w:hAnsi="Times New Roman" w:cs="Arial"/>
          <w:color w:val="000000"/>
          <w:sz w:val="28"/>
          <w:szCs w:val="28"/>
        </w:rPr>
        <w:t>Дополнительно, в государственную программу предлагается включить мероприятие городского округа Тольятти, снижающего негативное воздействие на реку Волга: «Реконструкция муниципальных очистных сооружений дождевой канализации Комсомольского района со строительством коллектора дождевой канализации для подачи поверхностных сточных вод из Центрального района на очистку». Ориентировочная стоимость реализации мероприятия – 2 064,921 млн. руб</w:t>
      </w:r>
      <w:r w:rsidR="00847218">
        <w:rPr>
          <w:rFonts w:ascii="Times New Roman" w:hAnsi="Times New Roman" w:cs="Arial"/>
          <w:color w:val="000000"/>
          <w:sz w:val="28"/>
          <w:szCs w:val="28"/>
        </w:rPr>
        <w:t>лей</w:t>
      </w:r>
      <w:r w:rsidRPr="001A6A5D">
        <w:rPr>
          <w:rFonts w:ascii="Times New Roman" w:hAnsi="Times New Roman" w:cs="Arial"/>
          <w:color w:val="000000"/>
          <w:sz w:val="28"/>
          <w:szCs w:val="28"/>
        </w:rPr>
        <w:t>. Письмо в министерство энергетики и жилищно-коммунального хозяйства Самарской области направлено 20.11.2019 года. Ответ до настоящего времени не получен.</w:t>
      </w:r>
    </w:p>
    <w:p w14:paraId="4FCC9DF7" w14:textId="77777777" w:rsidR="00847218" w:rsidRPr="00847218" w:rsidRDefault="00847218" w:rsidP="00847218">
      <w:pPr>
        <w:spacing w:after="0"/>
        <w:ind w:firstLine="709"/>
        <w:jc w:val="both"/>
        <w:rPr>
          <w:rFonts w:ascii="Times New Roman" w:hAnsi="Times New Roman" w:cs="Arial"/>
          <w:color w:val="000000"/>
          <w:sz w:val="28"/>
          <w:szCs w:val="28"/>
        </w:rPr>
      </w:pPr>
      <w:r w:rsidRPr="00847218">
        <w:rPr>
          <w:rFonts w:ascii="Times New Roman" w:hAnsi="Times New Roman" w:cs="Arial"/>
          <w:color w:val="000000"/>
          <w:sz w:val="28"/>
          <w:szCs w:val="28"/>
        </w:rPr>
        <w:t xml:space="preserve">Следует отметить, что </w:t>
      </w:r>
      <w:hyperlink r:id="rId11" w:history="1">
        <w:r w:rsidRPr="00847218">
          <w:rPr>
            <w:rFonts w:ascii="Times New Roman" w:hAnsi="Times New Roman" w:cs="Arial"/>
            <w:color w:val="000000"/>
            <w:sz w:val="28"/>
            <w:szCs w:val="28"/>
          </w:rPr>
          <w:t>по итогам программы «Прямая линия с Владимиром Путиным»</w:t>
        </w:r>
      </w:hyperlink>
      <w:r w:rsidRPr="00847218">
        <w:rPr>
          <w:rFonts w:ascii="Times New Roman" w:hAnsi="Times New Roman" w:cs="Arial"/>
          <w:color w:val="000000"/>
          <w:sz w:val="28"/>
          <w:szCs w:val="28"/>
        </w:rPr>
        <w:t>, состоявшейся 6 июля 2021 года даны поручения в сфере охраны окружающей среды:</w:t>
      </w:r>
    </w:p>
    <w:p w14:paraId="77D4F879" w14:textId="21C50ECA" w:rsidR="00847218" w:rsidRPr="00847218" w:rsidRDefault="00847218" w:rsidP="00847218">
      <w:pPr>
        <w:spacing w:after="0"/>
        <w:ind w:firstLine="709"/>
        <w:jc w:val="both"/>
        <w:rPr>
          <w:rFonts w:ascii="Times New Roman" w:hAnsi="Times New Roman" w:cs="Arial"/>
          <w:color w:val="000000"/>
          <w:sz w:val="28"/>
          <w:szCs w:val="28"/>
        </w:rPr>
      </w:pPr>
      <w:r w:rsidRPr="00847218">
        <w:rPr>
          <w:rFonts w:ascii="Times New Roman" w:hAnsi="Times New Roman" w:cs="Arial"/>
          <w:color w:val="000000"/>
          <w:sz w:val="28"/>
          <w:szCs w:val="28"/>
        </w:rPr>
        <w:t xml:space="preserve">- Правительству Российской Федерации </w:t>
      </w:r>
      <w:r>
        <w:rPr>
          <w:rFonts w:ascii="Times New Roman" w:hAnsi="Times New Roman" w:cs="Arial"/>
          <w:color w:val="000000"/>
          <w:sz w:val="28"/>
          <w:szCs w:val="28"/>
        </w:rPr>
        <w:t>до конца</w:t>
      </w:r>
      <w:r w:rsidRPr="00847218">
        <w:rPr>
          <w:rFonts w:ascii="Times New Roman" w:hAnsi="Times New Roman" w:cs="Arial"/>
          <w:color w:val="000000"/>
          <w:sz w:val="28"/>
          <w:szCs w:val="28"/>
        </w:rPr>
        <w:t xml:space="preserve"> 2021 года представить предложения, касающиеся совершенствования методологии измерения и учета показателей выбросов загрязняющих веществ в атмосферный воздух с использованием данных инструментального контроля;</w:t>
      </w:r>
    </w:p>
    <w:p w14:paraId="404D41CD" w14:textId="7C1CBDA8" w:rsidR="00847218" w:rsidRPr="00847218" w:rsidRDefault="00847218" w:rsidP="00847218">
      <w:pPr>
        <w:spacing w:after="0"/>
        <w:ind w:firstLine="709"/>
        <w:jc w:val="both"/>
        <w:rPr>
          <w:rFonts w:ascii="Times New Roman" w:hAnsi="Times New Roman" w:cs="Arial"/>
          <w:color w:val="000000"/>
          <w:sz w:val="28"/>
          <w:szCs w:val="28"/>
        </w:rPr>
      </w:pPr>
      <w:r w:rsidRPr="00847218">
        <w:rPr>
          <w:rFonts w:ascii="Times New Roman" w:hAnsi="Times New Roman" w:cs="Arial"/>
          <w:color w:val="000000"/>
          <w:sz w:val="28"/>
          <w:szCs w:val="28"/>
        </w:rPr>
        <w:t>- Правительству Российской Федерации совместно с Государственной Думой Федерального Собрания Российской Федерации обеспечить в срок до 31 декабря 2021 </w:t>
      </w:r>
      <w:r>
        <w:rPr>
          <w:rFonts w:ascii="Times New Roman" w:hAnsi="Times New Roman" w:cs="Arial"/>
          <w:color w:val="000000"/>
          <w:sz w:val="28"/>
          <w:szCs w:val="28"/>
        </w:rPr>
        <w:t>года</w:t>
      </w:r>
      <w:r w:rsidRPr="00847218">
        <w:rPr>
          <w:rFonts w:ascii="Times New Roman" w:hAnsi="Times New Roman" w:cs="Arial"/>
          <w:color w:val="000000"/>
          <w:sz w:val="28"/>
          <w:szCs w:val="28"/>
        </w:rPr>
        <w:t xml:space="preserve"> внесение изменений в законодательство Российской Федерации, предусматривающих установление мер ответственности за нарушение требований по оснащению стационарных источников выбросов загрязняющих веществ, сбросов загрязняющих веществ системами автоматического контроля и по предоставлению в государственные органы информации, полученной с использованием таких систем. </w:t>
      </w:r>
    </w:p>
    <w:p w14:paraId="509181D6" w14:textId="758E27C4" w:rsidR="001A6A5D" w:rsidRPr="00847218" w:rsidRDefault="001A6A5D" w:rsidP="00A56CAF">
      <w:pPr>
        <w:spacing w:after="0"/>
        <w:ind w:right="-5" w:firstLine="709"/>
        <w:jc w:val="both"/>
        <w:rPr>
          <w:rFonts w:ascii="Times New Roman" w:hAnsi="Times New Roman" w:cs="Arial"/>
          <w:color w:val="000000"/>
          <w:sz w:val="28"/>
          <w:szCs w:val="28"/>
        </w:rPr>
      </w:pPr>
      <w:r w:rsidRPr="00847218">
        <w:rPr>
          <w:rFonts w:ascii="Times New Roman" w:hAnsi="Times New Roman" w:cs="Arial"/>
          <w:color w:val="000000"/>
          <w:sz w:val="28"/>
          <w:szCs w:val="28"/>
        </w:rPr>
        <w:t xml:space="preserve">При условии реализации консервативного варианта прогноза, вследствие увеличения выпуска </w:t>
      </w:r>
      <w:proofErr w:type="gramStart"/>
      <w:r w:rsidRPr="00847218">
        <w:rPr>
          <w:rFonts w:ascii="Times New Roman" w:hAnsi="Times New Roman" w:cs="Arial"/>
          <w:color w:val="000000"/>
          <w:sz w:val="28"/>
          <w:szCs w:val="28"/>
        </w:rPr>
        <w:t>продукции  и</w:t>
      </w:r>
      <w:proofErr w:type="gramEnd"/>
      <w:r w:rsidRPr="00847218">
        <w:rPr>
          <w:rFonts w:ascii="Times New Roman" w:hAnsi="Times New Roman" w:cs="Arial"/>
          <w:color w:val="000000"/>
          <w:sz w:val="28"/>
          <w:szCs w:val="28"/>
        </w:rPr>
        <w:t xml:space="preserve"> числа источников выбросов, в 2022 - 2024 годах прогнозируется тенденция увеличения объёмов вредных веществ, выбрасываемых в атмосферный воздух стационарными источниками загрязнения, по сравнению с 2021 годом (данный показатель может увеличиться на 0,7% до 28,7 тыс. тонн).</w:t>
      </w:r>
    </w:p>
    <w:p w14:paraId="792ED910" w14:textId="77777777" w:rsidR="001A6A5D" w:rsidRPr="001A6A5D" w:rsidRDefault="001A6A5D" w:rsidP="00A56CAF">
      <w:pPr>
        <w:spacing w:after="0"/>
        <w:jc w:val="both"/>
        <w:rPr>
          <w:rFonts w:ascii="Times New Roman" w:hAnsi="Times New Roman"/>
          <w:sz w:val="28"/>
          <w:szCs w:val="28"/>
        </w:rPr>
      </w:pPr>
      <w:r w:rsidRPr="001A6A5D">
        <w:rPr>
          <w:rFonts w:ascii="Times New Roman" w:hAnsi="Times New Roman"/>
          <w:sz w:val="28"/>
          <w:szCs w:val="28"/>
        </w:rPr>
        <w:tab/>
        <w:t xml:space="preserve">Объём сброса загрязненных сточных вод в поверхностные водные объекты к 2024 году </w:t>
      </w:r>
      <w:proofErr w:type="gramStart"/>
      <w:r w:rsidRPr="001A6A5D">
        <w:rPr>
          <w:rFonts w:ascii="Times New Roman" w:hAnsi="Times New Roman"/>
          <w:sz w:val="28"/>
          <w:szCs w:val="28"/>
        </w:rPr>
        <w:t>уменьшится  относительно</w:t>
      </w:r>
      <w:proofErr w:type="gramEnd"/>
      <w:r w:rsidRPr="001A6A5D">
        <w:rPr>
          <w:rFonts w:ascii="Times New Roman" w:hAnsi="Times New Roman"/>
          <w:sz w:val="28"/>
          <w:szCs w:val="28"/>
        </w:rPr>
        <w:t xml:space="preserve"> 2021 года по консервативному прогнозу на 3,5% и составит 110598,0 </w:t>
      </w:r>
      <w:proofErr w:type="spellStart"/>
      <w:r w:rsidRPr="001A6A5D">
        <w:rPr>
          <w:rFonts w:ascii="Times New Roman" w:hAnsi="Times New Roman"/>
          <w:sz w:val="28"/>
          <w:szCs w:val="28"/>
        </w:rPr>
        <w:t>тыс.куб.м</w:t>
      </w:r>
      <w:proofErr w:type="spellEnd"/>
      <w:r w:rsidRPr="001A6A5D">
        <w:rPr>
          <w:rFonts w:ascii="Times New Roman" w:hAnsi="Times New Roman"/>
          <w:sz w:val="28"/>
          <w:szCs w:val="28"/>
        </w:rPr>
        <w:t>.</w:t>
      </w:r>
    </w:p>
    <w:p w14:paraId="154A315A" w14:textId="506FEDB7" w:rsidR="001A6A5D" w:rsidRPr="001A6A5D" w:rsidRDefault="001A6A5D" w:rsidP="006E0BED">
      <w:pPr>
        <w:spacing w:after="0"/>
        <w:ind w:firstLine="720"/>
        <w:jc w:val="both"/>
        <w:rPr>
          <w:rFonts w:ascii="Times New Roman" w:hAnsi="Times New Roman"/>
          <w:bCs/>
          <w:sz w:val="28"/>
          <w:szCs w:val="28"/>
          <w:highlight w:val="yellow"/>
          <w:lang w:val="x-none" w:eastAsia="x-none"/>
        </w:rPr>
      </w:pPr>
      <w:r w:rsidRPr="001A6A5D">
        <w:rPr>
          <w:rFonts w:ascii="Times New Roman" w:hAnsi="Times New Roman"/>
          <w:bCs/>
          <w:sz w:val="28"/>
          <w:szCs w:val="28"/>
          <w:lang w:val="x-none" w:eastAsia="x-none"/>
        </w:rPr>
        <w:lastRenderedPageBreak/>
        <w:t xml:space="preserve">При условии реализации </w:t>
      </w:r>
      <w:r w:rsidRPr="001A6A5D">
        <w:rPr>
          <w:rFonts w:ascii="Times New Roman" w:hAnsi="Times New Roman"/>
          <w:bCs/>
          <w:sz w:val="28"/>
          <w:szCs w:val="28"/>
          <w:lang w:eastAsia="x-none"/>
        </w:rPr>
        <w:t>базового</w:t>
      </w:r>
      <w:r w:rsidRPr="001A6A5D">
        <w:rPr>
          <w:rFonts w:ascii="Times New Roman" w:hAnsi="Times New Roman"/>
          <w:bCs/>
          <w:sz w:val="28"/>
          <w:szCs w:val="28"/>
          <w:lang w:val="x-none" w:eastAsia="x-none"/>
        </w:rPr>
        <w:t xml:space="preserve"> варианта прогноза, вследствие </w:t>
      </w:r>
      <w:r w:rsidR="005569BE">
        <w:rPr>
          <w:rFonts w:ascii="Times New Roman" w:hAnsi="Times New Roman"/>
          <w:bCs/>
          <w:sz w:val="28"/>
          <w:szCs w:val="28"/>
          <w:lang w:eastAsia="x-none"/>
        </w:rPr>
        <w:t>выполнения</w:t>
      </w:r>
      <w:r w:rsidRPr="001A6A5D">
        <w:rPr>
          <w:rFonts w:ascii="Times New Roman" w:hAnsi="Times New Roman"/>
          <w:bCs/>
          <w:sz w:val="28"/>
          <w:szCs w:val="28"/>
          <w:lang w:val="x-none" w:eastAsia="x-none"/>
        </w:rPr>
        <w:t xml:space="preserve"> крупными промышленными предприятиями </w:t>
      </w:r>
      <w:r w:rsidRPr="001A6A5D">
        <w:rPr>
          <w:rFonts w:ascii="Times New Roman" w:hAnsi="Times New Roman"/>
          <w:bCs/>
          <w:sz w:val="28"/>
          <w:szCs w:val="28"/>
          <w:lang w:eastAsia="x-none"/>
        </w:rPr>
        <w:t>мероприятий</w:t>
      </w:r>
      <w:r w:rsidRPr="001A6A5D">
        <w:rPr>
          <w:rFonts w:ascii="Times New Roman" w:hAnsi="Times New Roman"/>
          <w:bCs/>
          <w:sz w:val="28"/>
          <w:szCs w:val="28"/>
          <w:lang w:val="x-none" w:eastAsia="x-none"/>
        </w:rPr>
        <w:t>, направленных на снижение негативного воздействия на окружающую среду, в 20</w:t>
      </w:r>
      <w:r w:rsidRPr="001A6A5D">
        <w:rPr>
          <w:rFonts w:ascii="Times New Roman" w:hAnsi="Times New Roman"/>
          <w:bCs/>
          <w:sz w:val="28"/>
          <w:szCs w:val="28"/>
          <w:lang w:eastAsia="x-none"/>
        </w:rPr>
        <w:t>22</w:t>
      </w:r>
      <w:r w:rsidRPr="001A6A5D">
        <w:rPr>
          <w:rFonts w:ascii="Times New Roman" w:hAnsi="Times New Roman"/>
          <w:bCs/>
          <w:sz w:val="28"/>
          <w:szCs w:val="28"/>
          <w:lang w:val="x-none" w:eastAsia="x-none"/>
        </w:rPr>
        <w:t xml:space="preserve"> - 20</w:t>
      </w:r>
      <w:r w:rsidRPr="001A6A5D">
        <w:rPr>
          <w:rFonts w:ascii="Times New Roman" w:hAnsi="Times New Roman"/>
          <w:bCs/>
          <w:sz w:val="28"/>
          <w:szCs w:val="28"/>
          <w:lang w:eastAsia="x-none"/>
        </w:rPr>
        <w:t>24</w:t>
      </w:r>
      <w:r w:rsidRPr="001A6A5D">
        <w:rPr>
          <w:rFonts w:ascii="Times New Roman" w:hAnsi="Times New Roman"/>
          <w:bCs/>
          <w:sz w:val="28"/>
          <w:szCs w:val="28"/>
          <w:lang w:val="x-none" w:eastAsia="x-none"/>
        </w:rPr>
        <w:t xml:space="preserve"> годах прогнозируется тенденция </w:t>
      </w:r>
      <w:r w:rsidRPr="001A6A5D">
        <w:rPr>
          <w:rFonts w:ascii="Times New Roman" w:hAnsi="Times New Roman"/>
          <w:bCs/>
          <w:sz w:val="28"/>
          <w:szCs w:val="28"/>
          <w:lang w:eastAsia="x-none"/>
        </w:rPr>
        <w:t>снижения</w:t>
      </w:r>
      <w:r w:rsidRPr="001A6A5D">
        <w:rPr>
          <w:rFonts w:ascii="Times New Roman" w:hAnsi="Times New Roman"/>
          <w:bCs/>
          <w:sz w:val="28"/>
          <w:szCs w:val="28"/>
          <w:lang w:val="x-none" w:eastAsia="x-none"/>
        </w:rPr>
        <w:t xml:space="preserve"> </w:t>
      </w:r>
      <w:proofErr w:type="spellStart"/>
      <w:r w:rsidRPr="001A6A5D">
        <w:rPr>
          <w:rFonts w:ascii="Times New Roman" w:hAnsi="Times New Roman"/>
          <w:bCs/>
          <w:sz w:val="28"/>
          <w:szCs w:val="28"/>
          <w:lang w:val="x-none" w:eastAsia="x-none"/>
        </w:rPr>
        <w:t>объ</w:t>
      </w:r>
      <w:r w:rsidRPr="001A6A5D">
        <w:rPr>
          <w:rFonts w:ascii="Times New Roman" w:hAnsi="Times New Roman"/>
          <w:bCs/>
          <w:sz w:val="28"/>
          <w:szCs w:val="28"/>
          <w:lang w:eastAsia="x-none"/>
        </w:rPr>
        <w:t>ё</w:t>
      </w:r>
      <w:r w:rsidRPr="001A6A5D">
        <w:rPr>
          <w:rFonts w:ascii="Times New Roman" w:hAnsi="Times New Roman"/>
          <w:bCs/>
          <w:sz w:val="28"/>
          <w:szCs w:val="28"/>
          <w:lang w:val="x-none" w:eastAsia="x-none"/>
        </w:rPr>
        <w:t>мов</w:t>
      </w:r>
      <w:proofErr w:type="spellEnd"/>
      <w:r w:rsidRPr="001A6A5D">
        <w:rPr>
          <w:rFonts w:ascii="Times New Roman" w:hAnsi="Times New Roman"/>
          <w:bCs/>
          <w:sz w:val="28"/>
          <w:szCs w:val="28"/>
          <w:lang w:val="x-none" w:eastAsia="x-none"/>
        </w:rPr>
        <w:t xml:space="preserve"> вредных веществ, выбрасываемых в атмосферный воздух стационарными источниками загрязнения, по сравнению с 20</w:t>
      </w:r>
      <w:r w:rsidRPr="001A6A5D">
        <w:rPr>
          <w:rFonts w:ascii="Times New Roman" w:hAnsi="Times New Roman"/>
          <w:bCs/>
          <w:sz w:val="28"/>
          <w:szCs w:val="28"/>
          <w:lang w:eastAsia="x-none"/>
        </w:rPr>
        <w:t>21</w:t>
      </w:r>
      <w:r w:rsidRPr="001A6A5D">
        <w:rPr>
          <w:rFonts w:ascii="Times New Roman" w:hAnsi="Times New Roman"/>
          <w:bCs/>
          <w:sz w:val="28"/>
          <w:szCs w:val="28"/>
          <w:lang w:val="x-none" w:eastAsia="x-none"/>
        </w:rPr>
        <w:t xml:space="preserve"> годом.  В целом в 20</w:t>
      </w:r>
      <w:r w:rsidRPr="001A6A5D">
        <w:rPr>
          <w:rFonts w:ascii="Times New Roman" w:hAnsi="Times New Roman"/>
          <w:bCs/>
          <w:sz w:val="28"/>
          <w:szCs w:val="28"/>
          <w:lang w:eastAsia="x-none"/>
        </w:rPr>
        <w:t>24</w:t>
      </w:r>
      <w:r w:rsidRPr="001A6A5D">
        <w:rPr>
          <w:rFonts w:ascii="Times New Roman" w:hAnsi="Times New Roman"/>
          <w:bCs/>
          <w:sz w:val="28"/>
          <w:szCs w:val="28"/>
          <w:lang w:val="x-none" w:eastAsia="x-none"/>
        </w:rPr>
        <w:t xml:space="preserve"> году относительно 20</w:t>
      </w:r>
      <w:r w:rsidRPr="001A6A5D">
        <w:rPr>
          <w:rFonts w:ascii="Times New Roman" w:hAnsi="Times New Roman"/>
          <w:bCs/>
          <w:sz w:val="28"/>
          <w:szCs w:val="28"/>
          <w:lang w:eastAsia="x-none"/>
        </w:rPr>
        <w:t>21</w:t>
      </w:r>
      <w:r w:rsidRPr="001A6A5D">
        <w:rPr>
          <w:rFonts w:ascii="Times New Roman" w:hAnsi="Times New Roman"/>
          <w:bCs/>
          <w:sz w:val="28"/>
          <w:szCs w:val="28"/>
          <w:lang w:val="x-none" w:eastAsia="x-none"/>
        </w:rPr>
        <w:t xml:space="preserve"> года данный показатель может </w:t>
      </w:r>
      <w:r w:rsidRPr="001A6A5D">
        <w:rPr>
          <w:rFonts w:ascii="Times New Roman" w:hAnsi="Times New Roman"/>
          <w:bCs/>
          <w:sz w:val="28"/>
          <w:szCs w:val="28"/>
          <w:lang w:eastAsia="x-none"/>
        </w:rPr>
        <w:t>уменьшиться</w:t>
      </w:r>
      <w:r w:rsidRPr="001A6A5D">
        <w:rPr>
          <w:rFonts w:ascii="Times New Roman" w:hAnsi="Times New Roman"/>
          <w:bCs/>
          <w:sz w:val="28"/>
          <w:szCs w:val="28"/>
          <w:lang w:val="x-none" w:eastAsia="x-none"/>
        </w:rPr>
        <w:t xml:space="preserve"> на </w:t>
      </w:r>
      <w:r>
        <w:rPr>
          <w:rFonts w:ascii="Times New Roman" w:hAnsi="Times New Roman"/>
          <w:bCs/>
          <w:sz w:val="28"/>
          <w:szCs w:val="28"/>
          <w:lang w:eastAsia="x-none"/>
        </w:rPr>
        <w:t>1</w:t>
      </w:r>
      <w:r w:rsidRPr="001A6A5D">
        <w:rPr>
          <w:rFonts w:ascii="Times New Roman" w:hAnsi="Times New Roman"/>
          <w:bCs/>
          <w:sz w:val="28"/>
          <w:szCs w:val="28"/>
          <w:lang w:val="x-none" w:eastAsia="x-none"/>
        </w:rPr>
        <w:t>,</w:t>
      </w:r>
      <w:r w:rsidRPr="001A6A5D">
        <w:rPr>
          <w:rFonts w:ascii="Times New Roman" w:hAnsi="Times New Roman"/>
          <w:bCs/>
          <w:sz w:val="28"/>
          <w:szCs w:val="28"/>
          <w:lang w:eastAsia="x-none"/>
        </w:rPr>
        <w:t>4</w:t>
      </w:r>
      <w:r w:rsidRPr="001A6A5D">
        <w:rPr>
          <w:rFonts w:ascii="Times New Roman" w:hAnsi="Times New Roman"/>
          <w:bCs/>
          <w:sz w:val="28"/>
          <w:szCs w:val="28"/>
          <w:lang w:val="x-none" w:eastAsia="x-none"/>
        </w:rPr>
        <w:t xml:space="preserve"> % до </w:t>
      </w:r>
      <w:r w:rsidRPr="001A6A5D">
        <w:rPr>
          <w:rFonts w:ascii="Times New Roman" w:hAnsi="Times New Roman"/>
          <w:bCs/>
          <w:sz w:val="28"/>
          <w:szCs w:val="28"/>
          <w:lang w:eastAsia="x-none"/>
        </w:rPr>
        <w:t>28,4</w:t>
      </w:r>
      <w:r w:rsidRPr="001A6A5D">
        <w:rPr>
          <w:rFonts w:ascii="Times New Roman" w:hAnsi="Times New Roman"/>
          <w:bCs/>
          <w:sz w:val="28"/>
          <w:szCs w:val="28"/>
          <w:lang w:val="x-none" w:eastAsia="x-none"/>
        </w:rPr>
        <w:t xml:space="preserve"> тыс. тонн.</w:t>
      </w:r>
    </w:p>
    <w:p w14:paraId="5A540AF5" w14:textId="49AD7CBF" w:rsidR="001A6A5D" w:rsidRPr="001A6A5D" w:rsidRDefault="001A6A5D" w:rsidP="006E0BED">
      <w:pPr>
        <w:spacing w:after="0"/>
        <w:ind w:firstLine="720"/>
        <w:jc w:val="both"/>
        <w:rPr>
          <w:rFonts w:ascii="Times New Roman" w:hAnsi="Times New Roman"/>
          <w:sz w:val="28"/>
          <w:szCs w:val="28"/>
        </w:rPr>
      </w:pPr>
      <w:r w:rsidRPr="001A6A5D">
        <w:rPr>
          <w:rFonts w:ascii="Times New Roman" w:hAnsi="Times New Roman"/>
          <w:sz w:val="28"/>
          <w:szCs w:val="28"/>
        </w:rPr>
        <w:t xml:space="preserve">Объём сброса загрязненных сточных вод в поверхностные водные объекты в 2024 году уменьшится относительно 2021 года по базовому варианту прогноза на </w:t>
      </w:r>
      <w:r>
        <w:rPr>
          <w:rFonts w:ascii="Times New Roman" w:hAnsi="Times New Roman"/>
          <w:sz w:val="28"/>
          <w:szCs w:val="28"/>
        </w:rPr>
        <w:t>4,8</w:t>
      </w:r>
      <w:r w:rsidRPr="001A6A5D">
        <w:rPr>
          <w:rFonts w:ascii="Times New Roman" w:hAnsi="Times New Roman"/>
          <w:sz w:val="28"/>
          <w:szCs w:val="28"/>
        </w:rPr>
        <w:t>% и составит 108 921,7 тыс.</w:t>
      </w:r>
      <w:r w:rsidR="00847218">
        <w:rPr>
          <w:rFonts w:ascii="Times New Roman" w:hAnsi="Times New Roman"/>
          <w:sz w:val="28"/>
          <w:szCs w:val="28"/>
        </w:rPr>
        <w:t xml:space="preserve"> </w:t>
      </w:r>
      <w:r w:rsidRPr="001A6A5D">
        <w:rPr>
          <w:rFonts w:ascii="Times New Roman" w:hAnsi="Times New Roman"/>
          <w:sz w:val="28"/>
          <w:szCs w:val="28"/>
        </w:rPr>
        <w:t>куб.</w:t>
      </w:r>
      <w:r w:rsidR="00847218">
        <w:rPr>
          <w:rFonts w:ascii="Times New Roman" w:hAnsi="Times New Roman"/>
          <w:sz w:val="28"/>
          <w:szCs w:val="28"/>
        </w:rPr>
        <w:t xml:space="preserve"> </w:t>
      </w:r>
      <w:r w:rsidRPr="001A6A5D">
        <w:rPr>
          <w:rFonts w:ascii="Times New Roman" w:hAnsi="Times New Roman"/>
          <w:sz w:val="28"/>
          <w:szCs w:val="28"/>
        </w:rPr>
        <w:t>м.</w:t>
      </w:r>
    </w:p>
    <w:p w14:paraId="6BD148A8" w14:textId="77777777" w:rsidR="00847218" w:rsidRDefault="00847218" w:rsidP="00EE6E8F">
      <w:pPr>
        <w:spacing w:after="0"/>
        <w:ind w:firstLine="709"/>
        <w:jc w:val="both"/>
        <w:rPr>
          <w:rFonts w:ascii="Times New Roman" w:hAnsi="Times New Roman"/>
          <w:sz w:val="28"/>
          <w:szCs w:val="28"/>
        </w:rPr>
      </w:pPr>
    </w:p>
    <w:p w14:paraId="058B7F57" w14:textId="5E5CD639" w:rsidR="009A17C3" w:rsidRPr="009A17C3" w:rsidRDefault="00EE6E8F" w:rsidP="009A17C3">
      <w:pPr>
        <w:spacing w:after="0"/>
        <w:ind w:firstLine="709"/>
        <w:jc w:val="both"/>
        <w:rPr>
          <w:rFonts w:ascii="Times New Roman" w:hAnsi="Times New Roman"/>
          <w:sz w:val="28"/>
          <w:szCs w:val="28"/>
        </w:rPr>
      </w:pPr>
      <w:r w:rsidRPr="00EE6E8F">
        <w:rPr>
          <w:rFonts w:ascii="Times New Roman" w:hAnsi="Times New Roman"/>
          <w:sz w:val="28"/>
          <w:szCs w:val="28"/>
        </w:rPr>
        <w:t xml:space="preserve">Таким образом, прогноз социально-экономического развития городского округа Тольятти на 2022 год и плановый период 2023 и 2024 годов предусматривает постепенное восстановление экономики вследствие улучшения ситуации в реальном секторе, активизации экономической деятельности в пострадавших от распространения коронавирусной инфекции отраслях, восстановления и развития деятельности сектора малого предпринимательства, </w:t>
      </w:r>
      <w:r w:rsidR="009A17C3">
        <w:rPr>
          <w:rFonts w:ascii="Times New Roman" w:hAnsi="Times New Roman"/>
          <w:sz w:val="28"/>
          <w:szCs w:val="28"/>
        </w:rPr>
        <w:t>рост инвестиционной активности</w:t>
      </w:r>
      <w:r w:rsidRPr="00EE6E8F">
        <w:rPr>
          <w:rFonts w:ascii="Times New Roman" w:hAnsi="Times New Roman"/>
          <w:sz w:val="28"/>
          <w:szCs w:val="28"/>
        </w:rPr>
        <w:t xml:space="preserve">, увеличения реальных доходов и платежеспособного спроса населения, роста занятости и стабилизации на рынке труда города. </w:t>
      </w:r>
      <w:bookmarkStart w:id="13" w:name="_Hlk85735119"/>
    </w:p>
    <w:p w14:paraId="5673B5A5" w14:textId="2AD369DE" w:rsidR="006E0BED" w:rsidRPr="006E0BED" w:rsidRDefault="005569BE" w:rsidP="006E0BED">
      <w:pPr>
        <w:pStyle w:val="ConsPlusNonformat"/>
        <w:spacing w:line="276" w:lineRule="auto"/>
        <w:ind w:firstLine="709"/>
        <w:jc w:val="both"/>
        <w:rPr>
          <w:rFonts w:ascii="Times New Roman" w:hAnsi="Times New Roman"/>
          <w:sz w:val="28"/>
          <w:szCs w:val="28"/>
        </w:rPr>
      </w:pPr>
      <w:r w:rsidRPr="009A17C3">
        <w:rPr>
          <w:rFonts w:ascii="Times New Roman" w:hAnsi="Times New Roman"/>
          <w:sz w:val="28"/>
          <w:szCs w:val="28"/>
        </w:rPr>
        <w:t xml:space="preserve">При этом нестабильная эпидемиологическая обстановка остается ключевым </w:t>
      </w:r>
      <w:r w:rsidR="006E0BED">
        <w:rPr>
          <w:rFonts w:ascii="Times New Roman" w:hAnsi="Times New Roman"/>
          <w:sz w:val="28"/>
          <w:szCs w:val="28"/>
        </w:rPr>
        <w:t xml:space="preserve">негативным </w:t>
      </w:r>
      <w:r w:rsidRPr="009A17C3">
        <w:rPr>
          <w:rFonts w:ascii="Times New Roman" w:hAnsi="Times New Roman"/>
          <w:sz w:val="28"/>
          <w:szCs w:val="28"/>
        </w:rPr>
        <w:t xml:space="preserve">фактором, влияющим на достижение параметров прогноза. </w:t>
      </w:r>
      <w:r w:rsidR="009A17C3">
        <w:rPr>
          <w:rFonts w:ascii="Times New Roman" w:hAnsi="Times New Roman"/>
          <w:sz w:val="28"/>
          <w:szCs w:val="28"/>
        </w:rPr>
        <w:t xml:space="preserve">Кроме этого, </w:t>
      </w:r>
      <w:bookmarkEnd w:id="13"/>
      <w:r w:rsidR="006E0BED" w:rsidRPr="006E0BED">
        <w:rPr>
          <w:rFonts w:ascii="Times New Roman" w:hAnsi="Times New Roman"/>
          <w:sz w:val="28"/>
          <w:szCs w:val="28"/>
        </w:rPr>
        <w:t xml:space="preserve">для </w:t>
      </w:r>
      <w:r w:rsidR="006E0BED">
        <w:rPr>
          <w:rFonts w:ascii="Times New Roman" w:hAnsi="Times New Roman"/>
          <w:sz w:val="28"/>
          <w:szCs w:val="28"/>
        </w:rPr>
        <w:t xml:space="preserve">городского округа </w:t>
      </w:r>
      <w:r w:rsidR="006E0BED" w:rsidRPr="006E0BED">
        <w:rPr>
          <w:rFonts w:ascii="Times New Roman" w:hAnsi="Times New Roman"/>
          <w:sz w:val="28"/>
          <w:szCs w:val="28"/>
        </w:rPr>
        <w:t xml:space="preserve">Тольятти наиболее актуальной остается проблема сокращения численности населения. </w:t>
      </w:r>
    </w:p>
    <w:p w14:paraId="77DFCE65" w14:textId="5FFDE03E" w:rsidR="005848E6" w:rsidRDefault="005848E6" w:rsidP="0085402B">
      <w:pPr>
        <w:suppressAutoHyphens/>
        <w:spacing w:after="0"/>
        <w:jc w:val="both"/>
        <w:outlineLvl w:val="0"/>
        <w:rPr>
          <w:rFonts w:ascii="Times New Roman" w:hAnsi="Times New Roman"/>
          <w:sz w:val="28"/>
          <w:szCs w:val="28"/>
        </w:rPr>
      </w:pPr>
    </w:p>
    <w:p w14:paraId="29908590" w14:textId="04093FBC" w:rsidR="005848E6" w:rsidRDefault="005848E6" w:rsidP="0085402B">
      <w:pPr>
        <w:suppressAutoHyphens/>
        <w:spacing w:after="0"/>
        <w:jc w:val="both"/>
        <w:outlineLvl w:val="0"/>
        <w:rPr>
          <w:rFonts w:ascii="Times New Roman" w:hAnsi="Times New Roman"/>
          <w:sz w:val="28"/>
          <w:szCs w:val="28"/>
        </w:rPr>
      </w:pPr>
    </w:p>
    <w:p w14:paraId="71DECFF5" w14:textId="0BDCE0D8" w:rsidR="006E0BED" w:rsidRDefault="006E0BED" w:rsidP="0085402B">
      <w:pPr>
        <w:suppressAutoHyphens/>
        <w:spacing w:after="0"/>
        <w:jc w:val="both"/>
        <w:outlineLvl w:val="0"/>
        <w:rPr>
          <w:rFonts w:ascii="Times New Roman" w:hAnsi="Times New Roman"/>
          <w:sz w:val="28"/>
          <w:szCs w:val="28"/>
        </w:rPr>
      </w:pPr>
    </w:p>
    <w:p w14:paraId="33AA753E" w14:textId="2D609CE6" w:rsidR="006E0BED" w:rsidRDefault="006E0BED" w:rsidP="0085402B">
      <w:pPr>
        <w:suppressAutoHyphens/>
        <w:spacing w:after="0"/>
        <w:jc w:val="both"/>
        <w:outlineLvl w:val="0"/>
        <w:rPr>
          <w:rFonts w:ascii="Times New Roman" w:hAnsi="Times New Roman"/>
          <w:sz w:val="28"/>
          <w:szCs w:val="28"/>
        </w:rPr>
      </w:pPr>
    </w:p>
    <w:p w14:paraId="6E6FE111" w14:textId="77777777" w:rsidR="006E0BED" w:rsidRDefault="006E0BED" w:rsidP="0085402B">
      <w:pPr>
        <w:suppressAutoHyphens/>
        <w:spacing w:after="0"/>
        <w:jc w:val="both"/>
        <w:outlineLvl w:val="0"/>
        <w:rPr>
          <w:rFonts w:ascii="Times New Roman" w:hAnsi="Times New Roman"/>
          <w:sz w:val="28"/>
          <w:szCs w:val="28"/>
        </w:rPr>
      </w:pPr>
    </w:p>
    <w:p w14:paraId="27C8DF36" w14:textId="77777777" w:rsidR="00080B75" w:rsidRPr="004C4873" w:rsidRDefault="00360741" w:rsidP="00513F65">
      <w:pPr>
        <w:suppressAutoHyphens/>
        <w:spacing w:after="0"/>
        <w:outlineLvl w:val="0"/>
        <w:rPr>
          <w:rFonts w:ascii="Times New Roman" w:hAnsi="Times New Roman"/>
          <w:sz w:val="28"/>
          <w:szCs w:val="28"/>
        </w:rPr>
      </w:pPr>
      <w:r w:rsidRPr="004C4873">
        <w:rPr>
          <w:rFonts w:ascii="Times New Roman" w:hAnsi="Times New Roman"/>
          <w:sz w:val="28"/>
          <w:szCs w:val="28"/>
        </w:rPr>
        <w:t>Р</w:t>
      </w:r>
      <w:r w:rsidR="0024525F" w:rsidRPr="004C4873">
        <w:rPr>
          <w:rFonts w:ascii="Times New Roman" w:hAnsi="Times New Roman"/>
          <w:sz w:val="28"/>
          <w:szCs w:val="28"/>
        </w:rPr>
        <w:t>уководител</w:t>
      </w:r>
      <w:r w:rsidRPr="004C4873">
        <w:rPr>
          <w:rFonts w:ascii="Times New Roman" w:hAnsi="Times New Roman"/>
          <w:sz w:val="28"/>
          <w:szCs w:val="28"/>
        </w:rPr>
        <w:t>ь</w:t>
      </w:r>
      <w:r w:rsidR="00E34674" w:rsidRPr="004C4873">
        <w:rPr>
          <w:rFonts w:ascii="Times New Roman" w:hAnsi="Times New Roman"/>
          <w:sz w:val="28"/>
          <w:szCs w:val="28"/>
        </w:rPr>
        <w:t xml:space="preserve"> </w:t>
      </w:r>
      <w:r w:rsidR="0024525F" w:rsidRPr="004C4873">
        <w:rPr>
          <w:rFonts w:ascii="Times New Roman" w:hAnsi="Times New Roman"/>
          <w:sz w:val="28"/>
          <w:szCs w:val="28"/>
        </w:rPr>
        <w:t xml:space="preserve">департамента  </w:t>
      </w:r>
    </w:p>
    <w:p w14:paraId="6027E88A" w14:textId="4C81DA6C" w:rsidR="0024525F" w:rsidRPr="004C4873" w:rsidRDefault="00513F65" w:rsidP="00513F65">
      <w:pPr>
        <w:suppressAutoHyphens/>
        <w:spacing w:after="0"/>
        <w:outlineLvl w:val="0"/>
        <w:rPr>
          <w:rFonts w:ascii="Times New Roman" w:hAnsi="Times New Roman"/>
          <w:sz w:val="28"/>
          <w:szCs w:val="28"/>
        </w:rPr>
      </w:pPr>
      <w:r>
        <w:rPr>
          <w:rFonts w:ascii="Times New Roman" w:hAnsi="Times New Roman"/>
          <w:sz w:val="28"/>
          <w:szCs w:val="28"/>
        </w:rPr>
        <w:t>э</w:t>
      </w:r>
      <w:r w:rsidR="0024525F" w:rsidRPr="004C4873">
        <w:rPr>
          <w:rFonts w:ascii="Times New Roman" w:hAnsi="Times New Roman"/>
          <w:sz w:val="28"/>
          <w:szCs w:val="28"/>
        </w:rPr>
        <w:t>кономического</w:t>
      </w:r>
      <w:r>
        <w:rPr>
          <w:rFonts w:ascii="Times New Roman" w:hAnsi="Times New Roman"/>
          <w:sz w:val="28"/>
          <w:szCs w:val="28"/>
        </w:rPr>
        <w:t xml:space="preserve"> </w:t>
      </w:r>
      <w:r w:rsidR="0024525F" w:rsidRPr="004C4873">
        <w:rPr>
          <w:rFonts w:ascii="Times New Roman" w:hAnsi="Times New Roman"/>
          <w:sz w:val="28"/>
          <w:szCs w:val="28"/>
        </w:rPr>
        <w:t>развития</w:t>
      </w:r>
      <w:r w:rsidR="004A3EE1" w:rsidRPr="004C4873">
        <w:rPr>
          <w:rFonts w:ascii="Times New Roman" w:hAnsi="Times New Roman"/>
          <w:sz w:val="28"/>
          <w:szCs w:val="28"/>
        </w:rPr>
        <w:t xml:space="preserve"> </w:t>
      </w:r>
      <w:r w:rsidR="00360741" w:rsidRPr="004C4873">
        <w:rPr>
          <w:rFonts w:ascii="Times New Roman" w:hAnsi="Times New Roman"/>
          <w:sz w:val="28"/>
          <w:szCs w:val="28"/>
        </w:rPr>
        <w:t xml:space="preserve">                                 </w:t>
      </w:r>
      <w:r w:rsidR="00080B75" w:rsidRPr="004C4873">
        <w:rPr>
          <w:rFonts w:ascii="Times New Roman" w:hAnsi="Times New Roman"/>
          <w:sz w:val="28"/>
          <w:szCs w:val="28"/>
        </w:rPr>
        <w:t xml:space="preserve">   </w:t>
      </w:r>
      <w:r w:rsidR="00360741" w:rsidRPr="004C4873">
        <w:rPr>
          <w:rFonts w:ascii="Times New Roman" w:hAnsi="Times New Roman"/>
          <w:sz w:val="28"/>
          <w:szCs w:val="28"/>
        </w:rPr>
        <w:t xml:space="preserve">            </w:t>
      </w:r>
      <w:r w:rsidR="00080B75" w:rsidRPr="004C4873">
        <w:rPr>
          <w:rFonts w:ascii="Times New Roman" w:hAnsi="Times New Roman"/>
          <w:sz w:val="28"/>
          <w:szCs w:val="28"/>
        </w:rPr>
        <w:t xml:space="preserve">     </w:t>
      </w:r>
      <w:r w:rsidR="00360741" w:rsidRPr="004C4873">
        <w:rPr>
          <w:rFonts w:ascii="Times New Roman" w:hAnsi="Times New Roman"/>
          <w:sz w:val="28"/>
          <w:szCs w:val="28"/>
        </w:rPr>
        <w:t xml:space="preserve">            </w:t>
      </w:r>
      <w:r w:rsidR="007D2609" w:rsidRPr="004C4873">
        <w:rPr>
          <w:rFonts w:ascii="Times New Roman" w:hAnsi="Times New Roman"/>
          <w:sz w:val="28"/>
          <w:szCs w:val="28"/>
        </w:rPr>
        <w:t>Е.В. Базаева</w:t>
      </w:r>
      <w:r w:rsidR="0024525F" w:rsidRPr="004C4873">
        <w:rPr>
          <w:rFonts w:ascii="Times New Roman" w:hAnsi="Times New Roman"/>
          <w:sz w:val="28"/>
          <w:szCs w:val="28"/>
        </w:rPr>
        <w:t xml:space="preserve">            </w:t>
      </w:r>
      <w:r w:rsidR="00712688" w:rsidRPr="004C4873">
        <w:rPr>
          <w:rFonts w:ascii="Times New Roman" w:hAnsi="Times New Roman"/>
          <w:sz w:val="28"/>
          <w:szCs w:val="28"/>
        </w:rPr>
        <w:t xml:space="preserve">     </w:t>
      </w:r>
      <w:r w:rsidR="0024525F" w:rsidRPr="004C4873">
        <w:rPr>
          <w:rFonts w:ascii="Times New Roman" w:hAnsi="Times New Roman"/>
          <w:sz w:val="28"/>
          <w:szCs w:val="28"/>
        </w:rPr>
        <w:t xml:space="preserve">      </w:t>
      </w:r>
    </w:p>
    <w:p w14:paraId="7610F2BC" w14:textId="77777777" w:rsidR="00080B75" w:rsidRPr="004C4873" w:rsidRDefault="00080B75" w:rsidP="00513F65">
      <w:pPr>
        <w:suppressAutoHyphens/>
        <w:spacing w:after="0"/>
        <w:outlineLvl w:val="0"/>
        <w:rPr>
          <w:rFonts w:ascii="Times New Roman" w:hAnsi="Times New Roman"/>
          <w:sz w:val="28"/>
          <w:szCs w:val="28"/>
        </w:rPr>
      </w:pPr>
    </w:p>
    <w:p w14:paraId="033D1920" w14:textId="277D41B9" w:rsidR="00080B75" w:rsidRDefault="00080B75" w:rsidP="006509F3">
      <w:pPr>
        <w:suppressAutoHyphens/>
        <w:spacing w:after="0"/>
        <w:jc w:val="both"/>
        <w:outlineLvl w:val="0"/>
        <w:rPr>
          <w:rFonts w:ascii="Times New Roman" w:hAnsi="Times New Roman"/>
          <w:sz w:val="28"/>
          <w:szCs w:val="28"/>
        </w:rPr>
      </w:pPr>
    </w:p>
    <w:p w14:paraId="0B4F24BC" w14:textId="7641018E" w:rsidR="006E0BED" w:rsidRDefault="006E0BED" w:rsidP="006509F3">
      <w:pPr>
        <w:suppressAutoHyphens/>
        <w:spacing w:after="0"/>
        <w:jc w:val="both"/>
        <w:outlineLvl w:val="0"/>
        <w:rPr>
          <w:rFonts w:ascii="Times New Roman" w:hAnsi="Times New Roman"/>
          <w:sz w:val="28"/>
          <w:szCs w:val="28"/>
        </w:rPr>
      </w:pPr>
    </w:p>
    <w:p w14:paraId="36E5ACCE" w14:textId="77777777" w:rsidR="006E0BED" w:rsidRPr="004C4873" w:rsidRDefault="006E0BED" w:rsidP="006509F3">
      <w:pPr>
        <w:suppressAutoHyphens/>
        <w:spacing w:after="0"/>
        <w:jc w:val="both"/>
        <w:outlineLvl w:val="0"/>
        <w:rPr>
          <w:rFonts w:ascii="Times New Roman" w:hAnsi="Times New Roman"/>
          <w:sz w:val="28"/>
          <w:szCs w:val="28"/>
        </w:rPr>
      </w:pPr>
    </w:p>
    <w:p w14:paraId="06C0780F" w14:textId="14C31B8F" w:rsidR="006509F3" w:rsidRPr="00513F65" w:rsidRDefault="006509F3" w:rsidP="006509F3">
      <w:pPr>
        <w:suppressAutoHyphens/>
        <w:spacing w:after="0"/>
        <w:jc w:val="both"/>
        <w:outlineLvl w:val="0"/>
        <w:rPr>
          <w:rFonts w:ascii="Times New Roman" w:hAnsi="Times New Roman"/>
          <w:sz w:val="24"/>
          <w:szCs w:val="24"/>
        </w:rPr>
      </w:pPr>
      <w:r w:rsidRPr="00513F65">
        <w:rPr>
          <w:rFonts w:ascii="Times New Roman" w:hAnsi="Times New Roman"/>
          <w:sz w:val="24"/>
          <w:szCs w:val="24"/>
        </w:rPr>
        <w:t>Кончева Н.В.</w:t>
      </w:r>
      <w:r w:rsidR="00513F65">
        <w:rPr>
          <w:rFonts w:ascii="Times New Roman" w:hAnsi="Times New Roman"/>
          <w:sz w:val="24"/>
          <w:szCs w:val="24"/>
        </w:rPr>
        <w:t>,</w:t>
      </w:r>
    </w:p>
    <w:p w14:paraId="20CA902C" w14:textId="77777777" w:rsidR="006509F3" w:rsidRPr="00513F65" w:rsidRDefault="006509F3" w:rsidP="006509F3">
      <w:pPr>
        <w:suppressAutoHyphens/>
        <w:spacing w:after="0"/>
        <w:jc w:val="both"/>
        <w:outlineLvl w:val="0"/>
        <w:rPr>
          <w:rFonts w:ascii="Times New Roman" w:hAnsi="Times New Roman"/>
          <w:sz w:val="24"/>
          <w:szCs w:val="24"/>
        </w:rPr>
      </w:pPr>
      <w:r w:rsidRPr="00513F65">
        <w:rPr>
          <w:rFonts w:ascii="Times New Roman" w:hAnsi="Times New Roman"/>
          <w:sz w:val="24"/>
          <w:szCs w:val="24"/>
        </w:rPr>
        <w:t>54-32-76</w:t>
      </w:r>
    </w:p>
    <w:sectPr w:rsidR="006509F3" w:rsidRPr="00513F65" w:rsidSect="00986F93">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C5C18" w14:textId="77777777" w:rsidR="000E32EA" w:rsidRDefault="000E32EA" w:rsidP="006A2B6C">
      <w:pPr>
        <w:spacing w:after="0" w:line="240" w:lineRule="auto"/>
      </w:pPr>
      <w:r>
        <w:separator/>
      </w:r>
    </w:p>
  </w:endnote>
  <w:endnote w:type="continuationSeparator" w:id="0">
    <w:p w14:paraId="3DD9F218" w14:textId="77777777" w:rsidR="000E32EA" w:rsidRDefault="000E32EA" w:rsidP="006A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08EFA" w14:textId="77777777" w:rsidR="000E32EA" w:rsidRDefault="000E32EA" w:rsidP="006A2B6C">
      <w:pPr>
        <w:spacing w:after="0" w:line="240" w:lineRule="auto"/>
      </w:pPr>
      <w:r>
        <w:separator/>
      </w:r>
    </w:p>
  </w:footnote>
  <w:footnote w:type="continuationSeparator" w:id="0">
    <w:p w14:paraId="7143C6ED" w14:textId="77777777" w:rsidR="000E32EA" w:rsidRDefault="000E32EA" w:rsidP="006A2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9CBC1" w14:textId="77777777" w:rsidR="00CA1EE3" w:rsidRDefault="00CA1EE3">
    <w:pPr>
      <w:pStyle w:val="ab"/>
      <w:jc w:val="center"/>
    </w:pPr>
    <w:r>
      <w:fldChar w:fldCharType="begin"/>
    </w:r>
    <w:r>
      <w:instrText xml:space="preserve"> PAGE   \* MERGEFORMAT </w:instrText>
    </w:r>
    <w:r>
      <w:fldChar w:fldCharType="separate"/>
    </w:r>
    <w:r w:rsidR="00186B75">
      <w:rPr>
        <w:noProof/>
      </w:rPr>
      <w:t>18</w:t>
    </w:r>
    <w:r>
      <w:rPr>
        <w:noProof/>
      </w:rPr>
      <w:fldChar w:fldCharType="end"/>
    </w:r>
  </w:p>
  <w:p w14:paraId="315A7358" w14:textId="77777777" w:rsidR="00CA1EE3" w:rsidRDefault="00CA1EE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8E0B9A6"/>
    <w:lvl w:ilvl="0">
      <w:numFmt w:val="bullet"/>
      <w:lvlText w:val="*"/>
      <w:lvlJc w:val="left"/>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720"/>
        </w:tabs>
        <w:ind w:left="720" w:hanging="360"/>
      </w:pPr>
      <w:rPr>
        <w:rFonts w:ascii="Symbol" w:hAnsi="Symbol"/>
      </w:rPr>
    </w:lvl>
    <w:lvl w:ilvl="3">
      <w:start w:val="1"/>
      <w:numFmt w:val="bullet"/>
      <w:lvlText w:val=""/>
      <w:lvlJc w:val="left"/>
      <w:pPr>
        <w:tabs>
          <w:tab w:val="num" w:pos="1080"/>
        </w:tabs>
        <w:ind w:left="1080" w:hanging="360"/>
      </w:pPr>
      <w:rPr>
        <w:rFonts w:ascii="Symbol" w:hAnsi="Symbol"/>
      </w:rPr>
    </w:lvl>
    <w:lvl w:ilvl="4">
      <w:start w:val="1"/>
      <w:numFmt w:val="bullet"/>
      <w:lvlText w:val=""/>
      <w:lvlJc w:val="left"/>
      <w:pPr>
        <w:tabs>
          <w:tab w:val="num" w:pos="1440"/>
        </w:tabs>
        <w:ind w:left="1440" w:hanging="360"/>
      </w:pPr>
      <w:rPr>
        <w:rFonts w:ascii="Symbol" w:hAnsi="Symbol"/>
      </w:rPr>
    </w:lvl>
    <w:lvl w:ilvl="5">
      <w:start w:val="1"/>
      <w:numFmt w:val="bullet"/>
      <w:lvlText w:val=""/>
      <w:lvlJc w:val="left"/>
      <w:pPr>
        <w:tabs>
          <w:tab w:val="num" w:pos="1800"/>
        </w:tabs>
        <w:ind w:left="1800" w:hanging="360"/>
      </w:pPr>
      <w:rPr>
        <w:rFonts w:ascii="Symbol" w:hAnsi="Symbol"/>
      </w:rPr>
    </w:lvl>
    <w:lvl w:ilvl="6">
      <w:start w:val="1"/>
      <w:numFmt w:val="bullet"/>
      <w:lvlText w:val=""/>
      <w:lvlJc w:val="left"/>
      <w:pPr>
        <w:tabs>
          <w:tab w:val="num" w:pos="2160"/>
        </w:tabs>
        <w:ind w:left="2160" w:hanging="360"/>
      </w:pPr>
      <w:rPr>
        <w:rFonts w:ascii="Symbol" w:hAnsi="Symbol"/>
      </w:rPr>
    </w:lvl>
    <w:lvl w:ilvl="7">
      <w:start w:val="1"/>
      <w:numFmt w:val="bullet"/>
      <w:lvlText w:val=""/>
      <w:lvlJc w:val="left"/>
      <w:pPr>
        <w:tabs>
          <w:tab w:val="num" w:pos="2520"/>
        </w:tabs>
        <w:ind w:left="2520" w:hanging="360"/>
      </w:pPr>
      <w:rPr>
        <w:rFonts w:ascii="Symbol" w:hAnsi="Symbol"/>
      </w:rPr>
    </w:lvl>
    <w:lvl w:ilvl="8">
      <w:start w:val="1"/>
      <w:numFmt w:val="bullet"/>
      <w:lvlText w:val=""/>
      <w:lvlJc w:val="left"/>
      <w:pPr>
        <w:tabs>
          <w:tab w:val="num" w:pos="2880"/>
        </w:tabs>
        <w:ind w:left="2880" w:hanging="360"/>
      </w:pPr>
      <w:rPr>
        <w:rFonts w:ascii="Symbol" w:hAnsi="Symbol"/>
      </w:rPr>
    </w:lvl>
  </w:abstractNum>
  <w:abstractNum w:abstractNumId="5" w15:restartNumberingAfterBreak="0">
    <w:nsid w:val="060D4A64"/>
    <w:multiLevelType w:val="hybridMultilevel"/>
    <w:tmpl w:val="712C0DB0"/>
    <w:lvl w:ilvl="0" w:tplc="25E0736C">
      <w:start w:val="1"/>
      <w:numFmt w:val="bullet"/>
      <w:lvlText w:val=""/>
      <w:lvlJc w:val="left"/>
      <w:pPr>
        <w:ind w:left="2137"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29466CD"/>
    <w:multiLevelType w:val="multilevel"/>
    <w:tmpl w:val="3942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135C3"/>
    <w:multiLevelType w:val="hybridMultilevel"/>
    <w:tmpl w:val="D1FEA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7450F6"/>
    <w:multiLevelType w:val="hybridMultilevel"/>
    <w:tmpl w:val="E264BE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E50AC0"/>
    <w:multiLevelType w:val="hybridMultilevel"/>
    <w:tmpl w:val="75245F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4D7D72"/>
    <w:multiLevelType w:val="hybridMultilevel"/>
    <w:tmpl w:val="DC844AE8"/>
    <w:lvl w:ilvl="0" w:tplc="DE529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0892534"/>
    <w:multiLevelType w:val="multilevel"/>
    <w:tmpl w:val="E230C6C0"/>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B3405C3"/>
    <w:multiLevelType w:val="hybridMultilevel"/>
    <w:tmpl w:val="7674E4D4"/>
    <w:lvl w:ilvl="0" w:tplc="75FE154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9311A52"/>
    <w:multiLevelType w:val="hybridMultilevel"/>
    <w:tmpl w:val="E3D2A776"/>
    <w:lvl w:ilvl="0" w:tplc="8AD0F97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90C7492"/>
    <w:multiLevelType w:val="hybridMultilevel"/>
    <w:tmpl w:val="B8E84FFE"/>
    <w:lvl w:ilvl="0" w:tplc="75FE154C">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B021A3C"/>
    <w:multiLevelType w:val="hybridMultilevel"/>
    <w:tmpl w:val="39FC001E"/>
    <w:lvl w:ilvl="0" w:tplc="FBBAD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190A6A"/>
    <w:multiLevelType w:val="hybridMultilevel"/>
    <w:tmpl w:val="77321C6E"/>
    <w:lvl w:ilvl="0" w:tplc="25E0736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7C040711"/>
    <w:multiLevelType w:val="hybridMultilevel"/>
    <w:tmpl w:val="8096684C"/>
    <w:lvl w:ilvl="0" w:tplc="04190001">
      <w:start w:val="1"/>
      <w:numFmt w:val="bullet"/>
      <w:lvlText w:val=""/>
      <w:lvlJc w:val="left"/>
      <w:pPr>
        <w:ind w:left="1481" w:hanging="360"/>
      </w:pPr>
      <w:rPr>
        <w:rFonts w:ascii="Symbol" w:hAnsi="Symbol" w:hint="default"/>
      </w:rPr>
    </w:lvl>
    <w:lvl w:ilvl="1" w:tplc="04190003" w:tentative="1">
      <w:start w:val="1"/>
      <w:numFmt w:val="bullet"/>
      <w:lvlText w:val="o"/>
      <w:lvlJc w:val="left"/>
      <w:pPr>
        <w:ind w:left="2201" w:hanging="360"/>
      </w:pPr>
      <w:rPr>
        <w:rFonts w:ascii="Courier New" w:hAnsi="Courier New" w:cs="Courier New" w:hint="default"/>
      </w:rPr>
    </w:lvl>
    <w:lvl w:ilvl="2" w:tplc="04190005" w:tentative="1">
      <w:start w:val="1"/>
      <w:numFmt w:val="bullet"/>
      <w:lvlText w:val=""/>
      <w:lvlJc w:val="left"/>
      <w:pPr>
        <w:ind w:left="2921" w:hanging="360"/>
      </w:pPr>
      <w:rPr>
        <w:rFonts w:ascii="Wingdings" w:hAnsi="Wingdings" w:hint="default"/>
      </w:rPr>
    </w:lvl>
    <w:lvl w:ilvl="3" w:tplc="04190001" w:tentative="1">
      <w:start w:val="1"/>
      <w:numFmt w:val="bullet"/>
      <w:lvlText w:val=""/>
      <w:lvlJc w:val="left"/>
      <w:pPr>
        <w:ind w:left="3641" w:hanging="360"/>
      </w:pPr>
      <w:rPr>
        <w:rFonts w:ascii="Symbol" w:hAnsi="Symbol" w:hint="default"/>
      </w:rPr>
    </w:lvl>
    <w:lvl w:ilvl="4" w:tplc="04190003" w:tentative="1">
      <w:start w:val="1"/>
      <w:numFmt w:val="bullet"/>
      <w:lvlText w:val="o"/>
      <w:lvlJc w:val="left"/>
      <w:pPr>
        <w:ind w:left="4361" w:hanging="360"/>
      </w:pPr>
      <w:rPr>
        <w:rFonts w:ascii="Courier New" w:hAnsi="Courier New" w:cs="Courier New" w:hint="default"/>
      </w:rPr>
    </w:lvl>
    <w:lvl w:ilvl="5" w:tplc="04190005" w:tentative="1">
      <w:start w:val="1"/>
      <w:numFmt w:val="bullet"/>
      <w:lvlText w:val=""/>
      <w:lvlJc w:val="left"/>
      <w:pPr>
        <w:ind w:left="5081" w:hanging="360"/>
      </w:pPr>
      <w:rPr>
        <w:rFonts w:ascii="Wingdings" w:hAnsi="Wingdings" w:hint="default"/>
      </w:rPr>
    </w:lvl>
    <w:lvl w:ilvl="6" w:tplc="04190001" w:tentative="1">
      <w:start w:val="1"/>
      <w:numFmt w:val="bullet"/>
      <w:lvlText w:val=""/>
      <w:lvlJc w:val="left"/>
      <w:pPr>
        <w:ind w:left="5801" w:hanging="360"/>
      </w:pPr>
      <w:rPr>
        <w:rFonts w:ascii="Symbol" w:hAnsi="Symbol" w:hint="default"/>
      </w:rPr>
    </w:lvl>
    <w:lvl w:ilvl="7" w:tplc="04190003" w:tentative="1">
      <w:start w:val="1"/>
      <w:numFmt w:val="bullet"/>
      <w:lvlText w:val="o"/>
      <w:lvlJc w:val="left"/>
      <w:pPr>
        <w:ind w:left="6521" w:hanging="360"/>
      </w:pPr>
      <w:rPr>
        <w:rFonts w:ascii="Courier New" w:hAnsi="Courier New" w:cs="Courier New" w:hint="default"/>
      </w:rPr>
    </w:lvl>
    <w:lvl w:ilvl="8" w:tplc="04190005" w:tentative="1">
      <w:start w:val="1"/>
      <w:numFmt w:val="bullet"/>
      <w:lvlText w:val=""/>
      <w:lvlJc w:val="left"/>
      <w:pPr>
        <w:ind w:left="7241" w:hanging="360"/>
      </w:pPr>
      <w:rPr>
        <w:rFonts w:ascii="Wingdings" w:hAnsi="Wingdings" w:hint="default"/>
      </w:rPr>
    </w:lvl>
  </w:abstractNum>
  <w:abstractNum w:abstractNumId="18" w15:restartNumberingAfterBreak="0">
    <w:nsid w:val="7C7F78EB"/>
    <w:multiLevelType w:val="hybridMultilevel"/>
    <w:tmpl w:val="344E08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1"/>
  </w:num>
  <w:num w:numId="6">
    <w:abstractNumId w:val="6"/>
  </w:num>
  <w:num w:numId="7">
    <w:abstractNumId w:val="15"/>
  </w:num>
  <w:num w:numId="8">
    <w:abstractNumId w:val="16"/>
  </w:num>
  <w:num w:numId="9">
    <w:abstractNumId w:val="5"/>
  </w:num>
  <w:num w:numId="10">
    <w:abstractNumId w:val="9"/>
  </w:num>
  <w:num w:numId="11">
    <w:abstractNumId w:val="7"/>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8"/>
  </w:num>
  <w:num w:numId="16">
    <w:abstractNumId w:val="10"/>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CCC"/>
    <w:rsid w:val="00000706"/>
    <w:rsid w:val="00000731"/>
    <w:rsid w:val="00000D0A"/>
    <w:rsid w:val="000011B3"/>
    <w:rsid w:val="00010311"/>
    <w:rsid w:val="00010C3F"/>
    <w:rsid w:val="0001321B"/>
    <w:rsid w:val="0001396C"/>
    <w:rsid w:val="00014071"/>
    <w:rsid w:val="0001441B"/>
    <w:rsid w:val="00014A04"/>
    <w:rsid w:val="00014B94"/>
    <w:rsid w:val="00014F6F"/>
    <w:rsid w:val="000152AF"/>
    <w:rsid w:val="0001569D"/>
    <w:rsid w:val="0001618C"/>
    <w:rsid w:val="000167FA"/>
    <w:rsid w:val="00016C04"/>
    <w:rsid w:val="00020589"/>
    <w:rsid w:val="00021927"/>
    <w:rsid w:val="00022B64"/>
    <w:rsid w:val="00023055"/>
    <w:rsid w:val="00030141"/>
    <w:rsid w:val="00032E66"/>
    <w:rsid w:val="00033143"/>
    <w:rsid w:val="000333BE"/>
    <w:rsid w:val="00033497"/>
    <w:rsid w:val="00034F15"/>
    <w:rsid w:val="00035369"/>
    <w:rsid w:val="00035910"/>
    <w:rsid w:val="0003614B"/>
    <w:rsid w:val="000362FD"/>
    <w:rsid w:val="00036693"/>
    <w:rsid w:val="00036FE9"/>
    <w:rsid w:val="00040D71"/>
    <w:rsid w:val="000410A0"/>
    <w:rsid w:val="000419B3"/>
    <w:rsid w:val="00044618"/>
    <w:rsid w:val="00045B43"/>
    <w:rsid w:val="00050F25"/>
    <w:rsid w:val="00054BAC"/>
    <w:rsid w:val="00055327"/>
    <w:rsid w:val="000554F6"/>
    <w:rsid w:val="00056511"/>
    <w:rsid w:val="00056809"/>
    <w:rsid w:val="000578A8"/>
    <w:rsid w:val="00057D39"/>
    <w:rsid w:val="000600C4"/>
    <w:rsid w:val="00065A6A"/>
    <w:rsid w:val="000660E7"/>
    <w:rsid w:val="0006782A"/>
    <w:rsid w:val="00070B7B"/>
    <w:rsid w:val="00074382"/>
    <w:rsid w:val="00074C58"/>
    <w:rsid w:val="00076B52"/>
    <w:rsid w:val="00080481"/>
    <w:rsid w:val="00080B75"/>
    <w:rsid w:val="000812D2"/>
    <w:rsid w:val="000816D2"/>
    <w:rsid w:val="00081727"/>
    <w:rsid w:val="00083DA7"/>
    <w:rsid w:val="00084365"/>
    <w:rsid w:val="0008482D"/>
    <w:rsid w:val="000859C5"/>
    <w:rsid w:val="00087919"/>
    <w:rsid w:val="00087CED"/>
    <w:rsid w:val="0009076C"/>
    <w:rsid w:val="00090D4B"/>
    <w:rsid w:val="000947CA"/>
    <w:rsid w:val="00094FEB"/>
    <w:rsid w:val="000958AF"/>
    <w:rsid w:val="000A0CD3"/>
    <w:rsid w:val="000A1CA1"/>
    <w:rsid w:val="000A1F9F"/>
    <w:rsid w:val="000A2D0C"/>
    <w:rsid w:val="000A345D"/>
    <w:rsid w:val="000A40EA"/>
    <w:rsid w:val="000A4AC7"/>
    <w:rsid w:val="000A58F0"/>
    <w:rsid w:val="000A61B4"/>
    <w:rsid w:val="000A77DF"/>
    <w:rsid w:val="000B112E"/>
    <w:rsid w:val="000B2870"/>
    <w:rsid w:val="000B2A5E"/>
    <w:rsid w:val="000B30A0"/>
    <w:rsid w:val="000B6A0B"/>
    <w:rsid w:val="000B7455"/>
    <w:rsid w:val="000B76AA"/>
    <w:rsid w:val="000C3F13"/>
    <w:rsid w:val="000C4212"/>
    <w:rsid w:val="000C4A6D"/>
    <w:rsid w:val="000C5A22"/>
    <w:rsid w:val="000C6BBA"/>
    <w:rsid w:val="000C71B4"/>
    <w:rsid w:val="000D3F3D"/>
    <w:rsid w:val="000D42FC"/>
    <w:rsid w:val="000D464B"/>
    <w:rsid w:val="000D4D5C"/>
    <w:rsid w:val="000D695D"/>
    <w:rsid w:val="000D7C91"/>
    <w:rsid w:val="000E1B4B"/>
    <w:rsid w:val="000E2E83"/>
    <w:rsid w:val="000E32EA"/>
    <w:rsid w:val="000E4D2C"/>
    <w:rsid w:val="000E5B3C"/>
    <w:rsid w:val="000E7440"/>
    <w:rsid w:val="000F0EDF"/>
    <w:rsid w:val="000F1F19"/>
    <w:rsid w:val="000F2637"/>
    <w:rsid w:val="000F4009"/>
    <w:rsid w:val="000F47CB"/>
    <w:rsid w:val="000F536F"/>
    <w:rsid w:val="000F5EC3"/>
    <w:rsid w:val="000F6D2C"/>
    <w:rsid w:val="000F750F"/>
    <w:rsid w:val="000F7FD4"/>
    <w:rsid w:val="001004AF"/>
    <w:rsid w:val="00101DD9"/>
    <w:rsid w:val="0010239C"/>
    <w:rsid w:val="00103EBB"/>
    <w:rsid w:val="0010607D"/>
    <w:rsid w:val="00106C1E"/>
    <w:rsid w:val="00107CBF"/>
    <w:rsid w:val="00111B9D"/>
    <w:rsid w:val="00112B68"/>
    <w:rsid w:val="00112CAB"/>
    <w:rsid w:val="00115B9C"/>
    <w:rsid w:val="0011685E"/>
    <w:rsid w:val="00116CA1"/>
    <w:rsid w:val="00116FB6"/>
    <w:rsid w:val="00120861"/>
    <w:rsid w:val="001223D0"/>
    <w:rsid w:val="001236DA"/>
    <w:rsid w:val="00123D5E"/>
    <w:rsid w:val="0012611C"/>
    <w:rsid w:val="00132ACF"/>
    <w:rsid w:val="001353DB"/>
    <w:rsid w:val="001372ED"/>
    <w:rsid w:val="001373A2"/>
    <w:rsid w:val="00140148"/>
    <w:rsid w:val="0014020B"/>
    <w:rsid w:val="0014149C"/>
    <w:rsid w:val="00141853"/>
    <w:rsid w:val="00142D00"/>
    <w:rsid w:val="00144879"/>
    <w:rsid w:val="00145CB2"/>
    <w:rsid w:val="00145E0F"/>
    <w:rsid w:val="00147EE7"/>
    <w:rsid w:val="00151BA1"/>
    <w:rsid w:val="00154522"/>
    <w:rsid w:val="001560F0"/>
    <w:rsid w:val="00156A29"/>
    <w:rsid w:val="00157FC7"/>
    <w:rsid w:val="00160B3D"/>
    <w:rsid w:val="001615AB"/>
    <w:rsid w:val="001634A9"/>
    <w:rsid w:val="001634C4"/>
    <w:rsid w:val="001640F5"/>
    <w:rsid w:val="00164A8A"/>
    <w:rsid w:val="00165567"/>
    <w:rsid w:val="001657ED"/>
    <w:rsid w:val="00166F3E"/>
    <w:rsid w:val="00171062"/>
    <w:rsid w:val="00172C5A"/>
    <w:rsid w:val="00174330"/>
    <w:rsid w:val="00177568"/>
    <w:rsid w:val="00180BC4"/>
    <w:rsid w:val="00180FCD"/>
    <w:rsid w:val="00181D4B"/>
    <w:rsid w:val="0018367D"/>
    <w:rsid w:val="001854E1"/>
    <w:rsid w:val="00186B75"/>
    <w:rsid w:val="00190DE2"/>
    <w:rsid w:val="00190FF7"/>
    <w:rsid w:val="00191521"/>
    <w:rsid w:val="00196C14"/>
    <w:rsid w:val="001970B8"/>
    <w:rsid w:val="001A0FC9"/>
    <w:rsid w:val="001A22AE"/>
    <w:rsid w:val="001A52B7"/>
    <w:rsid w:val="001A5F14"/>
    <w:rsid w:val="001A6A5D"/>
    <w:rsid w:val="001A71CC"/>
    <w:rsid w:val="001B59A3"/>
    <w:rsid w:val="001B6E44"/>
    <w:rsid w:val="001B7108"/>
    <w:rsid w:val="001B723B"/>
    <w:rsid w:val="001C4E9F"/>
    <w:rsid w:val="001C6ACE"/>
    <w:rsid w:val="001D20CD"/>
    <w:rsid w:val="001D4299"/>
    <w:rsid w:val="001D46E2"/>
    <w:rsid w:val="001D7EEB"/>
    <w:rsid w:val="001E0E07"/>
    <w:rsid w:val="001E11C3"/>
    <w:rsid w:val="001E221C"/>
    <w:rsid w:val="001E40D0"/>
    <w:rsid w:val="001F07A4"/>
    <w:rsid w:val="001F0DED"/>
    <w:rsid w:val="001F30E2"/>
    <w:rsid w:val="001F6782"/>
    <w:rsid w:val="00200A87"/>
    <w:rsid w:val="00201BD3"/>
    <w:rsid w:val="0021011E"/>
    <w:rsid w:val="0021112C"/>
    <w:rsid w:val="00212024"/>
    <w:rsid w:val="0021447B"/>
    <w:rsid w:val="0021512E"/>
    <w:rsid w:val="00216383"/>
    <w:rsid w:val="002163EF"/>
    <w:rsid w:val="00217814"/>
    <w:rsid w:val="00221389"/>
    <w:rsid w:val="00222B01"/>
    <w:rsid w:val="00223087"/>
    <w:rsid w:val="0022478E"/>
    <w:rsid w:val="00225096"/>
    <w:rsid w:val="002251FC"/>
    <w:rsid w:val="00226CBF"/>
    <w:rsid w:val="00227B8E"/>
    <w:rsid w:val="00231E44"/>
    <w:rsid w:val="00232012"/>
    <w:rsid w:val="00233216"/>
    <w:rsid w:val="00234A20"/>
    <w:rsid w:val="00235C8D"/>
    <w:rsid w:val="0023661F"/>
    <w:rsid w:val="0023672B"/>
    <w:rsid w:val="002376F6"/>
    <w:rsid w:val="00237810"/>
    <w:rsid w:val="00240A72"/>
    <w:rsid w:val="0024199E"/>
    <w:rsid w:val="00241D05"/>
    <w:rsid w:val="00242835"/>
    <w:rsid w:val="002444A7"/>
    <w:rsid w:val="0024525F"/>
    <w:rsid w:val="00245C62"/>
    <w:rsid w:val="00246187"/>
    <w:rsid w:val="0024728E"/>
    <w:rsid w:val="002503DF"/>
    <w:rsid w:val="00251837"/>
    <w:rsid w:val="002520A8"/>
    <w:rsid w:val="00252845"/>
    <w:rsid w:val="00252EA7"/>
    <w:rsid w:val="00253A3F"/>
    <w:rsid w:val="00254406"/>
    <w:rsid w:val="00256164"/>
    <w:rsid w:val="002568C9"/>
    <w:rsid w:val="0025726A"/>
    <w:rsid w:val="00257CB7"/>
    <w:rsid w:val="00261348"/>
    <w:rsid w:val="00261B7F"/>
    <w:rsid w:val="0026348F"/>
    <w:rsid w:val="002636A8"/>
    <w:rsid w:val="00271C9B"/>
    <w:rsid w:val="00273F98"/>
    <w:rsid w:val="00276E9D"/>
    <w:rsid w:val="00280E9F"/>
    <w:rsid w:val="00281C35"/>
    <w:rsid w:val="00283D22"/>
    <w:rsid w:val="00285A48"/>
    <w:rsid w:val="00285FE4"/>
    <w:rsid w:val="00286325"/>
    <w:rsid w:val="002868BA"/>
    <w:rsid w:val="00287325"/>
    <w:rsid w:val="00290483"/>
    <w:rsid w:val="00291038"/>
    <w:rsid w:val="0029415A"/>
    <w:rsid w:val="00294B83"/>
    <w:rsid w:val="00295A22"/>
    <w:rsid w:val="002969CA"/>
    <w:rsid w:val="002A1449"/>
    <w:rsid w:val="002A2818"/>
    <w:rsid w:val="002A28F7"/>
    <w:rsid w:val="002A41DA"/>
    <w:rsid w:val="002A51C9"/>
    <w:rsid w:val="002A76FB"/>
    <w:rsid w:val="002B07F2"/>
    <w:rsid w:val="002B0F1F"/>
    <w:rsid w:val="002B4DA0"/>
    <w:rsid w:val="002B71DF"/>
    <w:rsid w:val="002B7CB9"/>
    <w:rsid w:val="002C1C8C"/>
    <w:rsid w:val="002C1F51"/>
    <w:rsid w:val="002C4510"/>
    <w:rsid w:val="002C4851"/>
    <w:rsid w:val="002C52D6"/>
    <w:rsid w:val="002C5D86"/>
    <w:rsid w:val="002C6321"/>
    <w:rsid w:val="002C69C4"/>
    <w:rsid w:val="002C6EFA"/>
    <w:rsid w:val="002C6F0A"/>
    <w:rsid w:val="002C7852"/>
    <w:rsid w:val="002C7FD3"/>
    <w:rsid w:val="002D4AD6"/>
    <w:rsid w:val="002D4C8D"/>
    <w:rsid w:val="002D5044"/>
    <w:rsid w:val="002D5FE4"/>
    <w:rsid w:val="002D723E"/>
    <w:rsid w:val="002D75DE"/>
    <w:rsid w:val="002D7E7E"/>
    <w:rsid w:val="002E4D89"/>
    <w:rsid w:val="002E7C86"/>
    <w:rsid w:val="002F1921"/>
    <w:rsid w:val="002F32E1"/>
    <w:rsid w:val="002F44E3"/>
    <w:rsid w:val="002F4C09"/>
    <w:rsid w:val="002F622E"/>
    <w:rsid w:val="003016D7"/>
    <w:rsid w:val="0030548E"/>
    <w:rsid w:val="00305CBB"/>
    <w:rsid w:val="00306CE0"/>
    <w:rsid w:val="0030726C"/>
    <w:rsid w:val="00307735"/>
    <w:rsid w:val="00307C91"/>
    <w:rsid w:val="00311DDD"/>
    <w:rsid w:val="0031233D"/>
    <w:rsid w:val="0031243F"/>
    <w:rsid w:val="003129EE"/>
    <w:rsid w:val="00313021"/>
    <w:rsid w:val="00313A2A"/>
    <w:rsid w:val="00314148"/>
    <w:rsid w:val="00315A34"/>
    <w:rsid w:val="00315B0C"/>
    <w:rsid w:val="00315DFD"/>
    <w:rsid w:val="00320D4C"/>
    <w:rsid w:val="00320DD7"/>
    <w:rsid w:val="00320DEA"/>
    <w:rsid w:val="00321233"/>
    <w:rsid w:val="00321E65"/>
    <w:rsid w:val="003245E7"/>
    <w:rsid w:val="003269B2"/>
    <w:rsid w:val="00333C33"/>
    <w:rsid w:val="00336EFC"/>
    <w:rsid w:val="00336F0B"/>
    <w:rsid w:val="003375AD"/>
    <w:rsid w:val="00337B99"/>
    <w:rsid w:val="00337EFA"/>
    <w:rsid w:val="00340CC6"/>
    <w:rsid w:val="00343217"/>
    <w:rsid w:val="00346BA4"/>
    <w:rsid w:val="00347B6E"/>
    <w:rsid w:val="003510D5"/>
    <w:rsid w:val="00351831"/>
    <w:rsid w:val="00351F7D"/>
    <w:rsid w:val="00354DCD"/>
    <w:rsid w:val="00360741"/>
    <w:rsid w:val="003635A4"/>
    <w:rsid w:val="003657A2"/>
    <w:rsid w:val="003657E0"/>
    <w:rsid w:val="00370923"/>
    <w:rsid w:val="00374D73"/>
    <w:rsid w:val="0037720F"/>
    <w:rsid w:val="003778A5"/>
    <w:rsid w:val="00377BFC"/>
    <w:rsid w:val="00381D2B"/>
    <w:rsid w:val="00383022"/>
    <w:rsid w:val="0038323A"/>
    <w:rsid w:val="00383C2D"/>
    <w:rsid w:val="00385C0B"/>
    <w:rsid w:val="00386117"/>
    <w:rsid w:val="00387FA5"/>
    <w:rsid w:val="003923BE"/>
    <w:rsid w:val="003928DA"/>
    <w:rsid w:val="00392FC5"/>
    <w:rsid w:val="003935A6"/>
    <w:rsid w:val="003A07EE"/>
    <w:rsid w:val="003A0DA7"/>
    <w:rsid w:val="003A0F93"/>
    <w:rsid w:val="003A1850"/>
    <w:rsid w:val="003A1E26"/>
    <w:rsid w:val="003A1F9F"/>
    <w:rsid w:val="003A3C59"/>
    <w:rsid w:val="003A64EF"/>
    <w:rsid w:val="003A6894"/>
    <w:rsid w:val="003A6978"/>
    <w:rsid w:val="003A725F"/>
    <w:rsid w:val="003B0655"/>
    <w:rsid w:val="003B26A8"/>
    <w:rsid w:val="003B2D82"/>
    <w:rsid w:val="003B43D3"/>
    <w:rsid w:val="003B5792"/>
    <w:rsid w:val="003B678F"/>
    <w:rsid w:val="003B6B61"/>
    <w:rsid w:val="003B73CA"/>
    <w:rsid w:val="003C088D"/>
    <w:rsid w:val="003C0BBE"/>
    <w:rsid w:val="003C0F13"/>
    <w:rsid w:val="003C2D1F"/>
    <w:rsid w:val="003C4E94"/>
    <w:rsid w:val="003C4FB1"/>
    <w:rsid w:val="003C6607"/>
    <w:rsid w:val="003C79A4"/>
    <w:rsid w:val="003C7CBE"/>
    <w:rsid w:val="003D0E44"/>
    <w:rsid w:val="003D3198"/>
    <w:rsid w:val="003D516D"/>
    <w:rsid w:val="003D7120"/>
    <w:rsid w:val="003D7603"/>
    <w:rsid w:val="003E0380"/>
    <w:rsid w:val="003E0469"/>
    <w:rsid w:val="003E086B"/>
    <w:rsid w:val="003E1BBB"/>
    <w:rsid w:val="003E1E4B"/>
    <w:rsid w:val="003E42B4"/>
    <w:rsid w:val="003E507E"/>
    <w:rsid w:val="003E6C87"/>
    <w:rsid w:val="003E6FF9"/>
    <w:rsid w:val="003E72E8"/>
    <w:rsid w:val="003F168E"/>
    <w:rsid w:val="003F17E7"/>
    <w:rsid w:val="003F2086"/>
    <w:rsid w:val="003F316C"/>
    <w:rsid w:val="003F3209"/>
    <w:rsid w:val="003F466F"/>
    <w:rsid w:val="003F5855"/>
    <w:rsid w:val="003F5875"/>
    <w:rsid w:val="003F5A61"/>
    <w:rsid w:val="004004C7"/>
    <w:rsid w:val="00400763"/>
    <w:rsid w:val="004007CE"/>
    <w:rsid w:val="0040228B"/>
    <w:rsid w:val="00404FEB"/>
    <w:rsid w:val="004069B4"/>
    <w:rsid w:val="004137F0"/>
    <w:rsid w:val="00415835"/>
    <w:rsid w:val="004158F0"/>
    <w:rsid w:val="00415947"/>
    <w:rsid w:val="00421297"/>
    <w:rsid w:val="00422CD9"/>
    <w:rsid w:val="00423013"/>
    <w:rsid w:val="0042594B"/>
    <w:rsid w:val="004272BD"/>
    <w:rsid w:val="00431B94"/>
    <w:rsid w:val="00432209"/>
    <w:rsid w:val="00432232"/>
    <w:rsid w:val="0043454E"/>
    <w:rsid w:val="00436911"/>
    <w:rsid w:val="004418F8"/>
    <w:rsid w:val="00442DC6"/>
    <w:rsid w:val="004434AA"/>
    <w:rsid w:val="00443C84"/>
    <w:rsid w:val="00444943"/>
    <w:rsid w:val="00444E3C"/>
    <w:rsid w:val="00446E24"/>
    <w:rsid w:val="00451A21"/>
    <w:rsid w:val="00454053"/>
    <w:rsid w:val="00455B73"/>
    <w:rsid w:val="00461972"/>
    <w:rsid w:val="00461D48"/>
    <w:rsid w:val="00470F7E"/>
    <w:rsid w:val="004723D5"/>
    <w:rsid w:val="00473F0A"/>
    <w:rsid w:val="00475D1C"/>
    <w:rsid w:val="004802DC"/>
    <w:rsid w:val="00480608"/>
    <w:rsid w:val="00480886"/>
    <w:rsid w:val="00483396"/>
    <w:rsid w:val="004837CC"/>
    <w:rsid w:val="00483AFA"/>
    <w:rsid w:val="0048516B"/>
    <w:rsid w:val="004863CB"/>
    <w:rsid w:val="00486E2E"/>
    <w:rsid w:val="0048791D"/>
    <w:rsid w:val="00490198"/>
    <w:rsid w:val="004934A5"/>
    <w:rsid w:val="00493BF2"/>
    <w:rsid w:val="00495B23"/>
    <w:rsid w:val="004A0CFF"/>
    <w:rsid w:val="004A1E95"/>
    <w:rsid w:val="004A351E"/>
    <w:rsid w:val="004A3EE1"/>
    <w:rsid w:val="004A42DA"/>
    <w:rsid w:val="004A44CC"/>
    <w:rsid w:val="004A7097"/>
    <w:rsid w:val="004A71C5"/>
    <w:rsid w:val="004B0DFC"/>
    <w:rsid w:val="004B2407"/>
    <w:rsid w:val="004B3000"/>
    <w:rsid w:val="004B3B9D"/>
    <w:rsid w:val="004B4442"/>
    <w:rsid w:val="004B46A4"/>
    <w:rsid w:val="004B4F9A"/>
    <w:rsid w:val="004B5BCA"/>
    <w:rsid w:val="004B6A4F"/>
    <w:rsid w:val="004B6AFE"/>
    <w:rsid w:val="004B779B"/>
    <w:rsid w:val="004C053F"/>
    <w:rsid w:val="004C4873"/>
    <w:rsid w:val="004C4A22"/>
    <w:rsid w:val="004C74AE"/>
    <w:rsid w:val="004D0678"/>
    <w:rsid w:val="004D1A99"/>
    <w:rsid w:val="004D267B"/>
    <w:rsid w:val="004D2D61"/>
    <w:rsid w:val="004D2DA2"/>
    <w:rsid w:val="004D2E3C"/>
    <w:rsid w:val="004D3B1B"/>
    <w:rsid w:val="004D4728"/>
    <w:rsid w:val="004D6020"/>
    <w:rsid w:val="004D6FFB"/>
    <w:rsid w:val="004E0DB3"/>
    <w:rsid w:val="004E2233"/>
    <w:rsid w:val="004E2983"/>
    <w:rsid w:val="004E50F3"/>
    <w:rsid w:val="004E6999"/>
    <w:rsid w:val="004E7891"/>
    <w:rsid w:val="004F0A8C"/>
    <w:rsid w:val="004F1CB2"/>
    <w:rsid w:val="004F6493"/>
    <w:rsid w:val="00500DA5"/>
    <w:rsid w:val="00501038"/>
    <w:rsid w:val="00501B63"/>
    <w:rsid w:val="0050363D"/>
    <w:rsid w:val="00503932"/>
    <w:rsid w:val="005049C5"/>
    <w:rsid w:val="00505219"/>
    <w:rsid w:val="00506A8D"/>
    <w:rsid w:val="00506CD3"/>
    <w:rsid w:val="005103C5"/>
    <w:rsid w:val="0051162C"/>
    <w:rsid w:val="00512769"/>
    <w:rsid w:val="0051294B"/>
    <w:rsid w:val="00513F65"/>
    <w:rsid w:val="005149C9"/>
    <w:rsid w:val="00514F79"/>
    <w:rsid w:val="00515EED"/>
    <w:rsid w:val="00516669"/>
    <w:rsid w:val="0051667B"/>
    <w:rsid w:val="00520251"/>
    <w:rsid w:val="005207FE"/>
    <w:rsid w:val="005246A5"/>
    <w:rsid w:val="005272FF"/>
    <w:rsid w:val="0053388C"/>
    <w:rsid w:val="00533A5C"/>
    <w:rsid w:val="00533AA4"/>
    <w:rsid w:val="00533B55"/>
    <w:rsid w:val="00535C97"/>
    <w:rsid w:val="0053652E"/>
    <w:rsid w:val="005365B8"/>
    <w:rsid w:val="0053678F"/>
    <w:rsid w:val="00536DB9"/>
    <w:rsid w:val="005401B9"/>
    <w:rsid w:val="005407A5"/>
    <w:rsid w:val="00540F2D"/>
    <w:rsid w:val="005411E7"/>
    <w:rsid w:val="005442CE"/>
    <w:rsid w:val="005443F7"/>
    <w:rsid w:val="0054497E"/>
    <w:rsid w:val="00544D4F"/>
    <w:rsid w:val="00546B46"/>
    <w:rsid w:val="00546D5E"/>
    <w:rsid w:val="00546ED4"/>
    <w:rsid w:val="00551475"/>
    <w:rsid w:val="005534EA"/>
    <w:rsid w:val="0055699E"/>
    <w:rsid w:val="005569BE"/>
    <w:rsid w:val="0055705E"/>
    <w:rsid w:val="00560422"/>
    <w:rsid w:val="005628B5"/>
    <w:rsid w:val="00562AE7"/>
    <w:rsid w:val="005654CE"/>
    <w:rsid w:val="00567884"/>
    <w:rsid w:val="00567ABE"/>
    <w:rsid w:val="00567D8A"/>
    <w:rsid w:val="005701C6"/>
    <w:rsid w:val="005705FF"/>
    <w:rsid w:val="00572370"/>
    <w:rsid w:val="005730D3"/>
    <w:rsid w:val="005732A6"/>
    <w:rsid w:val="005761D1"/>
    <w:rsid w:val="00577CE3"/>
    <w:rsid w:val="00581F53"/>
    <w:rsid w:val="00582BBA"/>
    <w:rsid w:val="00583058"/>
    <w:rsid w:val="005840B6"/>
    <w:rsid w:val="005848E6"/>
    <w:rsid w:val="00585212"/>
    <w:rsid w:val="00590A12"/>
    <w:rsid w:val="00593040"/>
    <w:rsid w:val="0059357B"/>
    <w:rsid w:val="00593886"/>
    <w:rsid w:val="0059413E"/>
    <w:rsid w:val="005965CD"/>
    <w:rsid w:val="005A052E"/>
    <w:rsid w:val="005A0F67"/>
    <w:rsid w:val="005A2C56"/>
    <w:rsid w:val="005A2F91"/>
    <w:rsid w:val="005A3158"/>
    <w:rsid w:val="005A3768"/>
    <w:rsid w:val="005A592C"/>
    <w:rsid w:val="005A6B4F"/>
    <w:rsid w:val="005A6EE9"/>
    <w:rsid w:val="005A76C9"/>
    <w:rsid w:val="005A7A69"/>
    <w:rsid w:val="005B04D5"/>
    <w:rsid w:val="005B0C8A"/>
    <w:rsid w:val="005B1807"/>
    <w:rsid w:val="005B2ACE"/>
    <w:rsid w:val="005B3E2C"/>
    <w:rsid w:val="005B48E5"/>
    <w:rsid w:val="005B5F3A"/>
    <w:rsid w:val="005C2AEF"/>
    <w:rsid w:val="005C3A5C"/>
    <w:rsid w:val="005C3DCC"/>
    <w:rsid w:val="005C4607"/>
    <w:rsid w:val="005C574C"/>
    <w:rsid w:val="005D0E8F"/>
    <w:rsid w:val="005D11AD"/>
    <w:rsid w:val="005D120E"/>
    <w:rsid w:val="005D12E1"/>
    <w:rsid w:val="005D1AC3"/>
    <w:rsid w:val="005D1F98"/>
    <w:rsid w:val="005D226F"/>
    <w:rsid w:val="005D4697"/>
    <w:rsid w:val="005D5503"/>
    <w:rsid w:val="005D6058"/>
    <w:rsid w:val="005D6DAA"/>
    <w:rsid w:val="005E12A9"/>
    <w:rsid w:val="005E29F9"/>
    <w:rsid w:val="005E34A0"/>
    <w:rsid w:val="005E379A"/>
    <w:rsid w:val="005E62A7"/>
    <w:rsid w:val="005E6B91"/>
    <w:rsid w:val="005E6F22"/>
    <w:rsid w:val="005E72A3"/>
    <w:rsid w:val="005E7B6B"/>
    <w:rsid w:val="005E7F5D"/>
    <w:rsid w:val="005F053C"/>
    <w:rsid w:val="005F158F"/>
    <w:rsid w:val="005F19ED"/>
    <w:rsid w:val="005F25EA"/>
    <w:rsid w:val="005F2FBC"/>
    <w:rsid w:val="005F2FCB"/>
    <w:rsid w:val="005F3346"/>
    <w:rsid w:val="005F4740"/>
    <w:rsid w:val="005F48B6"/>
    <w:rsid w:val="005F7A3F"/>
    <w:rsid w:val="005F7BC9"/>
    <w:rsid w:val="00601FD1"/>
    <w:rsid w:val="00603A53"/>
    <w:rsid w:val="00604385"/>
    <w:rsid w:val="00606B3B"/>
    <w:rsid w:val="00607417"/>
    <w:rsid w:val="00607621"/>
    <w:rsid w:val="0061039C"/>
    <w:rsid w:val="00614766"/>
    <w:rsid w:val="0061652B"/>
    <w:rsid w:val="0062084E"/>
    <w:rsid w:val="00623271"/>
    <w:rsid w:val="00624AF0"/>
    <w:rsid w:val="0062585C"/>
    <w:rsid w:val="006265E5"/>
    <w:rsid w:val="00626601"/>
    <w:rsid w:val="00626B20"/>
    <w:rsid w:val="00627E6E"/>
    <w:rsid w:val="00630BE5"/>
    <w:rsid w:val="00631054"/>
    <w:rsid w:val="00632B5F"/>
    <w:rsid w:val="006341DE"/>
    <w:rsid w:val="00634FC4"/>
    <w:rsid w:val="00635EA5"/>
    <w:rsid w:val="006366C5"/>
    <w:rsid w:val="006401F6"/>
    <w:rsid w:val="00640BB3"/>
    <w:rsid w:val="00641DCF"/>
    <w:rsid w:val="00642C11"/>
    <w:rsid w:val="00644600"/>
    <w:rsid w:val="006449DF"/>
    <w:rsid w:val="006509F3"/>
    <w:rsid w:val="00651FDF"/>
    <w:rsid w:val="006524E3"/>
    <w:rsid w:val="00654927"/>
    <w:rsid w:val="00660D37"/>
    <w:rsid w:val="00661209"/>
    <w:rsid w:val="0066186E"/>
    <w:rsid w:val="0066359D"/>
    <w:rsid w:val="00666E10"/>
    <w:rsid w:val="006676B7"/>
    <w:rsid w:val="0067031C"/>
    <w:rsid w:val="006711B5"/>
    <w:rsid w:val="006727CC"/>
    <w:rsid w:val="00672C13"/>
    <w:rsid w:val="00675A55"/>
    <w:rsid w:val="00675DBC"/>
    <w:rsid w:val="00676613"/>
    <w:rsid w:val="0068063A"/>
    <w:rsid w:val="006814B1"/>
    <w:rsid w:val="006829EB"/>
    <w:rsid w:val="006832CF"/>
    <w:rsid w:val="00690EAC"/>
    <w:rsid w:val="006924C5"/>
    <w:rsid w:val="00692975"/>
    <w:rsid w:val="006932CE"/>
    <w:rsid w:val="006936BD"/>
    <w:rsid w:val="006950A3"/>
    <w:rsid w:val="006968E9"/>
    <w:rsid w:val="00696F98"/>
    <w:rsid w:val="00697473"/>
    <w:rsid w:val="006974A3"/>
    <w:rsid w:val="006A09F2"/>
    <w:rsid w:val="006A1E2F"/>
    <w:rsid w:val="006A2568"/>
    <w:rsid w:val="006A2B6C"/>
    <w:rsid w:val="006A30C9"/>
    <w:rsid w:val="006A4659"/>
    <w:rsid w:val="006A4A7A"/>
    <w:rsid w:val="006A5DED"/>
    <w:rsid w:val="006A6CEB"/>
    <w:rsid w:val="006B116C"/>
    <w:rsid w:val="006B12A3"/>
    <w:rsid w:val="006B1949"/>
    <w:rsid w:val="006B1CB6"/>
    <w:rsid w:val="006C1DD9"/>
    <w:rsid w:val="006C2640"/>
    <w:rsid w:val="006C2C16"/>
    <w:rsid w:val="006C366C"/>
    <w:rsid w:val="006C417B"/>
    <w:rsid w:val="006C4920"/>
    <w:rsid w:val="006C5B03"/>
    <w:rsid w:val="006C61A9"/>
    <w:rsid w:val="006D03E3"/>
    <w:rsid w:val="006D134F"/>
    <w:rsid w:val="006D1C9D"/>
    <w:rsid w:val="006D3FDD"/>
    <w:rsid w:val="006D51AC"/>
    <w:rsid w:val="006D60DB"/>
    <w:rsid w:val="006E0092"/>
    <w:rsid w:val="006E0886"/>
    <w:rsid w:val="006E0BED"/>
    <w:rsid w:val="006E3D21"/>
    <w:rsid w:val="006F1450"/>
    <w:rsid w:val="006F35BD"/>
    <w:rsid w:val="006F4FBC"/>
    <w:rsid w:val="006F60B3"/>
    <w:rsid w:val="00702C31"/>
    <w:rsid w:val="00704FFF"/>
    <w:rsid w:val="00705CD7"/>
    <w:rsid w:val="00706DC6"/>
    <w:rsid w:val="007112B2"/>
    <w:rsid w:val="00711989"/>
    <w:rsid w:val="00712688"/>
    <w:rsid w:val="00712815"/>
    <w:rsid w:val="00714C17"/>
    <w:rsid w:val="00723E27"/>
    <w:rsid w:val="0072697B"/>
    <w:rsid w:val="0073046F"/>
    <w:rsid w:val="00730526"/>
    <w:rsid w:val="00731516"/>
    <w:rsid w:val="007337C5"/>
    <w:rsid w:val="00734AFC"/>
    <w:rsid w:val="007355A9"/>
    <w:rsid w:val="00735763"/>
    <w:rsid w:val="00736EAF"/>
    <w:rsid w:val="00736F04"/>
    <w:rsid w:val="00737025"/>
    <w:rsid w:val="00740BF6"/>
    <w:rsid w:val="0074125C"/>
    <w:rsid w:val="00741856"/>
    <w:rsid w:val="0074314B"/>
    <w:rsid w:val="00743556"/>
    <w:rsid w:val="00743E24"/>
    <w:rsid w:val="00744A4C"/>
    <w:rsid w:val="00744C9F"/>
    <w:rsid w:val="007451F5"/>
    <w:rsid w:val="00750F84"/>
    <w:rsid w:val="007515B7"/>
    <w:rsid w:val="00751639"/>
    <w:rsid w:val="00751B58"/>
    <w:rsid w:val="007521BA"/>
    <w:rsid w:val="007530CB"/>
    <w:rsid w:val="007534B5"/>
    <w:rsid w:val="0075606D"/>
    <w:rsid w:val="00756937"/>
    <w:rsid w:val="00756FB0"/>
    <w:rsid w:val="00762CFA"/>
    <w:rsid w:val="00764992"/>
    <w:rsid w:val="00764AE4"/>
    <w:rsid w:val="0076667D"/>
    <w:rsid w:val="0076720B"/>
    <w:rsid w:val="00767931"/>
    <w:rsid w:val="00770679"/>
    <w:rsid w:val="00771B85"/>
    <w:rsid w:val="00772870"/>
    <w:rsid w:val="00772F0C"/>
    <w:rsid w:val="00773157"/>
    <w:rsid w:val="007750DD"/>
    <w:rsid w:val="00775583"/>
    <w:rsid w:val="0077624F"/>
    <w:rsid w:val="0077736D"/>
    <w:rsid w:val="00780E67"/>
    <w:rsid w:val="00780E68"/>
    <w:rsid w:val="0078249B"/>
    <w:rsid w:val="00783278"/>
    <w:rsid w:val="00785774"/>
    <w:rsid w:val="00785820"/>
    <w:rsid w:val="00787E67"/>
    <w:rsid w:val="00791401"/>
    <w:rsid w:val="00793E3C"/>
    <w:rsid w:val="00794A68"/>
    <w:rsid w:val="00794C1E"/>
    <w:rsid w:val="007A103A"/>
    <w:rsid w:val="007A1901"/>
    <w:rsid w:val="007A246D"/>
    <w:rsid w:val="007A2DE6"/>
    <w:rsid w:val="007A6F0C"/>
    <w:rsid w:val="007B0774"/>
    <w:rsid w:val="007B09D6"/>
    <w:rsid w:val="007B1590"/>
    <w:rsid w:val="007B1D4E"/>
    <w:rsid w:val="007B4112"/>
    <w:rsid w:val="007B5FDE"/>
    <w:rsid w:val="007B645A"/>
    <w:rsid w:val="007B6BE5"/>
    <w:rsid w:val="007C0608"/>
    <w:rsid w:val="007C0AAC"/>
    <w:rsid w:val="007C1E74"/>
    <w:rsid w:val="007C2212"/>
    <w:rsid w:val="007C26B6"/>
    <w:rsid w:val="007C34DE"/>
    <w:rsid w:val="007C54E2"/>
    <w:rsid w:val="007C5D6A"/>
    <w:rsid w:val="007D0DFE"/>
    <w:rsid w:val="007D190C"/>
    <w:rsid w:val="007D2609"/>
    <w:rsid w:val="007D31E0"/>
    <w:rsid w:val="007D5F53"/>
    <w:rsid w:val="007D7DF7"/>
    <w:rsid w:val="007E38D7"/>
    <w:rsid w:val="007E3F05"/>
    <w:rsid w:val="007E6D29"/>
    <w:rsid w:val="007E7241"/>
    <w:rsid w:val="007F061B"/>
    <w:rsid w:val="007F11A5"/>
    <w:rsid w:val="007F21F1"/>
    <w:rsid w:val="007F36E8"/>
    <w:rsid w:val="00801AC5"/>
    <w:rsid w:val="00805AD9"/>
    <w:rsid w:val="0080770F"/>
    <w:rsid w:val="00807B31"/>
    <w:rsid w:val="00807D3F"/>
    <w:rsid w:val="008104F7"/>
    <w:rsid w:val="00814216"/>
    <w:rsid w:val="00814981"/>
    <w:rsid w:val="00814A74"/>
    <w:rsid w:val="00816850"/>
    <w:rsid w:val="00823772"/>
    <w:rsid w:val="00831256"/>
    <w:rsid w:val="00831332"/>
    <w:rsid w:val="008320B9"/>
    <w:rsid w:val="00832BFD"/>
    <w:rsid w:val="008333F5"/>
    <w:rsid w:val="00837244"/>
    <w:rsid w:val="00837DD4"/>
    <w:rsid w:val="0084030B"/>
    <w:rsid w:val="00841776"/>
    <w:rsid w:val="00844F74"/>
    <w:rsid w:val="008454B0"/>
    <w:rsid w:val="00846672"/>
    <w:rsid w:val="00847218"/>
    <w:rsid w:val="0085114C"/>
    <w:rsid w:val="0085118A"/>
    <w:rsid w:val="00851204"/>
    <w:rsid w:val="00852A87"/>
    <w:rsid w:val="008530B5"/>
    <w:rsid w:val="00853920"/>
    <w:rsid w:val="00853BB8"/>
    <w:rsid w:val="0085402B"/>
    <w:rsid w:val="00857217"/>
    <w:rsid w:val="00860693"/>
    <w:rsid w:val="00860AD2"/>
    <w:rsid w:val="00861140"/>
    <w:rsid w:val="008619F6"/>
    <w:rsid w:val="008620D1"/>
    <w:rsid w:val="00862390"/>
    <w:rsid w:val="00862692"/>
    <w:rsid w:val="00862820"/>
    <w:rsid w:val="00862AC8"/>
    <w:rsid w:val="00864BE7"/>
    <w:rsid w:val="008679C4"/>
    <w:rsid w:val="008722CE"/>
    <w:rsid w:val="00873656"/>
    <w:rsid w:val="00877C88"/>
    <w:rsid w:val="008801CA"/>
    <w:rsid w:val="00880930"/>
    <w:rsid w:val="00880F51"/>
    <w:rsid w:val="00881183"/>
    <w:rsid w:val="00881423"/>
    <w:rsid w:val="008815CC"/>
    <w:rsid w:val="00883921"/>
    <w:rsid w:val="00883ADC"/>
    <w:rsid w:val="00884DDE"/>
    <w:rsid w:val="008876F8"/>
    <w:rsid w:val="00891823"/>
    <w:rsid w:val="008920F0"/>
    <w:rsid w:val="00892CF6"/>
    <w:rsid w:val="008948E5"/>
    <w:rsid w:val="00896FBE"/>
    <w:rsid w:val="0089746E"/>
    <w:rsid w:val="0089746F"/>
    <w:rsid w:val="008A2E77"/>
    <w:rsid w:val="008A6DC7"/>
    <w:rsid w:val="008A758B"/>
    <w:rsid w:val="008A7B75"/>
    <w:rsid w:val="008B0895"/>
    <w:rsid w:val="008B0A37"/>
    <w:rsid w:val="008B1891"/>
    <w:rsid w:val="008B21A3"/>
    <w:rsid w:val="008B2315"/>
    <w:rsid w:val="008B27B8"/>
    <w:rsid w:val="008B3D0B"/>
    <w:rsid w:val="008B4686"/>
    <w:rsid w:val="008B6F4C"/>
    <w:rsid w:val="008B7788"/>
    <w:rsid w:val="008C0990"/>
    <w:rsid w:val="008C2695"/>
    <w:rsid w:val="008C6376"/>
    <w:rsid w:val="008D0A73"/>
    <w:rsid w:val="008D0ACD"/>
    <w:rsid w:val="008D117D"/>
    <w:rsid w:val="008D22E5"/>
    <w:rsid w:val="008D399F"/>
    <w:rsid w:val="008D5165"/>
    <w:rsid w:val="008D5FB0"/>
    <w:rsid w:val="008E0250"/>
    <w:rsid w:val="008E1BB0"/>
    <w:rsid w:val="008E1CE1"/>
    <w:rsid w:val="008E1DC4"/>
    <w:rsid w:val="008E39CF"/>
    <w:rsid w:val="008E3B10"/>
    <w:rsid w:val="008E4122"/>
    <w:rsid w:val="008E4172"/>
    <w:rsid w:val="008E4180"/>
    <w:rsid w:val="008E575F"/>
    <w:rsid w:val="008E7F7A"/>
    <w:rsid w:val="008F0502"/>
    <w:rsid w:val="008F1BFD"/>
    <w:rsid w:val="008F5832"/>
    <w:rsid w:val="00900AD6"/>
    <w:rsid w:val="00901B0A"/>
    <w:rsid w:val="00902642"/>
    <w:rsid w:val="00903662"/>
    <w:rsid w:val="009038C1"/>
    <w:rsid w:val="00903988"/>
    <w:rsid w:val="00906AC9"/>
    <w:rsid w:val="009104E6"/>
    <w:rsid w:val="00910A9F"/>
    <w:rsid w:val="00910BD5"/>
    <w:rsid w:val="009154B8"/>
    <w:rsid w:val="00915FFC"/>
    <w:rsid w:val="00916EB2"/>
    <w:rsid w:val="0091784F"/>
    <w:rsid w:val="00917F07"/>
    <w:rsid w:val="00920489"/>
    <w:rsid w:val="009215F5"/>
    <w:rsid w:val="00923514"/>
    <w:rsid w:val="009235A6"/>
    <w:rsid w:val="0092503B"/>
    <w:rsid w:val="0092640E"/>
    <w:rsid w:val="00926583"/>
    <w:rsid w:val="00926BFD"/>
    <w:rsid w:val="0093063D"/>
    <w:rsid w:val="00932050"/>
    <w:rsid w:val="009325A3"/>
    <w:rsid w:val="00932FEC"/>
    <w:rsid w:val="009334E3"/>
    <w:rsid w:val="0093424D"/>
    <w:rsid w:val="00937E5F"/>
    <w:rsid w:val="00941D25"/>
    <w:rsid w:val="009447B8"/>
    <w:rsid w:val="009453E2"/>
    <w:rsid w:val="00953150"/>
    <w:rsid w:val="00953C91"/>
    <w:rsid w:val="00955FBB"/>
    <w:rsid w:val="00957642"/>
    <w:rsid w:val="009614A2"/>
    <w:rsid w:val="00963737"/>
    <w:rsid w:val="0096463D"/>
    <w:rsid w:val="009653D7"/>
    <w:rsid w:val="0096649B"/>
    <w:rsid w:val="00966BC2"/>
    <w:rsid w:val="00966C83"/>
    <w:rsid w:val="009670A3"/>
    <w:rsid w:val="00970066"/>
    <w:rsid w:val="0097242C"/>
    <w:rsid w:val="009726C3"/>
    <w:rsid w:val="00973DF8"/>
    <w:rsid w:val="00975A69"/>
    <w:rsid w:val="00981781"/>
    <w:rsid w:val="00986F93"/>
    <w:rsid w:val="0098717C"/>
    <w:rsid w:val="009873C4"/>
    <w:rsid w:val="00987F07"/>
    <w:rsid w:val="009926D3"/>
    <w:rsid w:val="00994E70"/>
    <w:rsid w:val="009955B3"/>
    <w:rsid w:val="009960A3"/>
    <w:rsid w:val="00996AD5"/>
    <w:rsid w:val="00996C41"/>
    <w:rsid w:val="00997412"/>
    <w:rsid w:val="009A17C3"/>
    <w:rsid w:val="009A29ED"/>
    <w:rsid w:val="009A4F3B"/>
    <w:rsid w:val="009A6958"/>
    <w:rsid w:val="009B1165"/>
    <w:rsid w:val="009B16F6"/>
    <w:rsid w:val="009B4CF0"/>
    <w:rsid w:val="009B67B7"/>
    <w:rsid w:val="009C4138"/>
    <w:rsid w:val="009C43E8"/>
    <w:rsid w:val="009C4424"/>
    <w:rsid w:val="009C4B80"/>
    <w:rsid w:val="009C4CEF"/>
    <w:rsid w:val="009C60EA"/>
    <w:rsid w:val="009D515F"/>
    <w:rsid w:val="009D5C0B"/>
    <w:rsid w:val="009D5C3A"/>
    <w:rsid w:val="009D6364"/>
    <w:rsid w:val="009E0C0F"/>
    <w:rsid w:val="009E1072"/>
    <w:rsid w:val="009E2CF7"/>
    <w:rsid w:val="009E2E5D"/>
    <w:rsid w:val="009E5751"/>
    <w:rsid w:val="009E5DEF"/>
    <w:rsid w:val="009E6774"/>
    <w:rsid w:val="009E7FEE"/>
    <w:rsid w:val="009F2C67"/>
    <w:rsid w:val="009F367D"/>
    <w:rsid w:val="009F3FFD"/>
    <w:rsid w:val="009F4823"/>
    <w:rsid w:val="009F51FA"/>
    <w:rsid w:val="00A00CE8"/>
    <w:rsid w:val="00A017C2"/>
    <w:rsid w:val="00A02466"/>
    <w:rsid w:val="00A02846"/>
    <w:rsid w:val="00A048CE"/>
    <w:rsid w:val="00A057B5"/>
    <w:rsid w:val="00A11A7D"/>
    <w:rsid w:val="00A13A79"/>
    <w:rsid w:val="00A1614E"/>
    <w:rsid w:val="00A17591"/>
    <w:rsid w:val="00A175F4"/>
    <w:rsid w:val="00A21870"/>
    <w:rsid w:val="00A21D32"/>
    <w:rsid w:val="00A22C48"/>
    <w:rsid w:val="00A230A0"/>
    <w:rsid w:val="00A23191"/>
    <w:rsid w:val="00A252FC"/>
    <w:rsid w:val="00A25775"/>
    <w:rsid w:val="00A26478"/>
    <w:rsid w:val="00A27758"/>
    <w:rsid w:val="00A32FB8"/>
    <w:rsid w:val="00A33693"/>
    <w:rsid w:val="00A339A1"/>
    <w:rsid w:val="00A33F07"/>
    <w:rsid w:val="00A34A08"/>
    <w:rsid w:val="00A35A66"/>
    <w:rsid w:val="00A3659D"/>
    <w:rsid w:val="00A36ACF"/>
    <w:rsid w:val="00A42CE3"/>
    <w:rsid w:val="00A43C33"/>
    <w:rsid w:val="00A44A1E"/>
    <w:rsid w:val="00A44EF7"/>
    <w:rsid w:val="00A457D4"/>
    <w:rsid w:val="00A458E2"/>
    <w:rsid w:val="00A45BEC"/>
    <w:rsid w:val="00A45CF9"/>
    <w:rsid w:val="00A47B5D"/>
    <w:rsid w:val="00A503C4"/>
    <w:rsid w:val="00A50BA1"/>
    <w:rsid w:val="00A51234"/>
    <w:rsid w:val="00A52BFE"/>
    <w:rsid w:val="00A52ECA"/>
    <w:rsid w:val="00A54AFF"/>
    <w:rsid w:val="00A56915"/>
    <w:rsid w:val="00A56CAF"/>
    <w:rsid w:val="00A62352"/>
    <w:rsid w:val="00A62F05"/>
    <w:rsid w:val="00A62F48"/>
    <w:rsid w:val="00A63956"/>
    <w:rsid w:val="00A704CC"/>
    <w:rsid w:val="00A7111E"/>
    <w:rsid w:val="00A743F2"/>
    <w:rsid w:val="00A75737"/>
    <w:rsid w:val="00A77011"/>
    <w:rsid w:val="00A815DD"/>
    <w:rsid w:val="00A81B2A"/>
    <w:rsid w:val="00A826A2"/>
    <w:rsid w:val="00A82837"/>
    <w:rsid w:val="00A8386A"/>
    <w:rsid w:val="00A84226"/>
    <w:rsid w:val="00A84723"/>
    <w:rsid w:val="00A847E3"/>
    <w:rsid w:val="00A85C70"/>
    <w:rsid w:val="00A85F71"/>
    <w:rsid w:val="00A868C0"/>
    <w:rsid w:val="00A86B29"/>
    <w:rsid w:val="00A8793C"/>
    <w:rsid w:val="00A90800"/>
    <w:rsid w:val="00A90A09"/>
    <w:rsid w:val="00A9173C"/>
    <w:rsid w:val="00A921F9"/>
    <w:rsid w:val="00A95307"/>
    <w:rsid w:val="00A957A8"/>
    <w:rsid w:val="00A95E97"/>
    <w:rsid w:val="00A96555"/>
    <w:rsid w:val="00AA2A96"/>
    <w:rsid w:val="00AA35B2"/>
    <w:rsid w:val="00AA687A"/>
    <w:rsid w:val="00AB25C5"/>
    <w:rsid w:val="00AB31C6"/>
    <w:rsid w:val="00AB37E1"/>
    <w:rsid w:val="00AB3BC9"/>
    <w:rsid w:val="00AB7EFF"/>
    <w:rsid w:val="00AC06D9"/>
    <w:rsid w:val="00AC0D52"/>
    <w:rsid w:val="00AC40C5"/>
    <w:rsid w:val="00AD0CFB"/>
    <w:rsid w:val="00AD53E2"/>
    <w:rsid w:val="00AD59A6"/>
    <w:rsid w:val="00AE155F"/>
    <w:rsid w:val="00AE17FE"/>
    <w:rsid w:val="00AE5C17"/>
    <w:rsid w:val="00AF088B"/>
    <w:rsid w:val="00AF0A66"/>
    <w:rsid w:val="00AF2438"/>
    <w:rsid w:val="00AF304A"/>
    <w:rsid w:val="00AF6D41"/>
    <w:rsid w:val="00AF7BA3"/>
    <w:rsid w:val="00B000B1"/>
    <w:rsid w:val="00B0092D"/>
    <w:rsid w:val="00B055C2"/>
    <w:rsid w:val="00B05919"/>
    <w:rsid w:val="00B05E50"/>
    <w:rsid w:val="00B06765"/>
    <w:rsid w:val="00B07424"/>
    <w:rsid w:val="00B07658"/>
    <w:rsid w:val="00B07681"/>
    <w:rsid w:val="00B1101F"/>
    <w:rsid w:val="00B11D12"/>
    <w:rsid w:val="00B11F29"/>
    <w:rsid w:val="00B1386F"/>
    <w:rsid w:val="00B144C2"/>
    <w:rsid w:val="00B16DD1"/>
    <w:rsid w:val="00B17409"/>
    <w:rsid w:val="00B2013C"/>
    <w:rsid w:val="00B2167F"/>
    <w:rsid w:val="00B22BD3"/>
    <w:rsid w:val="00B23096"/>
    <w:rsid w:val="00B23509"/>
    <w:rsid w:val="00B235BE"/>
    <w:rsid w:val="00B24CD9"/>
    <w:rsid w:val="00B25F2B"/>
    <w:rsid w:val="00B3084C"/>
    <w:rsid w:val="00B314D3"/>
    <w:rsid w:val="00B31A94"/>
    <w:rsid w:val="00B332B6"/>
    <w:rsid w:val="00B350D9"/>
    <w:rsid w:val="00B35559"/>
    <w:rsid w:val="00B36E07"/>
    <w:rsid w:val="00B40085"/>
    <w:rsid w:val="00B4200D"/>
    <w:rsid w:val="00B42F13"/>
    <w:rsid w:val="00B4387D"/>
    <w:rsid w:val="00B44CC6"/>
    <w:rsid w:val="00B46F22"/>
    <w:rsid w:val="00B47B99"/>
    <w:rsid w:val="00B52692"/>
    <w:rsid w:val="00B529C9"/>
    <w:rsid w:val="00B52D73"/>
    <w:rsid w:val="00B5326B"/>
    <w:rsid w:val="00B5489C"/>
    <w:rsid w:val="00B56045"/>
    <w:rsid w:val="00B56959"/>
    <w:rsid w:val="00B57F88"/>
    <w:rsid w:val="00B60381"/>
    <w:rsid w:val="00B62443"/>
    <w:rsid w:val="00B6495F"/>
    <w:rsid w:val="00B6582A"/>
    <w:rsid w:val="00B71173"/>
    <w:rsid w:val="00B71559"/>
    <w:rsid w:val="00B71953"/>
    <w:rsid w:val="00B72000"/>
    <w:rsid w:val="00B7266A"/>
    <w:rsid w:val="00B75570"/>
    <w:rsid w:val="00B75DAA"/>
    <w:rsid w:val="00B76931"/>
    <w:rsid w:val="00B777DE"/>
    <w:rsid w:val="00B77D3F"/>
    <w:rsid w:val="00B8166D"/>
    <w:rsid w:val="00B82165"/>
    <w:rsid w:val="00B84232"/>
    <w:rsid w:val="00B87AF6"/>
    <w:rsid w:val="00B9046E"/>
    <w:rsid w:val="00B92250"/>
    <w:rsid w:val="00B92B60"/>
    <w:rsid w:val="00B936C5"/>
    <w:rsid w:val="00B9397F"/>
    <w:rsid w:val="00B93BD5"/>
    <w:rsid w:val="00B94058"/>
    <w:rsid w:val="00B9477E"/>
    <w:rsid w:val="00B96429"/>
    <w:rsid w:val="00B970F8"/>
    <w:rsid w:val="00B976A8"/>
    <w:rsid w:val="00BA02E3"/>
    <w:rsid w:val="00BA10F6"/>
    <w:rsid w:val="00BA1B3D"/>
    <w:rsid w:val="00BA28BA"/>
    <w:rsid w:val="00BA3176"/>
    <w:rsid w:val="00BA3EAC"/>
    <w:rsid w:val="00BA47E8"/>
    <w:rsid w:val="00BA67EB"/>
    <w:rsid w:val="00BA7EB1"/>
    <w:rsid w:val="00BB1BD8"/>
    <w:rsid w:val="00BB2EED"/>
    <w:rsid w:val="00BB316A"/>
    <w:rsid w:val="00BB787D"/>
    <w:rsid w:val="00BC11D7"/>
    <w:rsid w:val="00BC559F"/>
    <w:rsid w:val="00BC6731"/>
    <w:rsid w:val="00BC69C1"/>
    <w:rsid w:val="00BD03C5"/>
    <w:rsid w:val="00BD0543"/>
    <w:rsid w:val="00BD16B2"/>
    <w:rsid w:val="00BD29CE"/>
    <w:rsid w:val="00BD3046"/>
    <w:rsid w:val="00BD5290"/>
    <w:rsid w:val="00BD55EE"/>
    <w:rsid w:val="00BD6607"/>
    <w:rsid w:val="00BE12CF"/>
    <w:rsid w:val="00BE15AF"/>
    <w:rsid w:val="00BE1FAF"/>
    <w:rsid w:val="00BE33E5"/>
    <w:rsid w:val="00BE3743"/>
    <w:rsid w:val="00BE4220"/>
    <w:rsid w:val="00BE65AE"/>
    <w:rsid w:val="00BF0444"/>
    <w:rsid w:val="00BF255B"/>
    <w:rsid w:val="00BF3399"/>
    <w:rsid w:val="00BF38CA"/>
    <w:rsid w:val="00BF4C89"/>
    <w:rsid w:val="00BF5254"/>
    <w:rsid w:val="00BF56A0"/>
    <w:rsid w:val="00BF5A40"/>
    <w:rsid w:val="00BF7275"/>
    <w:rsid w:val="00C0086A"/>
    <w:rsid w:val="00C02477"/>
    <w:rsid w:val="00C03143"/>
    <w:rsid w:val="00C038C0"/>
    <w:rsid w:val="00C04058"/>
    <w:rsid w:val="00C04AFA"/>
    <w:rsid w:val="00C04D13"/>
    <w:rsid w:val="00C068BE"/>
    <w:rsid w:val="00C10AAD"/>
    <w:rsid w:val="00C11F15"/>
    <w:rsid w:val="00C125EA"/>
    <w:rsid w:val="00C12EC7"/>
    <w:rsid w:val="00C1327D"/>
    <w:rsid w:val="00C13A1E"/>
    <w:rsid w:val="00C14043"/>
    <w:rsid w:val="00C1784C"/>
    <w:rsid w:val="00C17E8F"/>
    <w:rsid w:val="00C20A17"/>
    <w:rsid w:val="00C20DF0"/>
    <w:rsid w:val="00C2166A"/>
    <w:rsid w:val="00C21E40"/>
    <w:rsid w:val="00C22013"/>
    <w:rsid w:val="00C230D7"/>
    <w:rsid w:val="00C24EE7"/>
    <w:rsid w:val="00C273C6"/>
    <w:rsid w:val="00C274FA"/>
    <w:rsid w:val="00C27671"/>
    <w:rsid w:val="00C31315"/>
    <w:rsid w:val="00C317CD"/>
    <w:rsid w:val="00C31B37"/>
    <w:rsid w:val="00C322AD"/>
    <w:rsid w:val="00C342FA"/>
    <w:rsid w:val="00C35313"/>
    <w:rsid w:val="00C35AA9"/>
    <w:rsid w:val="00C35C80"/>
    <w:rsid w:val="00C37CB6"/>
    <w:rsid w:val="00C41A56"/>
    <w:rsid w:val="00C421F2"/>
    <w:rsid w:val="00C42CCA"/>
    <w:rsid w:val="00C435C5"/>
    <w:rsid w:val="00C45F3B"/>
    <w:rsid w:val="00C47241"/>
    <w:rsid w:val="00C4764F"/>
    <w:rsid w:val="00C507C7"/>
    <w:rsid w:val="00C51622"/>
    <w:rsid w:val="00C54334"/>
    <w:rsid w:val="00C555FA"/>
    <w:rsid w:val="00C56CE4"/>
    <w:rsid w:val="00C60A16"/>
    <w:rsid w:val="00C612D1"/>
    <w:rsid w:val="00C61F1E"/>
    <w:rsid w:val="00C62098"/>
    <w:rsid w:val="00C63283"/>
    <w:rsid w:val="00C641C0"/>
    <w:rsid w:val="00C64FF7"/>
    <w:rsid w:val="00C66A96"/>
    <w:rsid w:val="00C66C0E"/>
    <w:rsid w:val="00C6772B"/>
    <w:rsid w:val="00C70534"/>
    <w:rsid w:val="00C70742"/>
    <w:rsid w:val="00C70932"/>
    <w:rsid w:val="00C709F7"/>
    <w:rsid w:val="00C71B31"/>
    <w:rsid w:val="00C72BD9"/>
    <w:rsid w:val="00C77295"/>
    <w:rsid w:val="00C77C38"/>
    <w:rsid w:val="00C77C58"/>
    <w:rsid w:val="00C8022F"/>
    <w:rsid w:val="00C80B6D"/>
    <w:rsid w:val="00C80F5E"/>
    <w:rsid w:val="00C81E86"/>
    <w:rsid w:val="00C82075"/>
    <w:rsid w:val="00C82277"/>
    <w:rsid w:val="00C84655"/>
    <w:rsid w:val="00C8576C"/>
    <w:rsid w:val="00C85CAE"/>
    <w:rsid w:val="00C8718B"/>
    <w:rsid w:val="00C879B5"/>
    <w:rsid w:val="00C87BE0"/>
    <w:rsid w:val="00C905CE"/>
    <w:rsid w:val="00C933FA"/>
    <w:rsid w:val="00C96056"/>
    <w:rsid w:val="00CA082A"/>
    <w:rsid w:val="00CA0ABC"/>
    <w:rsid w:val="00CA12FB"/>
    <w:rsid w:val="00CA1EE3"/>
    <w:rsid w:val="00CA2752"/>
    <w:rsid w:val="00CA2EC9"/>
    <w:rsid w:val="00CA48D4"/>
    <w:rsid w:val="00CA5563"/>
    <w:rsid w:val="00CA6385"/>
    <w:rsid w:val="00CB2A72"/>
    <w:rsid w:val="00CB453B"/>
    <w:rsid w:val="00CB4E15"/>
    <w:rsid w:val="00CB540F"/>
    <w:rsid w:val="00CB5B4C"/>
    <w:rsid w:val="00CC0737"/>
    <w:rsid w:val="00CC3B31"/>
    <w:rsid w:val="00CC3F9B"/>
    <w:rsid w:val="00CC4504"/>
    <w:rsid w:val="00CC7BD9"/>
    <w:rsid w:val="00CC7C11"/>
    <w:rsid w:val="00CD0D41"/>
    <w:rsid w:val="00CD6796"/>
    <w:rsid w:val="00CD69F6"/>
    <w:rsid w:val="00CD6D5C"/>
    <w:rsid w:val="00CD744E"/>
    <w:rsid w:val="00CE07F3"/>
    <w:rsid w:val="00CE0AC9"/>
    <w:rsid w:val="00CE1AA6"/>
    <w:rsid w:val="00CE511E"/>
    <w:rsid w:val="00CE5243"/>
    <w:rsid w:val="00CE6300"/>
    <w:rsid w:val="00CE69CF"/>
    <w:rsid w:val="00CF0941"/>
    <w:rsid w:val="00CF0E73"/>
    <w:rsid w:val="00CF3739"/>
    <w:rsid w:val="00CF3BB3"/>
    <w:rsid w:val="00CF41E6"/>
    <w:rsid w:val="00CF5FFC"/>
    <w:rsid w:val="00CF6D46"/>
    <w:rsid w:val="00CF6DF1"/>
    <w:rsid w:val="00D018D3"/>
    <w:rsid w:val="00D02DB1"/>
    <w:rsid w:val="00D02F55"/>
    <w:rsid w:val="00D038AA"/>
    <w:rsid w:val="00D04941"/>
    <w:rsid w:val="00D049C4"/>
    <w:rsid w:val="00D04E92"/>
    <w:rsid w:val="00D07CCC"/>
    <w:rsid w:val="00D1079D"/>
    <w:rsid w:val="00D10D09"/>
    <w:rsid w:val="00D123EB"/>
    <w:rsid w:val="00D12F8A"/>
    <w:rsid w:val="00D1478D"/>
    <w:rsid w:val="00D14A98"/>
    <w:rsid w:val="00D14DDD"/>
    <w:rsid w:val="00D17A38"/>
    <w:rsid w:val="00D17AFA"/>
    <w:rsid w:val="00D17D80"/>
    <w:rsid w:val="00D20874"/>
    <w:rsid w:val="00D22770"/>
    <w:rsid w:val="00D23964"/>
    <w:rsid w:val="00D2478E"/>
    <w:rsid w:val="00D24EE9"/>
    <w:rsid w:val="00D25470"/>
    <w:rsid w:val="00D255F4"/>
    <w:rsid w:val="00D2618F"/>
    <w:rsid w:val="00D26457"/>
    <w:rsid w:val="00D26CFE"/>
    <w:rsid w:val="00D27075"/>
    <w:rsid w:val="00D3124D"/>
    <w:rsid w:val="00D3298E"/>
    <w:rsid w:val="00D32D6D"/>
    <w:rsid w:val="00D3468D"/>
    <w:rsid w:val="00D36605"/>
    <w:rsid w:val="00D36B9D"/>
    <w:rsid w:val="00D37702"/>
    <w:rsid w:val="00D40332"/>
    <w:rsid w:val="00D4056C"/>
    <w:rsid w:val="00D40CED"/>
    <w:rsid w:val="00D419A7"/>
    <w:rsid w:val="00D42432"/>
    <w:rsid w:val="00D435FD"/>
    <w:rsid w:val="00D44E41"/>
    <w:rsid w:val="00D47788"/>
    <w:rsid w:val="00D50088"/>
    <w:rsid w:val="00D52506"/>
    <w:rsid w:val="00D52DB8"/>
    <w:rsid w:val="00D53F9A"/>
    <w:rsid w:val="00D54478"/>
    <w:rsid w:val="00D562C9"/>
    <w:rsid w:val="00D56A6B"/>
    <w:rsid w:val="00D5735B"/>
    <w:rsid w:val="00D57476"/>
    <w:rsid w:val="00D57B4C"/>
    <w:rsid w:val="00D62DCD"/>
    <w:rsid w:val="00D63161"/>
    <w:rsid w:val="00D63851"/>
    <w:rsid w:val="00D641A7"/>
    <w:rsid w:val="00D650B2"/>
    <w:rsid w:val="00D66DC1"/>
    <w:rsid w:val="00D66F15"/>
    <w:rsid w:val="00D67741"/>
    <w:rsid w:val="00D73958"/>
    <w:rsid w:val="00D74157"/>
    <w:rsid w:val="00D74774"/>
    <w:rsid w:val="00D75954"/>
    <w:rsid w:val="00D7787D"/>
    <w:rsid w:val="00D85205"/>
    <w:rsid w:val="00D85ABC"/>
    <w:rsid w:val="00D87AD7"/>
    <w:rsid w:val="00D916FF"/>
    <w:rsid w:val="00D97270"/>
    <w:rsid w:val="00D97946"/>
    <w:rsid w:val="00DA01EB"/>
    <w:rsid w:val="00DA3F17"/>
    <w:rsid w:val="00DA49F2"/>
    <w:rsid w:val="00DA5647"/>
    <w:rsid w:val="00DA5CEF"/>
    <w:rsid w:val="00DA6188"/>
    <w:rsid w:val="00DA6B09"/>
    <w:rsid w:val="00DA7751"/>
    <w:rsid w:val="00DB0BCD"/>
    <w:rsid w:val="00DB1CC8"/>
    <w:rsid w:val="00DB2297"/>
    <w:rsid w:val="00DB248F"/>
    <w:rsid w:val="00DB4FDE"/>
    <w:rsid w:val="00DB5FFB"/>
    <w:rsid w:val="00DB60A1"/>
    <w:rsid w:val="00DB6D6C"/>
    <w:rsid w:val="00DC207E"/>
    <w:rsid w:val="00DC2DE8"/>
    <w:rsid w:val="00DC2E8E"/>
    <w:rsid w:val="00DC460D"/>
    <w:rsid w:val="00DC4622"/>
    <w:rsid w:val="00DC4B2E"/>
    <w:rsid w:val="00DC5054"/>
    <w:rsid w:val="00DC5297"/>
    <w:rsid w:val="00DC55C7"/>
    <w:rsid w:val="00DD189C"/>
    <w:rsid w:val="00DD1DC8"/>
    <w:rsid w:val="00DD205A"/>
    <w:rsid w:val="00DD60C8"/>
    <w:rsid w:val="00DD618D"/>
    <w:rsid w:val="00DE08B9"/>
    <w:rsid w:val="00DE1BCA"/>
    <w:rsid w:val="00DE3C63"/>
    <w:rsid w:val="00DE4AE4"/>
    <w:rsid w:val="00DE4E4C"/>
    <w:rsid w:val="00DE4E69"/>
    <w:rsid w:val="00DE6BFA"/>
    <w:rsid w:val="00DF224A"/>
    <w:rsid w:val="00DF2CBE"/>
    <w:rsid w:val="00DF3A08"/>
    <w:rsid w:val="00DF54BF"/>
    <w:rsid w:val="00E0127F"/>
    <w:rsid w:val="00E025A6"/>
    <w:rsid w:val="00E02A7A"/>
    <w:rsid w:val="00E038BB"/>
    <w:rsid w:val="00E11BE7"/>
    <w:rsid w:val="00E133DB"/>
    <w:rsid w:val="00E157A5"/>
    <w:rsid w:val="00E1595E"/>
    <w:rsid w:val="00E17851"/>
    <w:rsid w:val="00E210A5"/>
    <w:rsid w:val="00E21760"/>
    <w:rsid w:val="00E21D34"/>
    <w:rsid w:val="00E22255"/>
    <w:rsid w:val="00E24C5F"/>
    <w:rsid w:val="00E24C8A"/>
    <w:rsid w:val="00E2518D"/>
    <w:rsid w:val="00E26E57"/>
    <w:rsid w:val="00E27FE7"/>
    <w:rsid w:val="00E3155C"/>
    <w:rsid w:val="00E31C58"/>
    <w:rsid w:val="00E33258"/>
    <w:rsid w:val="00E3330A"/>
    <w:rsid w:val="00E34674"/>
    <w:rsid w:val="00E36903"/>
    <w:rsid w:val="00E37F20"/>
    <w:rsid w:val="00E4177C"/>
    <w:rsid w:val="00E41F0A"/>
    <w:rsid w:val="00E4300F"/>
    <w:rsid w:val="00E43475"/>
    <w:rsid w:val="00E43B00"/>
    <w:rsid w:val="00E444D2"/>
    <w:rsid w:val="00E45DCE"/>
    <w:rsid w:val="00E45F5C"/>
    <w:rsid w:val="00E4738E"/>
    <w:rsid w:val="00E52E41"/>
    <w:rsid w:val="00E53031"/>
    <w:rsid w:val="00E554E0"/>
    <w:rsid w:val="00E555C3"/>
    <w:rsid w:val="00E55783"/>
    <w:rsid w:val="00E56F20"/>
    <w:rsid w:val="00E57E4B"/>
    <w:rsid w:val="00E600BE"/>
    <w:rsid w:val="00E61DAB"/>
    <w:rsid w:val="00E62254"/>
    <w:rsid w:val="00E66637"/>
    <w:rsid w:val="00E6762F"/>
    <w:rsid w:val="00E700E1"/>
    <w:rsid w:val="00E712C7"/>
    <w:rsid w:val="00E72E8F"/>
    <w:rsid w:val="00E7343C"/>
    <w:rsid w:val="00E837D2"/>
    <w:rsid w:val="00E837EC"/>
    <w:rsid w:val="00E84755"/>
    <w:rsid w:val="00E859E3"/>
    <w:rsid w:val="00E85D03"/>
    <w:rsid w:val="00E85FEC"/>
    <w:rsid w:val="00E8762E"/>
    <w:rsid w:val="00E90A0F"/>
    <w:rsid w:val="00E92674"/>
    <w:rsid w:val="00E93C92"/>
    <w:rsid w:val="00E94405"/>
    <w:rsid w:val="00E95569"/>
    <w:rsid w:val="00EA381A"/>
    <w:rsid w:val="00EA4C06"/>
    <w:rsid w:val="00EA5C0A"/>
    <w:rsid w:val="00EB2915"/>
    <w:rsid w:val="00EB2EFA"/>
    <w:rsid w:val="00EB30ED"/>
    <w:rsid w:val="00EB36C5"/>
    <w:rsid w:val="00EB3958"/>
    <w:rsid w:val="00EB3A1A"/>
    <w:rsid w:val="00EB4953"/>
    <w:rsid w:val="00EB7739"/>
    <w:rsid w:val="00EC1FEF"/>
    <w:rsid w:val="00EC200C"/>
    <w:rsid w:val="00EC32BB"/>
    <w:rsid w:val="00EC35FA"/>
    <w:rsid w:val="00EC36A5"/>
    <w:rsid w:val="00EC46C3"/>
    <w:rsid w:val="00EC4D9C"/>
    <w:rsid w:val="00EC647A"/>
    <w:rsid w:val="00EC6586"/>
    <w:rsid w:val="00EC6A23"/>
    <w:rsid w:val="00ED1702"/>
    <w:rsid w:val="00ED301C"/>
    <w:rsid w:val="00ED3F1F"/>
    <w:rsid w:val="00ED6727"/>
    <w:rsid w:val="00ED6815"/>
    <w:rsid w:val="00ED7897"/>
    <w:rsid w:val="00EE05F9"/>
    <w:rsid w:val="00EE08FE"/>
    <w:rsid w:val="00EE2613"/>
    <w:rsid w:val="00EE4D95"/>
    <w:rsid w:val="00EE6E8F"/>
    <w:rsid w:val="00EF2C24"/>
    <w:rsid w:val="00EF3663"/>
    <w:rsid w:val="00EF48FF"/>
    <w:rsid w:val="00EF4E03"/>
    <w:rsid w:val="00F0251F"/>
    <w:rsid w:val="00F02E07"/>
    <w:rsid w:val="00F0428C"/>
    <w:rsid w:val="00F042A4"/>
    <w:rsid w:val="00F0587E"/>
    <w:rsid w:val="00F05903"/>
    <w:rsid w:val="00F05C1F"/>
    <w:rsid w:val="00F105B1"/>
    <w:rsid w:val="00F11D11"/>
    <w:rsid w:val="00F14BB0"/>
    <w:rsid w:val="00F17610"/>
    <w:rsid w:val="00F202B4"/>
    <w:rsid w:val="00F20490"/>
    <w:rsid w:val="00F261FC"/>
    <w:rsid w:val="00F3134B"/>
    <w:rsid w:val="00F31429"/>
    <w:rsid w:val="00F31877"/>
    <w:rsid w:val="00F3202E"/>
    <w:rsid w:val="00F35C53"/>
    <w:rsid w:val="00F40A2A"/>
    <w:rsid w:val="00F438CC"/>
    <w:rsid w:val="00F454FD"/>
    <w:rsid w:val="00F464E5"/>
    <w:rsid w:val="00F46A98"/>
    <w:rsid w:val="00F47BC4"/>
    <w:rsid w:val="00F516FB"/>
    <w:rsid w:val="00F575D9"/>
    <w:rsid w:val="00F618C8"/>
    <w:rsid w:val="00F667E7"/>
    <w:rsid w:val="00F66AD1"/>
    <w:rsid w:val="00F67A68"/>
    <w:rsid w:val="00F71611"/>
    <w:rsid w:val="00F72351"/>
    <w:rsid w:val="00F737B9"/>
    <w:rsid w:val="00F74D4F"/>
    <w:rsid w:val="00F752CB"/>
    <w:rsid w:val="00F76935"/>
    <w:rsid w:val="00F76D07"/>
    <w:rsid w:val="00F77E00"/>
    <w:rsid w:val="00F8081D"/>
    <w:rsid w:val="00F81CD6"/>
    <w:rsid w:val="00F84196"/>
    <w:rsid w:val="00F8420F"/>
    <w:rsid w:val="00F8448C"/>
    <w:rsid w:val="00F86843"/>
    <w:rsid w:val="00F903B9"/>
    <w:rsid w:val="00F91070"/>
    <w:rsid w:val="00F9186D"/>
    <w:rsid w:val="00F94BE7"/>
    <w:rsid w:val="00F95F5F"/>
    <w:rsid w:val="00F967EE"/>
    <w:rsid w:val="00F96AD1"/>
    <w:rsid w:val="00F96D62"/>
    <w:rsid w:val="00F96F3B"/>
    <w:rsid w:val="00F978BE"/>
    <w:rsid w:val="00FA28F6"/>
    <w:rsid w:val="00FA363C"/>
    <w:rsid w:val="00FA3A56"/>
    <w:rsid w:val="00FA4C1D"/>
    <w:rsid w:val="00FB0050"/>
    <w:rsid w:val="00FB178B"/>
    <w:rsid w:val="00FB396B"/>
    <w:rsid w:val="00FB52A5"/>
    <w:rsid w:val="00FB56BE"/>
    <w:rsid w:val="00FB6465"/>
    <w:rsid w:val="00FC1121"/>
    <w:rsid w:val="00FC1152"/>
    <w:rsid w:val="00FC4716"/>
    <w:rsid w:val="00FC4A7C"/>
    <w:rsid w:val="00FC7924"/>
    <w:rsid w:val="00FD05FC"/>
    <w:rsid w:val="00FD38DF"/>
    <w:rsid w:val="00FD4D0C"/>
    <w:rsid w:val="00FD4E13"/>
    <w:rsid w:val="00FD5791"/>
    <w:rsid w:val="00FE07A1"/>
    <w:rsid w:val="00FE123D"/>
    <w:rsid w:val="00FE5583"/>
    <w:rsid w:val="00FF0E84"/>
    <w:rsid w:val="00FF153F"/>
    <w:rsid w:val="00FF21C4"/>
    <w:rsid w:val="00FF3D8C"/>
    <w:rsid w:val="00FF5181"/>
    <w:rsid w:val="00FF63F4"/>
    <w:rsid w:val="00FF6BE2"/>
    <w:rsid w:val="00FF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911EE"/>
  <w15:docId w15:val="{12ED5948-A38C-4EFC-B5B5-7786AAEB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F93"/>
    <w:pPr>
      <w:spacing w:after="200" w:line="276" w:lineRule="auto"/>
    </w:pPr>
  </w:style>
  <w:style w:type="paragraph" w:styleId="1">
    <w:name w:val="heading 1"/>
    <w:basedOn w:val="a"/>
    <w:next w:val="a"/>
    <w:link w:val="10"/>
    <w:qFormat/>
    <w:locked/>
    <w:rsid w:val="00E012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locked/>
    <w:rsid w:val="00377BFC"/>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D07CCC"/>
    <w:pPr>
      <w:spacing w:after="120" w:line="240" w:lineRule="auto"/>
      <w:ind w:left="283"/>
    </w:pPr>
    <w:rPr>
      <w:rFonts w:ascii="Times New Roman" w:hAnsi="Times New Roman"/>
      <w:sz w:val="20"/>
      <w:szCs w:val="20"/>
    </w:rPr>
  </w:style>
  <w:style w:type="character" w:customStyle="1" w:styleId="a4">
    <w:name w:val="Основной текст с отступом Знак"/>
    <w:basedOn w:val="a0"/>
    <w:link w:val="a3"/>
    <w:uiPriority w:val="99"/>
    <w:semiHidden/>
    <w:locked/>
    <w:rsid w:val="00D07CCC"/>
    <w:rPr>
      <w:rFonts w:ascii="Times New Roman" w:hAnsi="Times New Roman" w:cs="Times New Roman"/>
      <w:sz w:val="20"/>
      <w:szCs w:val="20"/>
    </w:rPr>
  </w:style>
  <w:style w:type="character" w:styleId="a5">
    <w:name w:val="Strong"/>
    <w:basedOn w:val="a0"/>
    <w:uiPriority w:val="22"/>
    <w:qFormat/>
    <w:rsid w:val="00A52ECA"/>
    <w:rPr>
      <w:rFonts w:cs="Times New Roman"/>
      <w:b/>
      <w:bCs/>
    </w:rPr>
  </w:style>
  <w:style w:type="paragraph" w:styleId="a6">
    <w:name w:val="Body Text"/>
    <w:basedOn w:val="a"/>
    <w:link w:val="a7"/>
    <w:uiPriority w:val="99"/>
    <w:rsid w:val="00A52ECA"/>
    <w:pPr>
      <w:suppressAutoHyphens/>
      <w:spacing w:after="120"/>
    </w:pPr>
    <w:rPr>
      <w:rFonts w:cs="Calibri"/>
      <w:lang w:eastAsia="ar-SA"/>
    </w:rPr>
  </w:style>
  <w:style w:type="character" w:customStyle="1" w:styleId="a7">
    <w:name w:val="Основной текст Знак"/>
    <w:basedOn w:val="a0"/>
    <w:link w:val="a6"/>
    <w:uiPriority w:val="99"/>
    <w:locked/>
    <w:rsid w:val="00A52ECA"/>
    <w:rPr>
      <w:rFonts w:ascii="Calibri" w:hAnsi="Calibri" w:cs="Calibri"/>
      <w:lang w:eastAsia="ar-SA" w:bidi="ar-SA"/>
    </w:rPr>
  </w:style>
  <w:style w:type="paragraph" w:styleId="a8">
    <w:name w:val="No Spacing"/>
    <w:link w:val="a9"/>
    <w:uiPriority w:val="1"/>
    <w:qFormat/>
    <w:rsid w:val="00A52ECA"/>
    <w:pPr>
      <w:suppressAutoHyphens/>
    </w:pPr>
    <w:rPr>
      <w:rFonts w:cs="Calibri"/>
      <w:lang w:eastAsia="ar-SA"/>
    </w:rPr>
  </w:style>
  <w:style w:type="paragraph" w:styleId="aa">
    <w:name w:val="Normal (Web)"/>
    <w:aliases w:val="Обычный (веб)1,Обычный (веб) Знак,Обычный (веб) Знак1,Обычный (веб) Знак Знак"/>
    <w:basedOn w:val="a"/>
    <w:uiPriority w:val="99"/>
    <w:rsid w:val="00A52ECA"/>
    <w:pPr>
      <w:suppressAutoHyphens/>
      <w:spacing w:before="280" w:after="280" w:line="240" w:lineRule="auto"/>
    </w:pPr>
    <w:rPr>
      <w:rFonts w:ascii="Times New Roman" w:hAnsi="Times New Roman"/>
      <w:sz w:val="24"/>
      <w:szCs w:val="24"/>
      <w:lang w:eastAsia="ar-SA"/>
    </w:rPr>
  </w:style>
  <w:style w:type="paragraph" w:customStyle="1" w:styleId="31">
    <w:name w:val="Основной текст с отступом 31"/>
    <w:basedOn w:val="a"/>
    <w:uiPriority w:val="99"/>
    <w:rsid w:val="00A52ECA"/>
    <w:pPr>
      <w:spacing w:after="120" w:line="240" w:lineRule="auto"/>
      <w:ind w:left="283"/>
    </w:pPr>
    <w:rPr>
      <w:rFonts w:ascii="Times New Roman" w:hAnsi="Times New Roman"/>
      <w:sz w:val="16"/>
      <w:szCs w:val="16"/>
      <w:lang w:eastAsia="ar-SA"/>
    </w:rPr>
  </w:style>
  <w:style w:type="paragraph" w:customStyle="1" w:styleId="21">
    <w:name w:val="Основной текст с отступом 21"/>
    <w:basedOn w:val="a"/>
    <w:uiPriority w:val="99"/>
    <w:rsid w:val="00A52ECA"/>
    <w:pPr>
      <w:suppressAutoHyphens/>
      <w:spacing w:after="120" w:line="480" w:lineRule="auto"/>
      <w:ind w:left="283"/>
    </w:pPr>
    <w:rPr>
      <w:rFonts w:ascii="Times New Roman" w:hAnsi="Times New Roman"/>
      <w:sz w:val="24"/>
      <w:szCs w:val="24"/>
      <w:lang w:eastAsia="ar-SA"/>
    </w:rPr>
  </w:style>
  <w:style w:type="paragraph" w:customStyle="1" w:styleId="note">
    <w:name w:val="note"/>
    <w:basedOn w:val="a"/>
    <w:uiPriority w:val="99"/>
    <w:rsid w:val="00A52ECA"/>
    <w:pPr>
      <w:suppressAutoHyphens/>
      <w:spacing w:before="280" w:after="280" w:line="240" w:lineRule="auto"/>
    </w:pPr>
    <w:rPr>
      <w:rFonts w:ascii="Times New Roman" w:hAnsi="Times New Roman"/>
      <w:sz w:val="24"/>
      <w:szCs w:val="24"/>
      <w:lang w:eastAsia="ar-SA"/>
    </w:rPr>
  </w:style>
  <w:style w:type="paragraph" w:styleId="ab">
    <w:name w:val="header"/>
    <w:basedOn w:val="a"/>
    <w:link w:val="ac"/>
    <w:uiPriority w:val="99"/>
    <w:rsid w:val="006A2B6C"/>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6A2B6C"/>
    <w:rPr>
      <w:rFonts w:cs="Times New Roman"/>
    </w:rPr>
  </w:style>
  <w:style w:type="paragraph" w:styleId="ad">
    <w:name w:val="footer"/>
    <w:basedOn w:val="a"/>
    <w:link w:val="ae"/>
    <w:uiPriority w:val="99"/>
    <w:semiHidden/>
    <w:rsid w:val="006A2B6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6A2B6C"/>
    <w:rPr>
      <w:rFonts w:cs="Times New Roman"/>
    </w:rPr>
  </w:style>
  <w:style w:type="paragraph" w:customStyle="1" w:styleId="11">
    <w:name w:val="Текст1"/>
    <w:basedOn w:val="a"/>
    <w:uiPriority w:val="99"/>
    <w:rsid w:val="00D66F15"/>
    <w:pPr>
      <w:suppressAutoHyphens/>
      <w:spacing w:after="0" w:line="240" w:lineRule="auto"/>
    </w:pPr>
    <w:rPr>
      <w:rFonts w:ascii="Courier New" w:hAnsi="Courier New"/>
      <w:sz w:val="20"/>
      <w:szCs w:val="20"/>
      <w:lang w:eastAsia="ar-SA"/>
    </w:rPr>
  </w:style>
  <w:style w:type="paragraph" w:customStyle="1" w:styleId="Default">
    <w:name w:val="Default"/>
    <w:rsid w:val="00801AC5"/>
    <w:pPr>
      <w:autoSpaceDE w:val="0"/>
      <w:autoSpaceDN w:val="0"/>
      <w:adjustRightInd w:val="0"/>
    </w:pPr>
    <w:rPr>
      <w:rFonts w:ascii="Times New Roman" w:hAnsi="Times New Roman"/>
      <w:color w:val="000000"/>
      <w:sz w:val="24"/>
      <w:szCs w:val="24"/>
    </w:rPr>
  </w:style>
  <w:style w:type="paragraph" w:styleId="af">
    <w:name w:val="List Paragraph"/>
    <w:aliases w:val="Абзац списка основной"/>
    <w:basedOn w:val="a"/>
    <w:link w:val="af0"/>
    <w:uiPriority w:val="34"/>
    <w:qFormat/>
    <w:rsid w:val="00801AC5"/>
    <w:pPr>
      <w:spacing w:after="0" w:line="240" w:lineRule="auto"/>
      <w:ind w:left="720"/>
      <w:contextualSpacing/>
    </w:pPr>
    <w:rPr>
      <w:rFonts w:ascii="Times New Roman" w:hAnsi="Times New Roman"/>
      <w:sz w:val="28"/>
      <w:szCs w:val="28"/>
    </w:rPr>
  </w:style>
  <w:style w:type="paragraph" w:customStyle="1" w:styleId="22">
    <w:name w:val="Основной текст 22"/>
    <w:basedOn w:val="a"/>
    <w:rsid w:val="005C574C"/>
    <w:pPr>
      <w:suppressAutoHyphens/>
      <w:autoSpaceDE w:val="0"/>
      <w:spacing w:after="120" w:line="480" w:lineRule="auto"/>
    </w:pPr>
    <w:rPr>
      <w:rFonts w:ascii="Times New Roman" w:hAnsi="Times New Roman"/>
      <w:sz w:val="20"/>
      <w:szCs w:val="20"/>
      <w:lang w:eastAsia="ar-SA"/>
    </w:rPr>
  </w:style>
  <w:style w:type="paragraph" w:customStyle="1" w:styleId="af1">
    <w:name w:val="Последний абзац"/>
    <w:basedOn w:val="22"/>
    <w:link w:val="af2"/>
    <w:qFormat/>
    <w:rsid w:val="005C574C"/>
    <w:pPr>
      <w:widowControl w:val="0"/>
      <w:spacing w:after="0" w:line="360" w:lineRule="auto"/>
      <w:ind w:firstLine="709"/>
      <w:jc w:val="both"/>
    </w:pPr>
  </w:style>
  <w:style w:type="paragraph" w:styleId="32">
    <w:name w:val="Body Text Indent 3"/>
    <w:basedOn w:val="a"/>
    <w:link w:val="33"/>
    <w:uiPriority w:val="99"/>
    <w:semiHidden/>
    <w:rsid w:val="005C574C"/>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5C574C"/>
    <w:rPr>
      <w:rFonts w:cs="Times New Roman"/>
      <w:sz w:val="16"/>
      <w:szCs w:val="16"/>
    </w:rPr>
  </w:style>
  <w:style w:type="paragraph" w:styleId="2">
    <w:name w:val="Body Text 2"/>
    <w:basedOn w:val="a"/>
    <w:link w:val="20"/>
    <w:uiPriority w:val="99"/>
    <w:semiHidden/>
    <w:rsid w:val="005C574C"/>
    <w:pPr>
      <w:spacing w:after="120" w:line="480" w:lineRule="auto"/>
    </w:pPr>
  </w:style>
  <w:style w:type="character" w:customStyle="1" w:styleId="20">
    <w:name w:val="Основной текст 2 Знак"/>
    <w:basedOn w:val="a0"/>
    <w:link w:val="2"/>
    <w:uiPriority w:val="99"/>
    <w:semiHidden/>
    <w:locked/>
    <w:rsid w:val="005C574C"/>
    <w:rPr>
      <w:rFonts w:cs="Times New Roman"/>
    </w:rPr>
  </w:style>
  <w:style w:type="character" w:customStyle="1" w:styleId="a9">
    <w:name w:val="Без интервала Знак"/>
    <w:basedOn w:val="a0"/>
    <w:link w:val="a8"/>
    <w:uiPriority w:val="99"/>
    <w:locked/>
    <w:rsid w:val="00B23509"/>
    <w:rPr>
      <w:rFonts w:cs="Calibri"/>
      <w:sz w:val="22"/>
      <w:szCs w:val="22"/>
      <w:lang w:val="ru-RU" w:eastAsia="ar-SA" w:bidi="ar-SA"/>
    </w:rPr>
  </w:style>
  <w:style w:type="paragraph" w:styleId="23">
    <w:name w:val="Body Text Indent 2"/>
    <w:basedOn w:val="a"/>
    <w:link w:val="24"/>
    <w:rsid w:val="00B23509"/>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locked/>
    <w:rsid w:val="00B23509"/>
    <w:rPr>
      <w:rFonts w:ascii="Times New Roman" w:hAnsi="Times New Roman" w:cs="Times New Roman"/>
      <w:sz w:val="24"/>
      <w:szCs w:val="24"/>
    </w:rPr>
  </w:style>
  <w:style w:type="character" w:customStyle="1" w:styleId="apple-converted-space">
    <w:name w:val="apple-converted-space"/>
    <w:basedOn w:val="a0"/>
    <w:rsid w:val="00315A34"/>
    <w:rPr>
      <w:rFonts w:cs="Times New Roman"/>
    </w:rPr>
  </w:style>
  <w:style w:type="character" w:styleId="af3">
    <w:name w:val="Hyperlink"/>
    <w:basedOn w:val="a0"/>
    <w:uiPriority w:val="99"/>
    <w:semiHidden/>
    <w:rsid w:val="00315A34"/>
    <w:rPr>
      <w:rFonts w:cs="Times New Roman"/>
      <w:color w:val="0000FF"/>
      <w:u w:val="single"/>
    </w:rPr>
  </w:style>
  <w:style w:type="character" w:styleId="af4">
    <w:name w:val="Emphasis"/>
    <w:basedOn w:val="a0"/>
    <w:uiPriority w:val="99"/>
    <w:qFormat/>
    <w:rsid w:val="000B6A0B"/>
    <w:rPr>
      <w:rFonts w:cs="Times New Roman"/>
      <w:i/>
      <w:iCs/>
    </w:rPr>
  </w:style>
  <w:style w:type="table" w:styleId="af5">
    <w:name w:val="Table Grid"/>
    <w:basedOn w:val="a1"/>
    <w:uiPriority w:val="99"/>
    <w:rsid w:val="00C709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uiPriority w:val="99"/>
    <w:rsid w:val="00C555FA"/>
    <w:pPr>
      <w:spacing w:before="100" w:beforeAutospacing="1" w:after="100" w:afterAutospacing="1" w:line="240" w:lineRule="auto"/>
    </w:pPr>
    <w:rPr>
      <w:rFonts w:ascii="Times New Roman" w:hAnsi="Times New Roman"/>
      <w:sz w:val="24"/>
      <w:szCs w:val="24"/>
    </w:rPr>
  </w:style>
  <w:style w:type="character" w:customStyle="1" w:styleId="af2">
    <w:name w:val="Последний абзац Знак"/>
    <w:link w:val="af1"/>
    <w:locked/>
    <w:rsid w:val="00F14BB0"/>
    <w:rPr>
      <w:rFonts w:ascii="Times New Roman" w:hAnsi="Times New Roman"/>
      <w:sz w:val="20"/>
      <w:lang w:eastAsia="ar-SA" w:bidi="ar-SA"/>
    </w:rPr>
  </w:style>
  <w:style w:type="paragraph" w:customStyle="1" w:styleId="12">
    <w:name w:val="Без интервала1"/>
    <w:link w:val="NoSpacingChar"/>
    <w:uiPriority w:val="99"/>
    <w:rsid w:val="003016D7"/>
    <w:pPr>
      <w:suppressAutoHyphens/>
    </w:pPr>
    <w:rPr>
      <w:rFonts w:cs="Calibri"/>
      <w:lang w:eastAsia="ar-SA"/>
    </w:rPr>
  </w:style>
  <w:style w:type="character" w:customStyle="1" w:styleId="NoSpacingChar">
    <w:name w:val="No Spacing Char"/>
    <w:basedOn w:val="a0"/>
    <w:link w:val="12"/>
    <w:locked/>
    <w:rsid w:val="003016D7"/>
    <w:rPr>
      <w:rFonts w:cs="Calibri"/>
      <w:sz w:val="22"/>
      <w:szCs w:val="22"/>
      <w:lang w:val="ru-RU" w:eastAsia="ar-SA" w:bidi="ar-SA"/>
    </w:rPr>
  </w:style>
  <w:style w:type="paragraph" w:customStyle="1" w:styleId="ConsPlusNonformat">
    <w:name w:val="ConsPlusNonformat"/>
    <w:uiPriority w:val="99"/>
    <w:rsid w:val="003269B2"/>
    <w:pPr>
      <w:autoSpaceDE w:val="0"/>
      <w:autoSpaceDN w:val="0"/>
      <w:adjustRightInd w:val="0"/>
    </w:pPr>
    <w:rPr>
      <w:rFonts w:ascii="Courier New" w:hAnsi="Courier New" w:cs="Courier New"/>
      <w:sz w:val="20"/>
      <w:szCs w:val="20"/>
      <w:lang w:eastAsia="en-US"/>
    </w:rPr>
  </w:style>
  <w:style w:type="paragraph" w:customStyle="1" w:styleId="default0">
    <w:name w:val="default"/>
    <w:basedOn w:val="a"/>
    <w:rsid w:val="0012611C"/>
    <w:pPr>
      <w:autoSpaceDE w:val="0"/>
      <w:autoSpaceDN w:val="0"/>
      <w:spacing w:after="0" w:line="240" w:lineRule="auto"/>
    </w:pPr>
    <w:rPr>
      <w:rFonts w:ascii="Times New Roman" w:eastAsiaTheme="minorHAnsi" w:hAnsi="Times New Roman"/>
      <w:color w:val="000000"/>
      <w:sz w:val="24"/>
      <w:szCs w:val="24"/>
    </w:rPr>
  </w:style>
  <w:style w:type="paragraph" w:customStyle="1" w:styleId="13">
    <w:name w:val="1"/>
    <w:basedOn w:val="a"/>
    <w:rsid w:val="0012611C"/>
    <w:pPr>
      <w:spacing w:after="0" w:line="240" w:lineRule="auto"/>
    </w:pPr>
    <w:rPr>
      <w:rFonts w:eastAsiaTheme="minorHAnsi"/>
    </w:rPr>
  </w:style>
  <w:style w:type="character" w:customStyle="1" w:styleId="af0">
    <w:name w:val="Абзац списка Знак"/>
    <w:aliases w:val="Абзац списка основной Знак"/>
    <w:link w:val="af"/>
    <w:uiPriority w:val="34"/>
    <w:locked/>
    <w:rsid w:val="0053388C"/>
    <w:rPr>
      <w:rFonts w:ascii="Times New Roman" w:hAnsi="Times New Roman"/>
      <w:sz w:val="28"/>
      <w:szCs w:val="28"/>
    </w:rPr>
  </w:style>
  <w:style w:type="paragraph" w:customStyle="1" w:styleId="headertext">
    <w:name w:val="headertext"/>
    <w:basedOn w:val="a"/>
    <w:rsid w:val="00DD189C"/>
    <w:pPr>
      <w:spacing w:before="100" w:beforeAutospacing="1" w:after="100" w:afterAutospacing="1" w:line="240" w:lineRule="auto"/>
    </w:pPr>
    <w:rPr>
      <w:rFonts w:ascii="Times New Roman" w:hAnsi="Times New Roman"/>
      <w:sz w:val="24"/>
      <w:szCs w:val="24"/>
    </w:rPr>
  </w:style>
  <w:style w:type="paragraph" w:styleId="af6">
    <w:name w:val="Block Text"/>
    <w:basedOn w:val="a"/>
    <w:rsid w:val="00C66C0E"/>
    <w:pPr>
      <w:widowControl w:val="0"/>
      <w:spacing w:before="120" w:after="0" w:line="320" w:lineRule="exact"/>
      <w:ind w:left="1540" w:right="1500"/>
      <w:jc w:val="center"/>
    </w:pPr>
    <w:rPr>
      <w:rFonts w:ascii="Times New Roman" w:hAnsi="Times New Roman"/>
      <w:sz w:val="28"/>
      <w:szCs w:val="20"/>
    </w:rPr>
  </w:style>
  <w:style w:type="paragraph" w:styleId="af7">
    <w:name w:val="Plain Text"/>
    <w:basedOn w:val="a"/>
    <w:link w:val="af8"/>
    <w:uiPriority w:val="99"/>
    <w:unhideWhenUsed/>
    <w:rsid w:val="002C6321"/>
    <w:pPr>
      <w:spacing w:after="0" w:line="240" w:lineRule="auto"/>
    </w:pPr>
    <w:rPr>
      <w:rFonts w:eastAsia="Calibri"/>
      <w:szCs w:val="21"/>
      <w:lang w:eastAsia="en-US"/>
    </w:rPr>
  </w:style>
  <w:style w:type="character" w:customStyle="1" w:styleId="af8">
    <w:name w:val="Текст Знак"/>
    <w:basedOn w:val="a0"/>
    <w:link w:val="af7"/>
    <w:uiPriority w:val="99"/>
    <w:rsid w:val="002C6321"/>
    <w:rPr>
      <w:rFonts w:eastAsia="Calibri"/>
      <w:szCs w:val="21"/>
      <w:lang w:eastAsia="en-US"/>
    </w:rPr>
  </w:style>
  <w:style w:type="paragraph" w:customStyle="1" w:styleId="25">
    <w:name w:val="Без интервала2"/>
    <w:rsid w:val="0024199E"/>
  </w:style>
  <w:style w:type="paragraph" w:styleId="af9">
    <w:name w:val="footnote text"/>
    <w:basedOn w:val="a"/>
    <w:link w:val="afa"/>
    <w:uiPriority w:val="99"/>
    <w:semiHidden/>
    <w:unhideWhenUsed/>
    <w:rsid w:val="004837CC"/>
    <w:pPr>
      <w:spacing w:after="0" w:line="240" w:lineRule="auto"/>
    </w:pPr>
    <w:rPr>
      <w:sz w:val="20"/>
      <w:szCs w:val="20"/>
    </w:rPr>
  </w:style>
  <w:style w:type="character" w:customStyle="1" w:styleId="afa">
    <w:name w:val="Текст сноски Знак"/>
    <w:basedOn w:val="a0"/>
    <w:link w:val="af9"/>
    <w:uiPriority w:val="99"/>
    <w:semiHidden/>
    <w:rsid w:val="004837CC"/>
    <w:rPr>
      <w:sz w:val="20"/>
      <w:szCs w:val="20"/>
    </w:rPr>
  </w:style>
  <w:style w:type="character" w:styleId="afb">
    <w:name w:val="footnote reference"/>
    <w:basedOn w:val="a0"/>
    <w:uiPriority w:val="99"/>
    <w:semiHidden/>
    <w:unhideWhenUsed/>
    <w:rsid w:val="004837CC"/>
    <w:rPr>
      <w:vertAlign w:val="superscript"/>
    </w:rPr>
  </w:style>
  <w:style w:type="character" w:customStyle="1" w:styleId="30">
    <w:name w:val="Заголовок 3 Знак"/>
    <w:basedOn w:val="a0"/>
    <w:link w:val="3"/>
    <w:uiPriority w:val="9"/>
    <w:rsid w:val="00377BFC"/>
    <w:rPr>
      <w:rFonts w:ascii="Times New Roman" w:hAnsi="Times New Roman"/>
      <w:b/>
      <w:bCs/>
      <w:sz w:val="27"/>
      <w:szCs w:val="27"/>
    </w:rPr>
  </w:style>
  <w:style w:type="paragraph" w:styleId="afc">
    <w:name w:val="Balloon Text"/>
    <w:basedOn w:val="a"/>
    <w:link w:val="afd"/>
    <w:uiPriority w:val="99"/>
    <w:semiHidden/>
    <w:unhideWhenUsed/>
    <w:rsid w:val="009453E2"/>
    <w:pPr>
      <w:spacing w:after="0" w:line="240" w:lineRule="auto"/>
    </w:pPr>
    <w:rPr>
      <w:rFonts w:ascii="Segoe UI" w:hAnsi="Segoe UI" w:cs="Segoe UI"/>
      <w:sz w:val="18"/>
      <w:szCs w:val="18"/>
    </w:rPr>
  </w:style>
  <w:style w:type="character" w:customStyle="1" w:styleId="afd">
    <w:name w:val="Текст выноски Знак"/>
    <w:basedOn w:val="a0"/>
    <w:link w:val="afc"/>
    <w:uiPriority w:val="99"/>
    <w:semiHidden/>
    <w:rsid w:val="009453E2"/>
    <w:rPr>
      <w:rFonts w:ascii="Segoe UI" w:hAnsi="Segoe UI" w:cs="Segoe UI"/>
      <w:sz w:val="18"/>
      <w:szCs w:val="18"/>
    </w:rPr>
  </w:style>
  <w:style w:type="paragraph" w:customStyle="1" w:styleId="ConsPlusNormal">
    <w:name w:val="ConsPlusNormal"/>
    <w:rsid w:val="001D20CD"/>
    <w:pPr>
      <w:autoSpaceDE w:val="0"/>
      <w:autoSpaceDN w:val="0"/>
      <w:adjustRightInd w:val="0"/>
    </w:pPr>
    <w:rPr>
      <w:rFonts w:ascii="Times New Roman" w:hAnsi="Times New Roman"/>
      <w:sz w:val="28"/>
      <w:szCs w:val="28"/>
    </w:rPr>
  </w:style>
  <w:style w:type="paragraph" w:customStyle="1" w:styleId="ConsPlusTitle">
    <w:name w:val="ConsPlusTitle"/>
    <w:uiPriority w:val="99"/>
    <w:rsid w:val="001D20CD"/>
    <w:pPr>
      <w:widowControl w:val="0"/>
      <w:autoSpaceDE w:val="0"/>
      <w:autoSpaceDN w:val="0"/>
    </w:pPr>
    <w:rPr>
      <w:rFonts w:cs="Calibri"/>
      <w:b/>
      <w:szCs w:val="20"/>
    </w:rPr>
  </w:style>
  <w:style w:type="character" w:customStyle="1" w:styleId="10">
    <w:name w:val="Заголовок 1 Знак"/>
    <w:basedOn w:val="a0"/>
    <w:link w:val="1"/>
    <w:rsid w:val="00E0127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114">
      <w:bodyDiv w:val="1"/>
      <w:marLeft w:val="0"/>
      <w:marRight w:val="0"/>
      <w:marTop w:val="0"/>
      <w:marBottom w:val="0"/>
      <w:divBdr>
        <w:top w:val="none" w:sz="0" w:space="0" w:color="auto"/>
        <w:left w:val="none" w:sz="0" w:space="0" w:color="auto"/>
        <w:bottom w:val="none" w:sz="0" w:space="0" w:color="auto"/>
        <w:right w:val="none" w:sz="0" w:space="0" w:color="auto"/>
      </w:divBdr>
    </w:div>
    <w:div w:id="90899433">
      <w:bodyDiv w:val="1"/>
      <w:marLeft w:val="0"/>
      <w:marRight w:val="0"/>
      <w:marTop w:val="0"/>
      <w:marBottom w:val="0"/>
      <w:divBdr>
        <w:top w:val="none" w:sz="0" w:space="0" w:color="auto"/>
        <w:left w:val="none" w:sz="0" w:space="0" w:color="auto"/>
        <w:bottom w:val="none" w:sz="0" w:space="0" w:color="auto"/>
        <w:right w:val="none" w:sz="0" w:space="0" w:color="auto"/>
      </w:divBdr>
    </w:div>
    <w:div w:id="106630449">
      <w:bodyDiv w:val="1"/>
      <w:marLeft w:val="0"/>
      <w:marRight w:val="0"/>
      <w:marTop w:val="0"/>
      <w:marBottom w:val="0"/>
      <w:divBdr>
        <w:top w:val="none" w:sz="0" w:space="0" w:color="auto"/>
        <w:left w:val="none" w:sz="0" w:space="0" w:color="auto"/>
        <w:bottom w:val="none" w:sz="0" w:space="0" w:color="auto"/>
        <w:right w:val="none" w:sz="0" w:space="0" w:color="auto"/>
      </w:divBdr>
    </w:div>
    <w:div w:id="108084671">
      <w:bodyDiv w:val="1"/>
      <w:marLeft w:val="0"/>
      <w:marRight w:val="0"/>
      <w:marTop w:val="0"/>
      <w:marBottom w:val="0"/>
      <w:divBdr>
        <w:top w:val="none" w:sz="0" w:space="0" w:color="auto"/>
        <w:left w:val="none" w:sz="0" w:space="0" w:color="auto"/>
        <w:bottom w:val="none" w:sz="0" w:space="0" w:color="auto"/>
        <w:right w:val="none" w:sz="0" w:space="0" w:color="auto"/>
      </w:divBdr>
    </w:div>
    <w:div w:id="152114223">
      <w:bodyDiv w:val="1"/>
      <w:marLeft w:val="0"/>
      <w:marRight w:val="0"/>
      <w:marTop w:val="0"/>
      <w:marBottom w:val="0"/>
      <w:divBdr>
        <w:top w:val="none" w:sz="0" w:space="0" w:color="auto"/>
        <w:left w:val="none" w:sz="0" w:space="0" w:color="auto"/>
        <w:bottom w:val="none" w:sz="0" w:space="0" w:color="auto"/>
        <w:right w:val="none" w:sz="0" w:space="0" w:color="auto"/>
      </w:divBdr>
    </w:div>
    <w:div w:id="170486743">
      <w:bodyDiv w:val="1"/>
      <w:marLeft w:val="0"/>
      <w:marRight w:val="0"/>
      <w:marTop w:val="0"/>
      <w:marBottom w:val="0"/>
      <w:divBdr>
        <w:top w:val="none" w:sz="0" w:space="0" w:color="auto"/>
        <w:left w:val="none" w:sz="0" w:space="0" w:color="auto"/>
        <w:bottom w:val="none" w:sz="0" w:space="0" w:color="auto"/>
        <w:right w:val="none" w:sz="0" w:space="0" w:color="auto"/>
      </w:divBdr>
    </w:div>
    <w:div w:id="181745849">
      <w:bodyDiv w:val="1"/>
      <w:marLeft w:val="0"/>
      <w:marRight w:val="0"/>
      <w:marTop w:val="0"/>
      <w:marBottom w:val="0"/>
      <w:divBdr>
        <w:top w:val="none" w:sz="0" w:space="0" w:color="auto"/>
        <w:left w:val="none" w:sz="0" w:space="0" w:color="auto"/>
        <w:bottom w:val="none" w:sz="0" w:space="0" w:color="auto"/>
        <w:right w:val="none" w:sz="0" w:space="0" w:color="auto"/>
      </w:divBdr>
    </w:div>
    <w:div w:id="241258268">
      <w:bodyDiv w:val="1"/>
      <w:marLeft w:val="0"/>
      <w:marRight w:val="0"/>
      <w:marTop w:val="0"/>
      <w:marBottom w:val="0"/>
      <w:divBdr>
        <w:top w:val="none" w:sz="0" w:space="0" w:color="auto"/>
        <w:left w:val="none" w:sz="0" w:space="0" w:color="auto"/>
        <w:bottom w:val="none" w:sz="0" w:space="0" w:color="auto"/>
        <w:right w:val="none" w:sz="0" w:space="0" w:color="auto"/>
      </w:divBdr>
    </w:div>
    <w:div w:id="367489845">
      <w:bodyDiv w:val="1"/>
      <w:marLeft w:val="0"/>
      <w:marRight w:val="0"/>
      <w:marTop w:val="0"/>
      <w:marBottom w:val="0"/>
      <w:divBdr>
        <w:top w:val="none" w:sz="0" w:space="0" w:color="auto"/>
        <w:left w:val="none" w:sz="0" w:space="0" w:color="auto"/>
        <w:bottom w:val="none" w:sz="0" w:space="0" w:color="auto"/>
        <w:right w:val="none" w:sz="0" w:space="0" w:color="auto"/>
      </w:divBdr>
    </w:div>
    <w:div w:id="638268404">
      <w:bodyDiv w:val="1"/>
      <w:marLeft w:val="0"/>
      <w:marRight w:val="0"/>
      <w:marTop w:val="0"/>
      <w:marBottom w:val="0"/>
      <w:divBdr>
        <w:top w:val="none" w:sz="0" w:space="0" w:color="auto"/>
        <w:left w:val="none" w:sz="0" w:space="0" w:color="auto"/>
        <w:bottom w:val="none" w:sz="0" w:space="0" w:color="auto"/>
        <w:right w:val="none" w:sz="0" w:space="0" w:color="auto"/>
      </w:divBdr>
    </w:div>
    <w:div w:id="926884988">
      <w:bodyDiv w:val="1"/>
      <w:marLeft w:val="0"/>
      <w:marRight w:val="0"/>
      <w:marTop w:val="0"/>
      <w:marBottom w:val="0"/>
      <w:divBdr>
        <w:top w:val="none" w:sz="0" w:space="0" w:color="auto"/>
        <w:left w:val="none" w:sz="0" w:space="0" w:color="auto"/>
        <w:bottom w:val="none" w:sz="0" w:space="0" w:color="auto"/>
        <w:right w:val="none" w:sz="0" w:space="0" w:color="auto"/>
      </w:divBdr>
    </w:div>
    <w:div w:id="938490447">
      <w:bodyDiv w:val="1"/>
      <w:marLeft w:val="0"/>
      <w:marRight w:val="0"/>
      <w:marTop w:val="0"/>
      <w:marBottom w:val="0"/>
      <w:divBdr>
        <w:top w:val="none" w:sz="0" w:space="0" w:color="auto"/>
        <w:left w:val="none" w:sz="0" w:space="0" w:color="auto"/>
        <w:bottom w:val="none" w:sz="0" w:space="0" w:color="auto"/>
        <w:right w:val="none" w:sz="0" w:space="0" w:color="auto"/>
      </w:divBdr>
    </w:div>
    <w:div w:id="982539620">
      <w:bodyDiv w:val="1"/>
      <w:marLeft w:val="0"/>
      <w:marRight w:val="0"/>
      <w:marTop w:val="0"/>
      <w:marBottom w:val="0"/>
      <w:divBdr>
        <w:top w:val="none" w:sz="0" w:space="0" w:color="auto"/>
        <w:left w:val="none" w:sz="0" w:space="0" w:color="auto"/>
        <w:bottom w:val="none" w:sz="0" w:space="0" w:color="auto"/>
        <w:right w:val="none" w:sz="0" w:space="0" w:color="auto"/>
      </w:divBdr>
    </w:div>
    <w:div w:id="1101950459">
      <w:bodyDiv w:val="1"/>
      <w:marLeft w:val="0"/>
      <w:marRight w:val="0"/>
      <w:marTop w:val="0"/>
      <w:marBottom w:val="0"/>
      <w:divBdr>
        <w:top w:val="none" w:sz="0" w:space="0" w:color="auto"/>
        <w:left w:val="none" w:sz="0" w:space="0" w:color="auto"/>
        <w:bottom w:val="none" w:sz="0" w:space="0" w:color="auto"/>
        <w:right w:val="none" w:sz="0" w:space="0" w:color="auto"/>
      </w:divBdr>
    </w:div>
    <w:div w:id="1318730446">
      <w:bodyDiv w:val="1"/>
      <w:marLeft w:val="0"/>
      <w:marRight w:val="0"/>
      <w:marTop w:val="0"/>
      <w:marBottom w:val="0"/>
      <w:divBdr>
        <w:top w:val="none" w:sz="0" w:space="0" w:color="auto"/>
        <w:left w:val="none" w:sz="0" w:space="0" w:color="auto"/>
        <w:bottom w:val="none" w:sz="0" w:space="0" w:color="auto"/>
        <w:right w:val="none" w:sz="0" w:space="0" w:color="auto"/>
      </w:divBdr>
    </w:div>
    <w:div w:id="1361319955">
      <w:bodyDiv w:val="1"/>
      <w:marLeft w:val="0"/>
      <w:marRight w:val="0"/>
      <w:marTop w:val="0"/>
      <w:marBottom w:val="0"/>
      <w:divBdr>
        <w:top w:val="none" w:sz="0" w:space="0" w:color="auto"/>
        <w:left w:val="none" w:sz="0" w:space="0" w:color="auto"/>
        <w:bottom w:val="none" w:sz="0" w:space="0" w:color="auto"/>
        <w:right w:val="none" w:sz="0" w:space="0" w:color="auto"/>
      </w:divBdr>
    </w:div>
    <w:div w:id="1409158191">
      <w:bodyDiv w:val="1"/>
      <w:marLeft w:val="0"/>
      <w:marRight w:val="0"/>
      <w:marTop w:val="0"/>
      <w:marBottom w:val="0"/>
      <w:divBdr>
        <w:top w:val="none" w:sz="0" w:space="0" w:color="auto"/>
        <w:left w:val="none" w:sz="0" w:space="0" w:color="auto"/>
        <w:bottom w:val="none" w:sz="0" w:space="0" w:color="auto"/>
        <w:right w:val="none" w:sz="0" w:space="0" w:color="auto"/>
      </w:divBdr>
    </w:div>
    <w:div w:id="1898737832">
      <w:bodyDiv w:val="1"/>
      <w:marLeft w:val="0"/>
      <w:marRight w:val="0"/>
      <w:marTop w:val="0"/>
      <w:marBottom w:val="0"/>
      <w:divBdr>
        <w:top w:val="none" w:sz="0" w:space="0" w:color="auto"/>
        <w:left w:val="none" w:sz="0" w:space="0" w:color="auto"/>
        <w:bottom w:val="none" w:sz="0" w:space="0" w:color="auto"/>
        <w:right w:val="none" w:sz="0" w:space="0" w:color="auto"/>
      </w:divBdr>
    </w:div>
    <w:div w:id="2062051847">
      <w:marLeft w:val="0"/>
      <w:marRight w:val="0"/>
      <w:marTop w:val="0"/>
      <w:marBottom w:val="0"/>
      <w:divBdr>
        <w:top w:val="none" w:sz="0" w:space="0" w:color="auto"/>
        <w:left w:val="none" w:sz="0" w:space="0" w:color="auto"/>
        <w:bottom w:val="none" w:sz="0" w:space="0" w:color="auto"/>
        <w:right w:val="none" w:sz="0" w:space="0" w:color="auto"/>
      </w:divBdr>
    </w:div>
    <w:div w:id="2062051848">
      <w:marLeft w:val="0"/>
      <w:marRight w:val="0"/>
      <w:marTop w:val="0"/>
      <w:marBottom w:val="0"/>
      <w:divBdr>
        <w:top w:val="none" w:sz="0" w:space="0" w:color="auto"/>
        <w:left w:val="none" w:sz="0" w:space="0" w:color="auto"/>
        <w:bottom w:val="none" w:sz="0" w:space="0" w:color="auto"/>
        <w:right w:val="none" w:sz="0" w:space="0" w:color="auto"/>
      </w:divBdr>
    </w:div>
    <w:div w:id="2062051849">
      <w:marLeft w:val="0"/>
      <w:marRight w:val="0"/>
      <w:marTop w:val="0"/>
      <w:marBottom w:val="0"/>
      <w:divBdr>
        <w:top w:val="none" w:sz="0" w:space="0" w:color="auto"/>
        <w:left w:val="none" w:sz="0" w:space="0" w:color="auto"/>
        <w:bottom w:val="none" w:sz="0" w:space="0" w:color="auto"/>
        <w:right w:val="none" w:sz="0" w:space="0" w:color="auto"/>
      </w:divBdr>
    </w:div>
    <w:div w:id="2062051850">
      <w:marLeft w:val="0"/>
      <w:marRight w:val="0"/>
      <w:marTop w:val="0"/>
      <w:marBottom w:val="0"/>
      <w:divBdr>
        <w:top w:val="none" w:sz="0" w:space="0" w:color="auto"/>
        <w:left w:val="none" w:sz="0" w:space="0" w:color="auto"/>
        <w:bottom w:val="none" w:sz="0" w:space="0" w:color="auto"/>
        <w:right w:val="none" w:sz="0" w:space="0" w:color="auto"/>
      </w:divBdr>
    </w:div>
    <w:div w:id="2062051851">
      <w:marLeft w:val="0"/>
      <w:marRight w:val="0"/>
      <w:marTop w:val="0"/>
      <w:marBottom w:val="0"/>
      <w:divBdr>
        <w:top w:val="none" w:sz="0" w:space="0" w:color="auto"/>
        <w:left w:val="none" w:sz="0" w:space="0" w:color="auto"/>
        <w:bottom w:val="none" w:sz="0" w:space="0" w:color="auto"/>
        <w:right w:val="none" w:sz="0" w:space="0" w:color="auto"/>
      </w:divBdr>
    </w:div>
    <w:div w:id="2062051852">
      <w:marLeft w:val="0"/>
      <w:marRight w:val="0"/>
      <w:marTop w:val="0"/>
      <w:marBottom w:val="0"/>
      <w:divBdr>
        <w:top w:val="none" w:sz="0" w:space="0" w:color="auto"/>
        <w:left w:val="none" w:sz="0" w:space="0" w:color="auto"/>
        <w:bottom w:val="none" w:sz="0" w:space="0" w:color="auto"/>
        <w:right w:val="none" w:sz="0" w:space="0" w:color="auto"/>
      </w:divBdr>
    </w:div>
    <w:div w:id="209840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emlin.ru/acts/assignments/orders/661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emlin.ru/acts/assignments/orders/66156" TargetMode="External"/><Relationship Id="rId5" Type="http://schemas.openxmlformats.org/officeDocument/2006/relationships/webSettings" Target="webSettings.xml"/><Relationship Id="rId10" Type="http://schemas.openxmlformats.org/officeDocument/2006/relationships/hyperlink" Target="consultantplus://offline/ref=ADDC444D150169B95CB09AECAD47D5C065B22BCCBC0DF633C76FD23F524962DF3472882A97AEF25477B2DC6B0F586709AC9EBFAEFD1B98DA20B036D6N6z5N" TargetMode="External"/><Relationship Id="rId4" Type="http://schemas.openxmlformats.org/officeDocument/2006/relationships/settings" Target="settings.xml"/><Relationship Id="rId9" Type="http://schemas.openxmlformats.org/officeDocument/2006/relationships/hyperlink" Target="consultantplus://offline/ref=ADDC444D150169B95CB09AECAD47D5C065B22BCCB507F93DCE6C8F355A106EDD337DD73D90E7FE5577B7D86F0107621CBDC6B3AEE20599C53CB234NDz5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1DA1-1770-45AE-A71B-8E513A4C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42</Pages>
  <Words>14428</Words>
  <Characters>82242</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городского округа Тольятти</Company>
  <LinksUpToDate>false</LinksUpToDate>
  <CharactersWithSpaces>96478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dc:creator>
  <cp:lastModifiedBy>Кончева Наталья Валериевна</cp:lastModifiedBy>
  <cp:revision>8</cp:revision>
  <cp:lastPrinted>2021-10-26T09:46:00Z</cp:lastPrinted>
  <dcterms:created xsi:type="dcterms:W3CDTF">2021-10-25T20:02:00Z</dcterms:created>
  <dcterms:modified xsi:type="dcterms:W3CDTF">2021-10-26T09:49:00Z</dcterms:modified>
</cp:coreProperties>
</file>