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5F" w:rsidRPr="004272BD" w:rsidRDefault="0024525F" w:rsidP="003245E7">
      <w:pPr>
        <w:spacing w:after="0"/>
        <w:jc w:val="center"/>
        <w:rPr>
          <w:rFonts w:ascii="Times New Roman" w:hAnsi="Times New Roman"/>
          <w:b/>
          <w:sz w:val="24"/>
          <w:szCs w:val="24"/>
        </w:rPr>
      </w:pPr>
      <w:r w:rsidRPr="004272BD">
        <w:rPr>
          <w:rFonts w:ascii="Times New Roman" w:hAnsi="Times New Roman"/>
          <w:b/>
          <w:sz w:val="24"/>
          <w:szCs w:val="24"/>
        </w:rPr>
        <w:t>Пояснительная записка</w:t>
      </w:r>
      <w:r w:rsidRPr="004272BD">
        <w:rPr>
          <w:rFonts w:ascii="Times New Roman" w:hAnsi="Times New Roman"/>
          <w:b/>
          <w:sz w:val="24"/>
          <w:szCs w:val="24"/>
        </w:rPr>
        <w:br/>
        <w:t>к прогнозу социально – экономического развития городского округ Тольятти на 201</w:t>
      </w:r>
      <w:r w:rsidR="009F367D" w:rsidRPr="004272BD">
        <w:rPr>
          <w:rFonts w:ascii="Times New Roman" w:hAnsi="Times New Roman"/>
          <w:b/>
          <w:sz w:val="24"/>
          <w:szCs w:val="24"/>
        </w:rPr>
        <w:t>9</w:t>
      </w:r>
      <w:r w:rsidRPr="004272BD">
        <w:rPr>
          <w:rFonts w:ascii="Times New Roman" w:hAnsi="Times New Roman"/>
          <w:b/>
          <w:sz w:val="24"/>
          <w:szCs w:val="24"/>
        </w:rPr>
        <w:t xml:space="preserve"> год и плановый период 20</w:t>
      </w:r>
      <w:r w:rsidR="009F367D" w:rsidRPr="004272BD">
        <w:rPr>
          <w:rFonts w:ascii="Times New Roman" w:hAnsi="Times New Roman"/>
          <w:b/>
          <w:sz w:val="24"/>
          <w:szCs w:val="24"/>
        </w:rPr>
        <w:t>20 и</w:t>
      </w:r>
      <w:r w:rsidRPr="004272BD">
        <w:rPr>
          <w:rFonts w:ascii="Times New Roman" w:hAnsi="Times New Roman"/>
          <w:b/>
          <w:sz w:val="24"/>
          <w:szCs w:val="24"/>
        </w:rPr>
        <w:t xml:space="preserve"> 20</w:t>
      </w:r>
      <w:r w:rsidR="00E22255" w:rsidRPr="004272BD">
        <w:rPr>
          <w:rFonts w:ascii="Times New Roman" w:hAnsi="Times New Roman"/>
          <w:b/>
          <w:sz w:val="24"/>
          <w:szCs w:val="24"/>
        </w:rPr>
        <w:t>2</w:t>
      </w:r>
      <w:r w:rsidR="009F367D" w:rsidRPr="004272BD">
        <w:rPr>
          <w:rFonts w:ascii="Times New Roman" w:hAnsi="Times New Roman"/>
          <w:b/>
          <w:sz w:val="24"/>
          <w:szCs w:val="24"/>
        </w:rPr>
        <w:t>1</w:t>
      </w:r>
      <w:r w:rsidR="00E22255" w:rsidRPr="004272BD">
        <w:rPr>
          <w:rFonts w:ascii="Times New Roman" w:hAnsi="Times New Roman"/>
          <w:b/>
          <w:sz w:val="24"/>
          <w:szCs w:val="24"/>
        </w:rPr>
        <w:t xml:space="preserve"> </w:t>
      </w:r>
      <w:r w:rsidRPr="004272BD">
        <w:rPr>
          <w:rFonts w:ascii="Times New Roman" w:hAnsi="Times New Roman"/>
          <w:b/>
          <w:sz w:val="24"/>
          <w:szCs w:val="24"/>
        </w:rPr>
        <w:t>годов</w:t>
      </w:r>
    </w:p>
    <w:p w:rsidR="0024525F" w:rsidRPr="004272BD" w:rsidRDefault="0024525F" w:rsidP="004272BD">
      <w:pPr>
        <w:spacing w:after="0"/>
        <w:ind w:firstLine="709"/>
        <w:jc w:val="both"/>
        <w:rPr>
          <w:rFonts w:ascii="Times New Roman" w:hAnsi="Times New Roman"/>
          <w:sz w:val="24"/>
          <w:szCs w:val="24"/>
        </w:rPr>
      </w:pPr>
    </w:p>
    <w:p w:rsidR="00C317CD" w:rsidRDefault="005A052E" w:rsidP="00E11BE7">
      <w:pPr>
        <w:spacing w:after="0"/>
        <w:ind w:firstLine="709"/>
        <w:jc w:val="both"/>
        <w:rPr>
          <w:rFonts w:ascii="Times New Roman" w:hAnsi="Times New Roman"/>
          <w:sz w:val="24"/>
          <w:szCs w:val="24"/>
        </w:rPr>
      </w:pPr>
      <w:r w:rsidRPr="00C317CD">
        <w:rPr>
          <w:rFonts w:ascii="Times New Roman" w:hAnsi="Times New Roman"/>
          <w:sz w:val="24"/>
          <w:szCs w:val="24"/>
        </w:rPr>
        <w:t>Прогноз социально-экономического развития городского округа Тольятти на 201</w:t>
      </w:r>
      <w:r w:rsidR="009F367D" w:rsidRPr="00C317CD">
        <w:rPr>
          <w:rFonts w:ascii="Times New Roman" w:hAnsi="Times New Roman"/>
          <w:sz w:val="24"/>
          <w:szCs w:val="24"/>
        </w:rPr>
        <w:t>9</w:t>
      </w:r>
      <w:r w:rsidRPr="00C317CD">
        <w:rPr>
          <w:rFonts w:ascii="Times New Roman" w:hAnsi="Times New Roman"/>
          <w:sz w:val="24"/>
          <w:szCs w:val="24"/>
        </w:rPr>
        <w:t xml:space="preserve"> год и плановый период 20</w:t>
      </w:r>
      <w:r w:rsidR="009F367D" w:rsidRPr="00C317CD">
        <w:rPr>
          <w:rFonts w:ascii="Times New Roman" w:hAnsi="Times New Roman"/>
          <w:sz w:val="24"/>
          <w:szCs w:val="24"/>
        </w:rPr>
        <w:t xml:space="preserve">20 и </w:t>
      </w:r>
      <w:r w:rsidRPr="00C317CD">
        <w:rPr>
          <w:rFonts w:ascii="Times New Roman" w:hAnsi="Times New Roman"/>
          <w:sz w:val="24"/>
          <w:szCs w:val="24"/>
        </w:rPr>
        <w:t>202</w:t>
      </w:r>
      <w:r w:rsidR="009F367D" w:rsidRPr="00C317CD">
        <w:rPr>
          <w:rFonts w:ascii="Times New Roman" w:hAnsi="Times New Roman"/>
          <w:sz w:val="24"/>
          <w:szCs w:val="24"/>
        </w:rPr>
        <w:t>1</w:t>
      </w:r>
      <w:r w:rsidRPr="00C317CD">
        <w:rPr>
          <w:rFonts w:ascii="Times New Roman" w:hAnsi="Times New Roman"/>
          <w:sz w:val="24"/>
          <w:szCs w:val="24"/>
        </w:rPr>
        <w:t xml:space="preserve"> годов </w:t>
      </w:r>
      <w:r w:rsidRPr="004272BD">
        <w:rPr>
          <w:rFonts w:ascii="Times New Roman" w:hAnsi="Times New Roman"/>
          <w:sz w:val="24"/>
          <w:szCs w:val="24"/>
        </w:rPr>
        <w:t xml:space="preserve">(далее - Прогноз) </w:t>
      </w:r>
      <w:r w:rsidR="00E11BE7">
        <w:rPr>
          <w:rFonts w:ascii="Times New Roman" w:hAnsi="Times New Roman"/>
          <w:sz w:val="24"/>
          <w:szCs w:val="24"/>
        </w:rPr>
        <w:t>разработан в соответствии с действующим Порядком о Прогнозе на основе</w:t>
      </w:r>
      <w:r w:rsidRPr="00C317CD">
        <w:rPr>
          <w:rFonts w:ascii="Times New Roman" w:hAnsi="Times New Roman"/>
          <w:sz w:val="24"/>
          <w:szCs w:val="24"/>
        </w:rPr>
        <w:t xml:space="preserve"> </w:t>
      </w:r>
      <w:r w:rsidR="0085402B">
        <w:rPr>
          <w:rFonts w:ascii="Times New Roman" w:hAnsi="Times New Roman"/>
          <w:sz w:val="24"/>
          <w:szCs w:val="24"/>
        </w:rPr>
        <w:t>С</w:t>
      </w:r>
      <w:r w:rsidRPr="00C317CD">
        <w:rPr>
          <w:rFonts w:ascii="Times New Roman" w:hAnsi="Times New Roman"/>
          <w:sz w:val="24"/>
          <w:szCs w:val="24"/>
        </w:rPr>
        <w:t xml:space="preserve">ценарных условий </w:t>
      </w:r>
      <w:r w:rsidR="00DC5297" w:rsidRPr="00C317CD">
        <w:rPr>
          <w:rFonts w:ascii="Times New Roman" w:hAnsi="Times New Roman"/>
          <w:sz w:val="24"/>
          <w:szCs w:val="24"/>
        </w:rPr>
        <w:t>социально-экономического развития</w:t>
      </w:r>
      <w:r w:rsidRPr="00C317CD">
        <w:rPr>
          <w:rFonts w:ascii="Times New Roman" w:hAnsi="Times New Roman"/>
          <w:sz w:val="24"/>
          <w:szCs w:val="24"/>
        </w:rPr>
        <w:t xml:space="preserve"> Самарской области</w:t>
      </w:r>
      <w:r w:rsidR="00DC5297" w:rsidRPr="00C317CD">
        <w:rPr>
          <w:rFonts w:ascii="Times New Roman" w:hAnsi="Times New Roman"/>
          <w:sz w:val="24"/>
          <w:szCs w:val="24"/>
        </w:rPr>
        <w:t xml:space="preserve"> на 2019 год и плановый период 2020 и 2021 годов (далее – Сценарные условия</w:t>
      </w:r>
      <w:r w:rsidR="00661209">
        <w:rPr>
          <w:rFonts w:ascii="Times New Roman" w:hAnsi="Times New Roman"/>
          <w:sz w:val="24"/>
          <w:szCs w:val="24"/>
        </w:rPr>
        <w:t>)</w:t>
      </w:r>
      <w:r w:rsidR="0085402B">
        <w:rPr>
          <w:rFonts w:ascii="Times New Roman" w:hAnsi="Times New Roman"/>
          <w:sz w:val="24"/>
          <w:szCs w:val="24"/>
        </w:rPr>
        <w:t>,</w:t>
      </w:r>
      <w:r w:rsidR="00C317CD" w:rsidRPr="00C317CD">
        <w:rPr>
          <w:rFonts w:ascii="Times New Roman" w:hAnsi="Times New Roman"/>
          <w:sz w:val="24"/>
          <w:szCs w:val="24"/>
        </w:rPr>
        <w:t xml:space="preserve"> </w:t>
      </w:r>
      <w:r w:rsidR="004A3EE1">
        <w:rPr>
          <w:rFonts w:ascii="Times New Roman" w:hAnsi="Times New Roman"/>
          <w:sz w:val="24"/>
          <w:szCs w:val="24"/>
        </w:rPr>
        <w:t>разработанных</w:t>
      </w:r>
      <w:r w:rsidR="00E62254">
        <w:rPr>
          <w:rFonts w:ascii="Times New Roman" w:hAnsi="Times New Roman"/>
          <w:sz w:val="24"/>
          <w:szCs w:val="24"/>
        </w:rPr>
        <w:t xml:space="preserve"> Министерством экономического развития и инвестиций Самарской области, </w:t>
      </w:r>
      <w:r w:rsidR="00C317CD">
        <w:rPr>
          <w:rFonts w:ascii="Times New Roman" w:hAnsi="Times New Roman"/>
          <w:sz w:val="24"/>
          <w:szCs w:val="24"/>
        </w:rPr>
        <w:t>с учетом</w:t>
      </w:r>
      <w:r w:rsidR="00C317CD" w:rsidRPr="00C317CD">
        <w:rPr>
          <w:rFonts w:ascii="Times New Roman" w:hAnsi="Times New Roman"/>
          <w:sz w:val="24"/>
          <w:szCs w:val="24"/>
        </w:rPr>
        <w:t xml:space="preserve"> Предварительных итогов социально – экономического развития городского округа Тольятти за 1 полугодие 2018 года и ожидаемы</w:t>
      </w:r>
      <w:r w:rsidR="00C317CD">
        <w:rPr>
          <w:rFonts w:ascii="Times New Roman" w:hAnsi="Times New Roman"/>
          <w:sz w:val="24"/>
          <w:szCs w:val="24"/>
        </w:rPr>
        <w:t>х</w:t>
      </w:r>
      <w:r w:rsidR="00C317CD" w:rsidRPr="00C317CD">
        <w:rPr>
          <w:rFonts w:ascii="Times New Roman" w:hAnsi="Times New Roman"/>
          <w:sz w:val="24"/>
          <w:szCs w:val="24"/>
        </w:rPr>
        <w:t xml:space="preserve"> итог</w:t>
      </w:r>
      <w:r w:rsidR="00C317CD">
        <w:rPr>
          <w:rFonts w:ascii="Times New Roman" w:hAnsi="Times New Roman"/>
          <w:sz w:val="24"/>
          <w:szCs w:val="24"/>
        </w:rPr>
        <w:t>ов</w:t>
      </w:r>
      <w:r w:rsidR="00C317CD" w:rsidRPr="00C317CD">
        <w:rPr>
          <w:rFonts w:ascii="Times New Roman" w:hAnsi="Times New Roman"/>
          <w:sz w:val="24"/>
          <w:szCs w:val="24"/>
        </w:rPr>
        <w:t xml:space="preserve"> социально – экономического развития городского округа Тольятти за 2018 год</w:t>
      </w:r>
      <w:r w:rsidR="00C317CD">
        <w:rPr>
          <w:rFonts w:ascii="Times New Roman" w:hAnsi="Times New Roman"/>
          <w:sz w:val="24"/>
          <w:szCs w:val="24"/>
        </w:rPr>
        <w:t>.</w:t>
      </w:r>
    </w:p>
    <w:p w:rsidR="002C5D86" w:rsidRDefault="005A052E" w:rsidP="00E11BE7">
      <w:pPr>
        <w:spacing w:after="0"/>
        <w:ind w:firstLine="709"/>
        <w:jc w:val="both"/>
        <w:rPr>
          <w:rFonts w:ascii="Times New Roman" w:hAnsi="Times New Roman"/>
          <w:sz w:val="24"/>
          <w:szCs w:val="24"/>
        </w:rPr>
      </w:pPr>
      <w:r w:rsidRPr="009C4424">
        <w:rPr>
          <w:rFonts w:ascii="Times New Roman" w:hAnsi="Times New Roman"/>
          <w:sz w:val="24"/>
          <w:szCs w:val="24"/>
        </w:rPr>
        <w:t xml:space="preserve">Прогноз </w:t>
      </w:r>
      <w:r w:rsidR="002C5D86" w:rsidRPr="009C4424">
        <w:rPr>
          <w:rFonts w:ascii="Times New Roman" w:hAnsi="Times New Roman"/>
          <w:sz w:val="24"/>
          <w:szCs w:val="24"/>
        </w:rPr>
        <w:t xml:space="preserve">разработан </w:t>
      </w:r>
      <w:r w:rsidR="009C4424" w:rsidRPr="009C4424">
        <w:rPr>
          <w:rFonts w:ascii="Times New Roman" w:hAnsi="Times New Roman"/>
          <w:sz w:val="24"/>
          <w:szCs w:val="24"/>
        </w:rPr>
        <w:t>исходя из стратегических задач, сформулированных в</w:t>
      </w:r>
      <w:r w:rsidR="002C5D86" w:rsidRPr="009C4424">
        <w:rPr>
          <w:rFonts w:ascii="Times New Roman" w:hAnsi="Times New Roman"/>
          <w:sz w:val="24"/>
          <w:szCs w:val="24"/>
        </w:rPr>
        <w:t xml:space="preserve"> </w:t>
      </w:r>
      <w:r w:rsidR="009C4424" w:rsidRPr="009C4424">
        <w:rPr>
          <w:rFonts w:ascii="Times New Roman" w:hAnsi="Times New Roman"/>
          <w:sz w:val="24"/>
          <w:szCs w:val="24"/>
        </w:rPr>
        <w:t>Указе</w:t>
      </w:r>
      <w:r w:rsidR="004D4728" w:rsidRPr="009C4424">
        <w:rPr>
          <w:rFonts w:ascii="Times New Roman" w:hAnsi="Times New Roman"/>
          <w:sz w:val="24"/>
          <w:szCs w:val="24"/>
        </w:rPr>
        <w:t xml:space="preserve"> Президента Российской Федерации от 7 мая 2018 года «</w:t>
      </w:r>
      <w:r w:rsidR="004D4728" w:rsidRPr="009C4424">
        <w:rPr>
          <w:rFonts w:ascii="Times New Roman" w:hAnsi="Times New Roman"/>
          <w:bCs/>
          <w:spacing w:val="2"/>
          <w:sz w:val="24"/>
          <w:szCs w:val="24"/>
        </w:rPr>
        <w:t>О национальных целях и стратегических зад</w:t>
      </w:r>
      <w:r w:rsidR="004D4728" w:rsidRPr="004D4728">
        <w:rPr>
          <w:rFonts w:ascii="Times New Roman" w:hAnsi="Times New Roman"/>
          <w:bCs/>
          <w:spacing w:val="2"/>
          <w:sz w:val="24"/>
          <w:szCs w:val="24"/>
        </w:rPr>
        <w:t>ачах развития Российской Федерации на период до 2024 года</w:t>
      </w:r>
      <w:r w:rsidR="004D4728">
        <w:rPr>
          <w:rFonts w:ascii="Times New Roman" w:hAnsi="Times New Roman"/>
          <w:bCs/>
          <w:spacing w:val="2"/>
          <w:sz w:val="24"/>
          <w:szCs w:val="24"/>
        </w:rPr>
        <w:t>»</w:t>
      </w:r>
      <w:r w:rsidR="004D4728" w:rsidRPr="004D4728">
        <w:rPr>
          <w:rFonts w:ascii="Times New Roman" w:hAnsi="Times New Roman"/>
          <w:bCs/>
          <w:spacing w:val="2"/>
          <w:sz w:val="24"/>
          <w:szCs w:val="24"/>
        </w:rPr>
        <w:t>,</w:t>
      </w:r>
      <w:r w:rsidR="004D4728" w:rsidRPr="004D4728">
        <w:rPr>
          <w:rFonts w:ascii="Times New Roman" w:hAnsi="Times New Roman"/>
          <w:sz w:val="24"/>
          <w:szCs w:val="24"/>
        </w:rPr>
        <w:t xml:space="preserve"> </w:t>
      </w:r>
      <w:r w:rsidR="002C5D86" w:rsidRPr="002C5D86">
        <w:rPr>
          <w:rFonts w:ascii="Times New Roman" w:hAnsi="Times New Roman"/>
          <w:sz w:val="24"/>
          <w:szCs w:val="24"/>
        </w:rPr>
        <w:t xml:space="preserve"> Послани</w:t>
      </w:r>
      <w:r w:rsidR="004B779B">
        <w:rPr>
          <w:rFonts w:ascii="Times New Roman" w:hAnsi="Times New Roman"/>
          <w:sz w:val="24"/>
          <w:szCs w:val="24"/>
        </w:rPr>
        <w:t>й</w:t>
      </w:r>
      <w:r w:rsidR="002C5D86" w:rsidRPr="002C5D86">
        <w:rPr>
          <w:rFonts w:ascii="Times New Roman" w:hAnsi="Times New Roman"/>
          <w:sz w:val="24"/>
          <w:szCs w:val="24"/>
        </w:rPr>
        <w:t xml:space="preserve"> Президента Российской Федерации Федеральному Собранию Российской Федерации от 1 марта 2018 </w:t>
      </w:r>
      <w:r w:rsidR="002C5D86" w:rsidRPr="00056809">
        <w:rPr>
          <w:rFonts w:ascii="Times New Roman" w:hAnsi="Times New Roman"/>
          <w:sz w:val="24"/>
          <w:szCs w:val="24"/>
        </w:rPr>
        <w:t>года и Послани</w:t>
      </w:r>
      <w:r w:rsidR="004B779B" w:rsidRPr="00056809">
        <w:rPr>
          <w:rFonts w:ascii="Times New Roman" w:hAnsi="Times New Roman"/>
          <w:sz w:val="24"/>
          <w:szCs w:val="24"/>
        </w:rPr>
        <w:t>й</w:t>
      </w:r>
      <w:r w:rsidR="002C5D86" w:rsidRPr="00056809">
        <w:rPr>
          <w:rFonts w:ascii="Times New Roman" w:hAnsi="Times New Roman"/>
          <w:sz w:val="24"/>
          <w:szCs w:val="24"/>
        </w:rPr>
        <w:t xml:space="preserve"> временно исполняющего обязанности Губернатора Самарской области от 10 апреля 2018 года, документов</w:t>
      </w:r>
      <w:r w:rsidR="002C5D86" w:rsidRPr="002C5D86">
        <w:rPr>
          <w:rFonts w:ascii="Times New Roman" w:hAnsi="Times New Roman"/>
          <w:sz w:val="24"/>
          <w:szCs w:val="24"/>
        </w:rPr>
        <w:t xml:space="preserve"> стратегического планирования</w:t>
      </w:r>
      <w:r w:rsidR="00B94058">
        <w:rPr>
          <w:rFonts w:ascii="Times New Roman" w:hAnsi="Times New Roman"/>
          <w:sz w:val="24"/>
          <w:szCs w:val="24"/>
        </w:rPr>
        <w:t xml:space="preserve">, утвержденных на федеральном, </w:t>
      </w:r>
      <w:r w:rsidR="002C5D86" w:rsidRPr="002C5D86">
        <w:rPr>
          <w:rFonts w:ascii="Times New Roman" w:hAnsi="Times New Roman"/>
          <w:sz w:val="24"/>
          <w:szCs w:val="24"/>
        </w:rPr>
        <w:t xml:space="preserve">региональном </w:t>
      </w:r>
      <w:r w:rsidR="00B94058">
        <w:rPr>
          <w:rFonts w:ascii="Times New Roman" w:hAnsi="Times New Roman"/>
          <w:sz w:val="24"/>
          <w:szCs w:val="24"/>
        </w:rPr>
        <w:t xml:space="preserve">и местном </w:t>
      </w:r>
      <w:r w:rsidR="002C5D86" w:rsidRPr="002C5D86">
        <w:rPr>
          <w:rFonts w:ascii="Times New Roman" w:hAnsi="Times New Roman"/>
          <w:sz w:val="24"/>
          <w:szCs w:val="24"/>
        </w:rPr>
        <w:t>уровне.</w:t>
      </w:r>
    </w:p>
    <w:p w:rsidR="003C2D1F" w:rsidRDefault="005A052E" w:rsidP="00E11BE7">
      <w:pPr>
        <w:spacing w:after="0"/>
        <w:ind w:firstLine="709"/>
        <w:jc w:val="both"/>
        <w:rPr>
          <w:rFonts w:ascii="Times New Roman" w:hAnsi="Times New Roman"/>
          <w:spacing w:val="-2"/>
          <w:sz w:val="24"/>
          <w:szCs w:val="24"/>
        </w:rPr>
      </w:pPr>
      <w:r w:rsidRPr="00B77D3F">
        <w:rPr>
          <w:rFonts w:ascii="Times New Roman" w:hAnsi="Times New Roman"/>
          <w:spacing w:val="-2"/>
          <w:sz w:val="24"/>
          <w:szCs w:val="24"/>
        </w:rPr>
        <w:t xml:space="preserve">Социально-экономическое развитие по </w:t>
      </w:r>
      <w:r w:rsidR="00DC5297" w:rsidRPr="00B77D3F">
        <w:rPr>
          <w:rFonts w:ascii="Times New Roman" w:hAnsi="Times New Roman"/>
          <w:spacing w:val="-2"/>
          <w:sz w:val="24"/>
          <w:szCs w:val="24"/>
        </w:rPr>
        <w:t xml:space="preserve">всем </w:t>
      </w:r>
      <w:r w:rsidRPr="00B77D3F">
        <w:rPr>
          <w:rFonts w:ascii="Times New Roman" w:hAnsi="Times New Roman"/>
          <w:spacing w:val="-2"/>
          <w:sz w:val="24"/>
          <w:szCs w:val="24"/>
        </w:rPr>
        <w:t xml:space="preserve">вариантам прогноза будет происходить в условиях сохранения </w:t>
      </w:r>
      <w:r w:rsidR="003C2D1F" w:rsidRPr="00B77D3F">
        <w:rPr>
          <w:rFonts w:ascii="Times New Roman" w:hAnsi="Times New Roman"/>
          <w:spacing w:val="-2"/>
          <w:sz w:val="24"/>
          <w:szCs w:val="24"/>
        </w:rPr>
        <w:t>действия финансовых и экономических санкций в отношении российской экономики</w:t>
      </w:r>
      <w:r w:rsidR="00B94058" w:rsidRPr="00B77D3F">
        <w:rPr>
          <w:rFonts w:ascii="Times New Roman" w:hAnsi="Times New Roman"/>
          <w:spacing w:val="-2"/>
          <w:sz w:val="24"/>
          <w:szCs w:val="24"/>
        </w:rPr>
        <w:t>, а также</w:t>
      </w:r>
      <w:r w:rsidR="003C2D1F" w:rsidRPr="00B77D3F">
        <w:rPr>
          <w:rFonts w:ascii="Times New Roman" w:hAnsi="Times New Roman"/>
          <w:spacing w:val="-2"/>
          <w:sz w:val="24"/>
          <w:szCs w:val="24"/>
        </w:rPr>
        <w:t xml:space="preserve"> ответных мер на протяжении всего прогнозного периода.</w:t>
      </w:r>
    </w:p>
    <w:p w:rsidR="009E7FEE" w:rsidRDefault="004B779B"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На р</w:t>
      </w:r>
      <w:r w:rsidR="00B94058" w:rsidRPr="00B77D3F">
        <w:rPr>
          <w:rFonts w:ascii="Times New Roman" w:hAnsi="Times New Roman"/>
          <w:spacing w:val="-2"/>
          <w:sz w:val="24"/>
          <w:szCs w:val="24"/>
        </w:rPr>
        <w:t xml:space="preserve">азвитие экономики </w:t>
      </w:r>
      <w:r w:rsidR="00B77D3F" w:rsidRPr="00B77D3F">
        <w:rPr>
          <w:rFonts w:ascii="Times New Roman" w:hAnsi="Times New Roman"/>
          <w:spacing w:val="-2"/>
          <w:sz w:val="24"/>
          <w:szCs w:val="24"/>
        </w:rPr>
        <w:t>города</w:t>
      </w:r>
      <w:r w:rsidR="00B94058" w:rsidRPr="00B77D3F">
        <w:rPr>
          <w:rFonts w:ascii="Times New Roman" w:hAnsi="Times New Roman"/>
          <w:spacing w:val="-2"/>
          <w:sz w:val="24"/>
          <w:szCs w:val="24"/>
        </w:rPr>
        <w:t xml:space="preserve"> </w:t>
      </w:r>
      <w:r>
        <w:rPr>
          <w:rFonts w:ascii="Times New Roman" w:hAnsi="Times New Roman"/>
          <w:spacing w:val="-2"/>
          <w:sz w:val="24"/>
          <w:szCs w:val="24"/>
        </w:rPr>
        <w:t>будут оказывать влияние следующие</w:t>
      </w:r>
      <w:r w:rsidR="00B94058" w:rsidRPr="00B77D3F">
        <w:rPr>
          <w:rFonts w:ascii="Times New Roman" w:hAnsi="Times New Roman"/>
          <w:spacing w:val="-2"/>
          <w:sz w:val="24"/>
          <w:szCs w:val="24"/>
        </w:rPr>
        <w:t xml:space="preserve"> </w:t>
      </w:r>
      <w:r w:rsidR="00B75570">
        <w:rPr>
          <w:rFonts w:ascii="Times New Roman" w:hAnsi="Times New Roman"/>
          <w:spacing w:val="-2"/>
          <w:sz w:val="24"/>
          <w:szCs w:val="24"/>
        </w:rPr>
        <w:t>внешни</w:t>
      </w:r>
      <w:r>
        <w:rPr>
          <w:rFonts w:ascii="Times New Roman" w:hAnsi="Times New Roman"/>
          <w:spacing w:val="-2"/>
          <w:sz w:val="24"/>
          <w:szCs w:val="24"/>
        </w:rPr>
        <w:t>е</w:t>
      </w:r>
      <w:r w:rsidR="00B75570">
        <w:rPr>
          <w:rFonts w:ascii="Times New Roman" w:hAnsi="Times New Roman"/>
          <w:spacing w:val="-2"/>
          <w:sz w:val="24"/>
          <w:szCs w:val="24"/>
        </w:rPr>
        <w:t xml:space="preserve"> </w:t>
      </w:r>
      <w:r w:rsidR="009E7FEE">
        <w:rPr>
          <w:rFonts w:ascii="Times New Roman" w:hAnsi="Times New Roman"/>
          <w:spacing w:val="-2"/>
          <w:sz w:val="24"/>
          <w:szCs w:val="24"/>
        </w:rPr>
        <w:t xml:space="preserve">и внутренние </w:t>
      </w:r>
      <w:r w:rsidR="00B94058" w:rsidRPr="00B77D3F">
        <w:rPr>
          <w:rFonts w:ascii="Times New Roman" w:hAnsi="Times New Roman"/>
          <w:spacing w:val="-2"/>
          <w:sz w:val="24"/>
          <w:szCs w:val="24"/>
        </w:rPr>
        <w:t>фактор</w:t>
      </w:r>
      <w:r>
        <w:rPr>
          <w:rFonts w:ascii="Times New Roman" w:hAnsi="Times New Roman"/>
          <w:spacing w:val="-2"/>
          <w:sz w:val="24"/>
          <w:szCs w:val="24"/>
        </w:rPr>
        <w:t>ы</w:t>
      </w:r>
      <w:r w:rsidR="00B94058" w:rsidRPr="00B77D3F">
        <w:rPr>
          <w:rFonts w:ascii="Times New Roman" w:hAnsi="Times New Roman"/>
          <w:spacing w:val="-2"/>
          <w:sz w:val="24"/>
          <w:szCs w:val="24"/>
        </w:rPr>
        <w:t xml:space="preserve">: </w:t>
      </w:r>
    </w:p>
    <w:p w:rsidR="009E7FEE" w:rsidRDefault="009E7FEE"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B75570" w:rsidRPr="00B75570">
        <w:rPr>
          <w:rFonts w:ascii="Times New Roman" w:hAnsi="Times New Roman"/>
          <w:spacing w:val="-2"/>
          <w:sz w:val="24"/>
          <w:szCs w:val="24"/>
        </w:rPr>
        <w:t xml:space="preserve">состояние </w:t>
      </w:r>
      <w:r w:rsidR="004B779B">
        <w:rPr>
          <w:rFonts w:ascii="Times New Roman" w:hAnsi="Times New Roman"/>
          <w:spacing w:val="-2"/>
          <w:sz w:val="24"/>
          <w:szCs w:val="24"/>
        </w:rPr>
        <w:t xml:space="preserve">мировой и </w:t>
      </w:r>
      <w:r w:rsidR="00B75570" w:rsidRPr="00B75570">
        <w:rPr>
          <w:rFonts w:ascii="Times New Roman" w:hAnsi="Times New Roman"/>
          <w:spacing w:val="-2"/>
          <w:sz w:val="24"/>
          <w:szCs w:val="24"/>
        </w:rPr>
        <w:t>российской экономики и возможны</w:t>
      </w:r>
      <w:r w:rsidR="004B779B">
        <w:rPr>
          <w:rFonts w:ascii="Times New Roman" w:hAnsi="Times New Roman"/>
          <w:spacing w:val="-2"/>
          <w:sz w:val="24"/>
          <w:szCs w:val="24"/>
        </w:rPr>
        <w:t>е</w:t>
      </w:r>
      <w:r w:rsidR="00B75570" w:rsidRPr="00B75570">
        <w:rPr>
          <w:rFonts w:ascii="Times New Roman" w:hAnsi="Times New Roman"/>
          <w:spacing w:val="-2"/>
          <w:sz w:val="24"/>
          <w:szCs w:val="24"/>
        </w:rPr>
        <w:t xml:space="preserve"> геополитически</w:t>
      </w:r>
      <w:r w:rsidR="004B779B">
        <w:rPr>
          <w:rFonts w:ascii="Times New Roman" w:hAnsi="Times New Roman"/>
          <w:spacing w:val="-2"/>
          <w:sz w:val="24"/>
          <w:szCs w:val="24"/>
        </w:rPr>
        <w:t>е</w:t>
      </w:r>
      <w:r w:rsidR="00B75570" w:rsidRPr="00B75570">
        <w:rPr>
          <w:rFonts w:ascii="Times New Roman" w:hAnsi="Times New Roman"/>
          <w:spacing w:val="-2"/>
          <w:sz w:val="24"/>
          <w:szCs w:val="24"/>
        </w:rPr>
        <w:t xml:space="preserve"> риск</w:t>
      </w:r>
      <w:r w:rsidR="004B779B">
        <w:rPr>
          <w:rFonts w:ascii="Times New Roman" w:hAnsi="Times New Roman"/>
          <w:spacing w:val="-2"/>
          <w:sz w:val="24"/>
          <w:szCs w:val="24"/>
        </w:rPr>
        <w:t>и</w:t>
      </w:r>
      <w:r w:rsidR="00B75570" w:rsidRPr="00B75570">
        <w:rPr>
          <w:rFonts w:ascii="Times New Roman" w:hAnsi="Times New Roman"/>
          <w:spacing w:val="-2"/>
          <w:sz w:val="24"/>
          <w:szCs w:val="24"/>
        </w:rPr>
        <w:t xml:space="preserve"> (конъюнктура рынков, динамика обменного курса рубля, внешнеэкономическая, налоговая, бюджетная, кредитно-денежная политика, </w:t>
      </w:r>
      <w:r w:rsidR="00321233" w:rsidRPr="00321233">
        <w:rPr>
          <w:rFonts w:ascii="Times New Roman" w:hAnsi="Times New Roman"/>
          <w:spacing w:val="-2"/>
          <w:sz w:val="24"/>
          <w:szCs w:val="24"/>
        </w:rPr>
        <w:t xml:space="preserve">проводимая на федеральном </w:t>
      </w:r>
      <w:r w:rsidR="00321233">
        <w:rPr>
          <w:rFonts w:ascii="Times New Roman" w:hAnsi="Times New Roman"/>
          <w:spacing w:val="-2"/>
          <w:sz w:val="24"/>
          <w:szCs w:val="24"/>
        </w:rPr>
        <w:t xml:space="preserve">и региональном </w:t>
      </w:r>
      <w:r w:rsidR="00321233" w:rsidRPr="00321233">
        <w:rPr>
          <w:rFonts w:ascii="Times New Roman" w:hAnsi="Times New Roman"/>
          <w:spacing w:val="-2"/>
          <w:sz w:val="24"/>
          <w:szCs w:val="24"/>
        </w:rPr>
        <w:t>уровне</w:t>
      </w:r>
      <w:r w:rsidR="00B75570" w:rsidRPr="00B75570">
        <w:rPr>
          <w:rFonts w:ascii="Times New Roman" w:hAnsi="Times New Roman"/>
          <w:spacing w:val="-2"/>
          <w:sz w:val="24"/>
          <w:szCs w:val="24"/>
        </w:rPr>
        <w:t>)</w:t>
      </w:r>
      <w:r>
        <w:rPr>
          <w:rFonts w:ascii="Times New Roman" w:hAnsi="Times New Roman"/>
          <w:spacing w:val="-2"/>
          <w:sz w:val="24"/>
          <w:szCs w:val="24"/>
        </w:rPr>
        <w:t>;</w:t>
      </w:r>
    </w:p>
    <w:p w:rsidR="009E7FEE" w:rsidRDefault="009E7FEE"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 xml:space="preserve">- </w:t>
      </w:r>
      <w:r w:rsidRPr="00BA10F6">
        <w:rPr>
          <w:rFonts w:ascii="Times New Roman" w:hAnsi="Times New Roman"/>
          <w:spacing w:val="-2"/>
          <w:sz w:val="24"/>
          <w:szCs w:val="24"/>
        </w:rPr>
        <w:t>федеральн</w:t>
      </w:r>
      <w:r>
        <w:rPr>
          <w:rFonts w:ascii="Times New Roman" w:hAnsi="Times New Roman"/>
          <w:spacing w:val="-2"/>
          <w:sz w:val="24"/>
          <w:szCs w:val="24"/>
        </w:rPr>
        <w:t>ая</w:t>
      </w:r>
      <w:r w:rsidRPr="00BA10F6">
        <w:rPr>
          <w:rFonts w:ascii="Times New Roman" w:hAnsi="Times New Roman"/>
          <w:spacing w:val="-2"/>
          <w:sz w:val="24"/>
          <w:szCs w:val="24"/>
        </w:rPr>
        <w:t xml:space="preserve"> и региональн</w:t>
      </w:r>
      <w:r>
        <w:rPr>
          <w:rFonts w:ascii="Times New Roman" w:hAnsi="Times New Roman"/>
          <w:spacing w:val="-2"/>
          <w:sz w:val="24"/>
          <w:szCs w:val="24"/>
        </w:rPr>
        <w:t>ая</w:t>
      </w:r>
      <w:r w:rsidRPr="00BA10F6">
        <w:rPr>
          <w:rFonts w:ascii="Times New Roman" w:hAnsi="Times New Roman"/>
          <w:spacing w:val="-2"/>
          <w:sz w:val="24"/>
          <w:szCs w:val="24"/>
        </w:rPr>
        <w:t xml:space="preserve"> поддержк</w:t>
      </w:r>
      <w:r>
        <w:rPr>
          <w:rFonts w:ascii="Times New Roman" w:hAnsi="Times New Roman"/>
          <w:spacing w:val="-2"/>
          <w:sz w:val="24"/>
          <w:szCs w:val="24"/>
        </w:rPr>
        <w:t>а</w:t>
      </w:r>
      <w:r w:rsidRPr="00BA10F6">
        <w:rPr>
          <w:rFonts w:ascii="Times New Roman" w:hAnsi="Times New Roman"/>
          <w:spacing w:val="-2"/>
          <w:sz w:val="24"/>
          <w:szCs w:val="24"/>
        </w:rPr>
        <w:t>, направлен</w:t>
      </w:r>
      <w:r>
        <w:rPr>
          <w:rFonts w:ascii="Times New Roman" w:hAnsi="Times New Roman"/>
          <w:spacing w:val="-2"/>
          <w:sz w:val="24"/>
          <w:szCs w:val="24"/>
        </w:rPr>
        <w:t>н</w:t>
      </w:r>
      <w:r w:rsidRPr="00BA10F6">
        <w:rPr>
          <w:rFonts w:ascii="Times New Roman" w:hAnsi="Times New Roman"/>
          <w:spacing w:val="-2"/>
          <w:sz w:val="24"/>
          <w:szCs w:val="24"/>
        </w:rPr>
        <w:t>а</w:t>
      </w:r>
      <w:r>
        <w:rPr>
          <w:rFonts w:ascii="Times New Roman" w:hAnsi="Times New Roman"/>
          <w:spacing w:val="-2"/>
          <w:sz w:val="24"/>
          <w:szCs w:val="24"/>
        </w:rPr>
        <w:t>я</w:t>
      </w:r>
      <w:r w:rsidRPr="00BA10F6">
        <w:rPr>
          <w:rFonts w:ascii="Times New Roman" w:hAnsi="Times New Roman"/>
          <w:spacing w:val="-2"/>
          <w:sz w:val="24"/>
          <w:szCs w:val="24"/>
        </w:rPr>
        <w:t xml:space="preserve"> на формирование благоприятных условий для привлечения инвестиций в экономику города и осуществления предпринимательской деятельности</w:t>
      </w:r>
      <w:r>
        <w:rPr>
          <w:rFonts w:ascii="Times New Roman" w:hAnsi="Times New Roman"/>
          <w:spacing w:val="-2"/>
          <w:sz w:val="24"/>
          <w:szCs w:val="24"/>
        </w:rPr>
        <w:t xml:space="preserve">, на </w:t>
      </w:r>
      <w:r w:rsidRPr="00160B3D">
        <w:rPr>
          <w:rFonts w:ascii="Times New Roman" w:hAnsi="Times New Roman"/>
          <w:spacing w:val="-2"/>
          <w:sz w:val="24"/>
          <w:szCs w:val="24"/>
        </w:rPr>
        <w:t>развитие городской среды и благоустройств</w:t>
      </w:r>
      <w:r>
        <w:rPr>
          <w:rFonts w:ascii="Times New Roman" w:hAnsi="Times New Roman"/>
          <w:spacing w:val="-2"/>
          <w:sz w:val="24"/>
          <w:szCs w:val="24"/>
        </w:rPr>
        <w:t>о,</w:t>
      </w:r>
      <w:r w:rsidRPr="00160B3D">
        <w:t xml:space="preserve"> </w:t>
      </w:r>
      <w:r w:rsidRPr="00160B3D">
        <w:rPr>
          <w:rFonts w:ascii="Times New Roman" w:hAnsi="Times New Roman"/>
          <w:spacing w:val="-2"/>
          <w:sz w:val="24"/>
          <w:szCs w:val="24"/>
        </w:rPr>
        <w:t>транспортной инфраструктуры, экологическое развитие и социальн</w:t>
      </w:r>
      <w:r>
        <w:rPr>
          <w:rFonts w:ascii="Times New Roman" w:hAnsi="Times New Roman"/>
          <w:spacing w:val="-2"/>
          <w:sz w:val="24"/>
          <w:szCs w:val="24"/>
        </w:rPr>
        <w:t>ую</w:t>
      </w:r>
      <w:r w:rsidRPr="00160B3D">
        <w:rPr>
          <w:rFonts w:ascii="Times New Roman" w:hAnsi="Times New Roman"/>
          <w:spacing w:val="-2"/>
          <w:sz w:val="24"/>
          <w:szCs w:val="24"/>
        </w:rPr>
        <w:t xml:space="preserve"> поддержк</w:t>
      </w:r>
      <w:r>
        <w:rPr>
          <w:rFonts w:ascii="Times New Roman" w:hAnsi="Times New Roman"/>
          <w:spacing w:val="-2"/>
          <w:sz w:val="24"/>
          <w:szCs w:val="24"/>
        </w:rPr>
        <w:t>у</w:t>
      </w:r>
      <w:r w:rsidRPr="00160B3D">
        <w:rPr>
          <w:rFonts w:ascii="Times New Roman" w:hAnsi="Times New Roman"/>
          <w:spacing w:val="-2"/>
          <w:sz w:val="24"/>
          <w:szCs w:val="24"/>
        </w:rPr>
        <w:t xml:space="preserve"> граждан</w:t>
      </w:r>
      <w:r>
        <w:rPr>
          <w:rFonts w:ascii="Times New Roman" w:hAnsi="Times New Roman"/>
          <w:spacing w:val="-2"/>
          <w:sz w:val="24"/>
          <w:szCs w:val="24"/>
        </w:rPr>
        <w:t>;</w:t>
      </w:r>
    </w:p>
    <w:p w:rsidR="009E7FEE" w:rsidRDefault="009E7FEE"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B94058" w:rsidRPr="00B77D3F">
        <w:rPr>
          <w:rFonts w:ascii="Times New Roman" w:hAnsi="Times New Roman"/>
          <w:spacing w:val="-2"/>
          <w:sz w:val="24"/>
          <w:szCs w:val="24"/>
        </w:rPr>
        <w:t>демографически</w:t>
      </w:r>
      <w:r>
        <w:rPr>
          <w:rFonts w:ascii="Times New Roman" w:hAnsi="Times New Roman"/>
          <w:spacing w:val="-2"/>
          <w:sz w:val="24"/>
          <w:szCs w:val="24"/>
        </w:rPr>
        <w:t>е</w:t>
      </w:r>
      <w:r w:rsidR="00B94058" w:rsidRPr="00B77D3F">
        <w:rPr>
          <w:rFonts w:ascii="Times New Roman" w:hAnsi="Times New Roman"/>
          <w:spacing w:val="-2"/>
          <w:sz w:val="24"/>
          <w:szCs w:val="24"/>
        </w:rPr>
        <w:t xml:space="preserve"> процесс</w:t>
      </w:r>
      <w:r>
        <w:rPr>
          <w:rFonts w:ascii="Times New Roman" w:hAnsi="Times New Roman"/>
          <w:spacing w:val="-2"/>
          <w:sz w:val="24"/>
          <w:szCs w:val="24"/>
        </w:rPr>
        <w:t>ы;</w:t>
      </w:r>
      <w:r w:rsidR="00B94058" w:rsidRPr="00B77D3F">
        <w:rPr>
          <w:rFonts w:ascii="Times New Roman" w:hAnsi="Times New Roman"/>
          <w:spacing w:val="-2"/>
          <w:sz w:val="24"/>
          <w:szCs w:val="24"/>
        </w:rPr>
        <w:t xml:space="preserve"> </w:t>
      </w:r>
    </w:p>
    <w:p w:rsidR="009E7FEE" w:rsidRDefault="009E7FEE"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 xml:space="preserve">- </w:t>
      </w:r>
      <w:r w:rsidR="00B94058" w:rsidRPr="00B77D3F">
        <w:rPr>
          <w:rFonts w:ascii="Times New Roman" w:hAnsi="Times New Roman"/>
          <w:spacing w:val="-2"/>
          <w:sz w:val="24"/>
          <w:szCs w:val="24"/>
        </w:rPr>
        <w:t>урове</w:t>
      </w:r>
      <w:r>
        <w:rPr>
          <w:rFonts w:ascii="Times New Roman" w:hAnsi="Times New Roman"/>
          <w:spacing w:val="-2"/>
          <w:sz w:val="24"/>
          <w:szCs w:val="24"/>
        </w:rPr>
        <w:t>нь</w:t>
      </w:r>
      <w:r w:rsidR="00B94058" w:rsidRPr="00B77D3F">
        <w:rPr>
          <w:rFonts w:ascii="Times New Roman" w:hAnsi="Times New Roman"/>
          <w:spacing w:val="-2"/>
          <w:sz w:val="24"/>
          <w:szCs w:val="24"/>
        </w:rPr>
        <w:t xml:space="preserve"> благосостояния населения и развитие человеческого </w:t>
      </w:r>
      <w:r w:rsidR="00B94058" w:rsidRPr="00B75570">
        <w:rPr>
          <w:rFonts w:ascii="Times New Roman" w:hAnsi="Times New Roman"/>
          <w:spacing w:val="-2"/>
          <w:sz w:val="24"/>
          <w:szCs w:val="24"/>
        </w:rPr>
        <w:t>капитала</w:t>
      </w:r>
      <w:r>
        <w:rPr>
          <w:rFonts w:ascii="Times New Roman" w:hAnsi="Times New Roman"/>
          <w:spacing w:val="-2"/>
          <w:sz w:val="24"/>
          <w:szCs w:val="24"/>
        </w:rPr>
        <w:t>;</w:t>
      </w:r>
    </w:p>
    <w:p w:rsidR="009E7FEE" w:rsidRDefault="009E7FEE" w:rsidP="00E11BE7">
      <w:pPr>
        <w:spacing w:after="0"/>
        <w:ind w:firstLine="709"/>
        <w:jc w:val="both"/>
        <w:rPr>
          <w:rFonts w:ascii="Times New Roman" w:hAnsi="Times New Roman"/>
          <w:spacing w:val="-2"/>
          <w:sz w:val="24"/>
          <w:szCs w:val="24"/>
        </w:rPr>
      </w:pPr>
      <w:r>
        <w:rPr>
          <w:rFonts w:ascii="Times New Roman" w:hAnsi="Times New Roman"/>
          <w:spacing w:val="-2"/>
          <w:sz w:val="24"/>
          <w:szCs w:val="24"/>
        </w:rPr>
        <w:t>- эффективность использования имеющегося потенциала города.</w:t>
      </w:r>
    </w:p>
    <w:p w:rsidR="00160B3D" w:rsidRDefault="00160B3D" w:rsidP="00E11BE7">
      <w:pPr>
        <w:spacing w:after="0"/>
        <w:ind w:firstLine="709"/>
        <w:jc w:val="both"/>
        <w:rPr>
          <w:rFonts w:ascii="Times New Roman" w:hAnsi="Times New Roman"/>
          <w:sz w:val="24"/>
          <w:szCs w:val="24"/>
        </w:rPr>
      </w:pPr>
      <w:r w:rsidRPr="00160B3D">
        <w:rPr>
          <w:rFonts w:ascii="Times New Roman" w:hAnsi="Times New Roman"/>
          <w:sz w:val="24"/>
          <w:szCs w:val="24"/>
        </w:rPr>
        <w:t>Основные параметры прогноза согласно Сценарным условиям разработаны в трех вариантах – консервативном, базовом и целевом.</w:t>
      </w:r>
    </w:p>
    <w:p w:rsidR="009E7FEE" w:rsidRDefault="009E7FEE" w:rsidP="00E11BE7">
      <w:pPr>
        <w:pStyle w:val="a6"/>
        <w:spacing w:after="0"/>
        <w:ind w:firstLine="709"/>
        <w:jc w:val="both"/>
        <w:rPr>
          <w:rFonts w:ascii="Times New Roman" w:hAnsi="Times New Roman" w:cs="Times New Roman"/>
          <w:sz w:val="24"/>
          <w:szCs w:val="24"/>
          <w:shd w:val="clear" w:color="auto" w:fill="FFFFFF"/>
        </w:rPr>
      </w:pPr>
      <w:r w:rsidRPr="009C4424">
        <w:rPr>
          <w:rFonts w:ascii="Times New Roman" w:hAnsi="Times New Roman" w:cs="Times New Roman"/>
          <w:sz w:val="24"/>
          <w:szCs w:val="24"/>
          <w:shd w:val="clear" w:color="auto" w:fill="FFFFFF"/>
        </w:rPr>
        <w:t xml:space="preserve">Все варианты </w:t>
      </w:r>
      <w:r>
        <w:rPr>
          <w:rFonts w:ascii="Times New Roman" w:hAnsi="Times New Roman" w:cs="Times New Roman"/>
          <w:sz w:val="24"/>
          <w:szCs w:val="24"/>
          <w:shd w:val="clear" w:color="auto" w:fill="FFFFFF"/>
        </w:rPr>
        <w:t>базируются на единых целях и приоритетах развития</w:t>
      </w:r>
      <w:r w:rsidRPr="009C4424">
        <w:rPr>
          <w:rFonts w:ascii="Times New Roman" w:hAnsi="Times New Roman" w:cs="Times New Roman"/>
          <w:sz w:val="24"/>
          <w:szCs w:val="24"/>
          <w:shd w:val="clear" w:color="auto" w:fill="FFFFFF"/>
        </w:rPr>
        <w:t xml:space="preserve"> городско</w:t>
      </w:r>
      <w:r>
        <w:rPr>
          <w:rFonts w:ascii="Times New Roman" w:hAnsi="Times New Roman" w:cs="Times New Roman"/>
          <w:sz w:val="24"/>
          <w:szCs w:val="24"/>
          <w:shd w:val="clear" w:color="auto" w:fill="FFFFFF"/>
        </w:rPr>
        <w:t>го округа</w:t>
      </w:r>
      <w:r w:rsidRPr="009C44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Тольятти</w:t>
      </w:r>
      <w:r w:rsidRPr="009C4424">
        <w:rPr>
          <w:rFonts w:ascii="Times New Roman" w:hAnsi="Times New Roman" w:cs="Times New Roman"/>
          <w:sz w:val="24"/>
          <w:szCs w:val="24"/>
          <w:shd w:val="clear" w:color="auto" w:fill="FFFFFF"/>
        </w:rPr>
        <w:t xml:space="preserve">, но ожидаемая степень достижения поставленных задач по </w:t>
      </w:r>
      <w:r>
        <w:rPr>
          <w:rFonts w:ascii="Times New Roman" w:hAnsi="Times New Roman" w:cs="Times New Roman"/>
          <w:sz w:val="24"/>
          <w:szCs w:val="24"/>
          <w:shd w:val="clear" w:color="auto" w:fill="FFFFFF"/>
        </w:rPr>
        <w:t>целевому</w:t>
      </w:r>
      <w:r w:rsidRPr="009C4424">
        <w:rPr>
          <w:rFonts w:ascii="Times New Roman" w:hAnsi="Times New Roman" w:cs="Times New Roman"/>
          <w:sz w:val="24"/>
          <w:szCs w:val="24"/>
          <w:shd w:val="clear" w:color="auto" w:fill="FFFFFF"/>
        </w:rPr>
        <w:t xml:space="preserve"> варианту является более высокой.</w:t>
      </w:r>
    </w:p>
    <w:p w:rsidR="00A017C2" w:rsidRDefault="00A017C2" w:rsidP="00E11BE7">
      <w:pPr>
        <w:tabs>
          <w:tab w:val="left" w:pos="8208"/>
        </w:tabs>
        <w:spacing w:after="0"/>
        <w:ind w:firstLine="709"/>
        <w:jc w:val="both"/>
        <w:rPr>
          <w:rFonts w:ascii="Times New Roman" w:hAnsi="Times New Roman"/>
          <w:sz w:val="24"/>
          <w:szCs w:val="24"/>
        </w:rPr>
      </w:pPr>
      <w:r w:rsidRPr="004272BD">
        <w:rPr>
          <w:rFonts w:ascii="Times New Roman" w:hAnsi="Times New Roman"/>
          <w:sz w:val="24"/>
          <w:szCs w:val="24"/>
        </w:rPr>
        <w:t>Отличия по вариантам состоят в различной степени влияния внешних факторов на экономику города, различной динамикой развития основных отраслей и сфер деятельности, масштабностью и эффективностью государственной поддержки приоритетных направлений со</w:t>
      </w:r>
      <w:r w:rsidR="000A4AC7">
        <w:rPr>
          <w:rFonts w:ascii="Times New Roman" w:hAnsi="Times New Roman"/>
          <w:sz w:val="24"/>
          <w:szCs w:val="24"/>
        </w:rPr>
        <w:t xml:space="preserve">циально-экономического развития </w:t>
      </w:r>
      <w:r w:rsidRPr="004272BD">
        <w:rPr>
          <w:rFonts w:ascii="Times New Roman" w:hAnsi="Times New Roman"/>
          <w:sz w:val="24"/>
          <w:szCs w:val="24"/>
        </w:rPr>
        <w:t>региона</w:t>
      </w:r>
      <w:r w:rsidR="000A4AC7">
        <w:rPr>
          <w:rFonts w:ascii="Times New Roman" w:hAnsi="Times New Roman"/>
          <w:sz w:val="24"/>
          <w:szCs w:val="24"/>
        </w:rPr>
        <w:t xml:space="preserve"> и города</w:t>
      </w:r>
      <w:r w:rsidRPr="004272BD">
        <w:rPr>
          <w:rFonts w:ascii="Times New Roman" w:hAnsi="Times New Roman"/>
          <w:sz w:val="24"/>
          <w:szCs w:val="24"/>
        </w:rPr>
        <w:t>.</w:t>
      </w:r>
    </w:p>
    <w:p w:rsidR="005207FE" w:rsidRPr="007C1E74" w:rsidRDefault="003E507E" w:rsidP="00E11BE7">
      <w:pPr>
        <w:spacing w:after="0"/>
        <w:ind w:firstLine="709"/>
        <w:jc w:val="both"/>
        <w:rPr>
          <w:rFonts w:ascii="Times New Roman" w:hAnsi="Times New Roman"/>
          <w:spacing w:val="-2"/>
          <w:sz w:val="24"/>
          <w:szCs w:val="24"/>
          <w:lang w:eastAsia="ar-SA"/>
        </w:rPr>
      </w:pPr>
      <w:r w:rsidRPr="004272BD">
        <w:rPr>
          <w:rFonts w:ascii="Times New Roman" w:hAnsi="Times New Roman"/>
          <w:b/>
          <w:spacing w:val="-2"/>
          <w:sz w:val="24"/>
          <w:szCs w:val="24"/>
          <w:lang w:eastAsia="ar-SA"/>
        </w:rPr>
        <w:lastRenderedPageBreak/>
        <w:t xml:space="preserve">По первому </w:t>
      </w:r>
      <w:r w:rsidR="00DC5297" w:rsidRPr="004272BD">
        <w:rPr>
          <w:rFonts w:ascii="Times New Roman" w:hAnsi="Times New Roman"/>
          <w:b/>
          <w:spacing w:val="-2"/>
          <w:sz w:val="24"/>
          <w:szCs w:val="24"/>
          <w:lang w:eastAsia="ar-SA"/>
        </w:rPr>
        <w:t xml:space="preserve">(консервативному) </w:t>
      </w:r>
      <w:r w:rsidR="005207FE">
        <w:rPr>
          <w:rFonts w:ascii="Times New Roman" w:hAnsi="Times New Roman"/>
          <w:b/>
          <w:spacing w:val="-2"/>
          <w:sz w:val="24"/>
          <w:szCs w:val="24"/>
          <w:lang w:eastAsia="ar-SA"/>
        </w:rPr>
        <w:t xml:space="preserve">варианту </w:t>
      </w:r>
      <w:r w:rsidR="007C1E74">
        <w:rPr>
          <w:rFonts w:ascii="Times New Roman" w:hAnsi="Times New Roman"/>
          <w:spacing w:val="-2"/>
          <w:sz w:val="24"/>
          <w:szCs w:val="24"/>
          <w:lang w:eastAsia="ar-SA"/>
        </w:rPr>
        <w:t>экономика</w:t>
      </w:r>
      <w:r w:rsidR="007C1E74" w:rsidRPr="007C1E74">
        <w:rPr>
          <w:rFonts w:ascii="Times New Roman" w:hAnsi="Times New Roman"/>
          <w:spacing w:val="-2"/>
          <w:sz w:val="24"/>
          <w:szCs w:val="24"/>
          <w:lang w:eastAsia="ar-SA"/>
        </w:rPr>
        <w:t xml:space="preserve"> городского округа Тольятти </w:t>
      </w:r>
      <w:r w:rsidR="007C1E74">
        <w:rPr>
          <w:rFonts w:ascii="Times New Roman" w:hAnsi="Times New Roman"/>
          <w:spacing w:val="-2"/>
          <w:sz w:val="24"/>
          <w:szCs w:val="24"/>
          <w:lang w:eastAsia="ar-SA"/>
        </w:rPr>
        <w:t xml:space="preserve">будет развиваться </w:t>
      </w:r>
      <w:r w:rsidR="004D4728">
        <w:rPr>
          <w:rFonts w:ascii="Times New Roman" w:hAnsi="Times New Roman"/>
          <w:spacing w:val="-2"/>
          <w:sz w:val="24"/>
          <w:szCs w:val="24"/>
          <w:lang w:eastAsia="ar-SA"/>
        </w:rPr>
        <w:t xml:space="preserve">сдержанными темпами </w:t>
      </w:r>
      <w:r w:rsidR="007C1E74">
        <w:rPr>
          <w:rFonts w:ascii="Times New Roman" w:hAnsi="Times New Roman"/>
          <w:spacing w:val="-2"/>
          <w:sz w:val="24"/>
          <w:szCs w:val="24"/>
          <w:lang w:eastAsia="ar-SA"/>
        </w:rPr>
        <w:t>в условиях</w:t>
      </w:r>
      <w:r w:rsidR="007C1E74" w:rsidRPr="007C1E74">
        <w:rPr>
          <w:rFonts w:ascii="Times New Roman" w:hAnsi="Times New Roman"/>
          <w:spacing w:val="-2"/>
          <w:sz w:val="24"/>
          <w:szCs w:val="24"/>
          <w:lang w:eastAsia="ar-SA"/>
        </w:rPr>
        <w:t xml:space="preserve"> невысокого инвестиционного и потребительского спроса.</w:t>
      </w:r>
    </w:p>
    <w:p w:rsidR="005207FE" w:rsidRDefault="00785820" w:rsidP="00E11BE7">
      <w:pPr>
        <w:spacing w:after="0"/>
        <w:ind w:firstLine="709"/>
        <w:jc w:val="both"/>
        <w:rPr>
          <w:rFonts w:ascii="Times New Roman" w:hAnsi="Times New Roman"/>
          <w:spacing w:val="-2"/>
          <w:sz w:val="24"/>
          <w:szCs w:val="24"/>
          <w:lang w:eastAsia="ar-SA"/>
        </w:rPr>
      </w:pPr>
      <w:r w:rsidRPr="003A1E26">
        <w:rPr>
          <w:rFonts w:ascii="Times New Roman" w:hAnsi="Times New Roman"/>
          <w:b/>
          <w:spacing w:val="-2"/>
          <w:sz w:val="24"/>
          <w:szCs w:val="24"/>
          <w:lang w:eastAsia="ar-SA"/>
        </w:rPr>
        <w:t>Второй (б</w:t>
      </w:r>
      <w:r w:rsidR="005207FE" w:rsidRPr="003A1E26">
        <w:rPr>
          <w:rFonts w:ascii="Times New Roman" w:hAnsi="Times New Roman"/>
          <w:b/>
          <w:spacing w:val="-2"/>
          <w:sz w:val="24"/>
          <w:szCs w:val="24"/>
          <w:lang w:eastAsia="ar-SA"/>
        </w:rPr>
        <w:t>азовый</w:t>
      </w:r>
      <w:r w:rsidRPr="003A1E26">
        <w:rPr>
          <w:rFonts w:ascii="Times New Roman" w:hAnsi="Times New Roman"/>
          <w:b/>
          <w:spacing w:val="-2"/>
          <w:sz w:val="24"/>
          <w:szCs w:val="24"/>
          <w:lang w:eastAsia="ar-SA"/>
        </w:rPr>
        <w:t>)</w:t>
      </w:r>
      <w:r w:rsidR="005207FE" w:rsidRPr="003A1E26">
        <w:rPr>
          <w:rFonts w:ascii="Times New Roman" w:hAnsi="Times New Roman"/>
          <w:b/>
          <w:spacing w:val="-2"/>
          <w:sz w:val="24"/>
          <w:szCs w:val="24"/>
          <w:lang w:eastAsia="ar-SA"/>
        </w:rPr>
        <w:t xml:space="preserve"> вариант</w:t>
      </w:r>
      <w:r w:rsidR="005207FE" w:rsidRPr="003A1E26">
        <w:rPr>
          <w:rFonts w:ascii="Times New Roman" w:hAnsi="Times New Roman"/>
          <w:spacing w:val="-2"/>
          <w:sz w:val="24"/>
          <w:szCs w:val="24"/>
          <w:lang w:eastAsia="ar-SA"/>
        </w:rPr>
        <w:t xml:space="preserve"> предусматривает развитие </w:t>
      </w:r>
      <w:r w:rsidR="003A1E26" w:rsidRPr="003A1E26">
        <w:rPr>
          <w:rFonts w:ascii="Times New Roman" w:hAnsi="Times New Roman"/>
          <w:spacing w:val="-2"/>
          <w:sz w:val="24"/>
          <w:szCs w:val="24"/>
          <w:lang w:eastAsia="ar-SA"/>
        </w:rPr>
        <w:t xml:space="preserve">города в условиях </w:t>
      </w:r>
      <w:r w:rsidR="005207FE" w:rsidRPr="003A1E26">
        <w:rPr>
          <w:rFonts w:ascii="Times New Roman" w:hAnsi="Times New Roman"/>
          <w:spacing w:val="-2"/>
          <w:sz w:val="24"/>
          <w:szCs w:val="24"/>
          <w:lang w:eastAsia="ar-SA"/>
        </w:rPr>
        <w:t>умеренны</w:t>
      </w:r>
      <w:r w:rsidR="003A1E26" w:rsidRPr="003A1E26">
        <w:rPr>
          <w:rFonts w:ascii="Times New Roman" w:hAnsi="Times New Roman"/>
          <w:spacing w:val="-2"/>
          <w:sz w:val="24"/>
          <w:szCs w:val="24"/>
          <w:lang w:eastAsia="ar-SA"/>
        </w:rPr>
        <w:t>х</w:t>
      </w:r>
      <w:r w:rsidR="005207FE" w:rsidRPr="003A1E26">
        <w:rPr>
          <w:rFonts w:ascii="Times New Roman" w:hAnsi="Times New Roman"/>
          <w:spacing w:val="-2"/>
          <w:sz w:val="24"/>
          <w:szCs w:val="24"/>
          <w:lang w:eastAsia="ar-SA"/>
        </w:rPr>
        <w:t xml:space="preserve"> темп</w:t>
      </w:r>
      <w:r w:rsidR="003A1E26" w:rsidRPr="003A1E26">
        <w:rPr>
          <w:rFonts w:ascii="Times New Roman" w:hAnsi="Times New Roman"/>
          <w:spacing w:val="-2"/>
          <w:sz w:val="24"/>
          <w:szCs w:val="24"/>
          <w:lang w:eastAsia="ar-SA"/>
        </w:rPr>
        <w:t>ов роста основных секторов экономики</w:t>
      </w:r>
      <w:r w:rsidR="005207FE" w:rsidRPr="003A1E26">
        <w:rPr>
          <w:rFonts w:ascii="Times New Roman" w:hAnsi="Times New Roman"/>
          <w:spacing w:val="-2"/>
          <w:sz w:val="24"/>
          <w:szCs w:val="24"/>
          <w:lang w:eastAsia="ar-SA"/>
        </w:rPr>
        <w:t>.</w:t>
      </w:r>
    </w:p>
    <w:p w:rsidR="00C77C58" w:rsidRPr="004272BD" w:rsidRDefault="00160B3D" w:rsidP="00E11BE7">
      <w:pPr>
        <w:pStyle w:val="af1"/>
        <w:spacing w:line="276" w:lineRule="auto"/>
        <w:rPr>
          <w:sz w:val="24"/>
          <w:szCs w:val="24"/>
          <w:shd w:val="clear" w:color="auto" w:fill="FFFFFF"/>
        </w:rPr>
      </w:pPr>
      <w:r w:rsidRPr="00160B3D">
        <w:rPr>
          <w:b/>
          <w:sz w:val="24"/>
          <w:szCs w:val="24"/>
          <w:shd w:val="clear" w:color="auto" w:fill="FFFFFF"/>
        </w:rPr>
        <w:t>Третий (ц</w:t>
      </w:r>
      <w:r w:rsidR="00C77C58" w:rsidRPr="00160B3D">
        <w:rPr>
          <w:b/>
          <w:sz w:val="24"/>
          <w:szCs w:val="24"/>
          <w:shd w:val="clear" w:color="auto" w:fill="FFFFFF"/>
        </w:rPr>
        <w:t>елевой</w:t>
      </w:r>
      <w:r w:rsidRPr="00160B3D">
        <w:rPr>
          <w:b/>
          <w:sz w:val="24"/>
          <w:szCs w:val="24"/>
          <w:shd w:val="clear" w:color="auto" w:fill="FFFFFF"/>
        </w:rPr>
        <w:t>)</w:t>
      </w:r>
      <w:r w:rsidR="00C77C58" w:rsidRPr="00160B3D">
        <w:rPr>
          <w:b/>
          <w:sz w:val="24"/>
          <w:szCs w:val="24"/>
          <w:shd w:val="clear" w:color="auto" w:fill="FFFFFF"/>
        </w:rPr>
        <w:t xml:space="preserve"> вариант</w:t>
      </w:r>
      <w:r w:rsidR="00C77C58" w:rsidRPr="00160B3D">
        <w:rPr>
          <w:sz w:val="24"/>
          <w:szCs w:val="24"/>
          <w:shd w:val="clear" w:color="auto" w:fill="FFFFFF"/>
        </w:rPr>
        <w:t xml:space="preserve"> развития в отличие от базового варианта характеризуется более высокими темпами экономического роста, обусловленными улучшением бизнес климата, и, как следствие, повышением инвестиционной</w:t>
      </w:r>
      <w:r>
        <w:rPr>
          <w:sz w:val="24"/>
          <w:szCs w:val="24"/>
          <w:shd w:val="clear" w:color="auto" w:fill="FFFFFF"/>
        </w:rPr>
        <w:t xml:space="preserve"> активности</w:t>
      </w:r>
      <w:r w:rsidR="00B75570">
        <w:rPr>
          <w:sz w:val="24"/>
          <w:szCs w:val="24"/>
          <w:shd w:val="clear" w:color="auto" w:fill="FFFFFF"/>
        </w:rPr>
        <w:t>.</w:t>
      </w:r>
    </w:p>
    <w:p w:rsidR="0053388C" w:rsidRPr="005207FE" w:rsidRDefault="0053388C" w:rsidP="00E11BE7">
      <w:pPr>
        <w:pStyle w:val="a6"/>
        <w:spacing w:after="0"/>
        <w:ind w:firstLine="709"/>
        <w:jc w:val="both"/>
        <w:rPr>
          <w:rFonts w:ascii="Times New Roman" w:hAnsi="Times New Roman" w:cs="Times New Roman"/>
          <w:color w:val="1A1A1A"/>
          <w:sz w:val="24"/>
          <w:szCs w:val="24"/>
          <w:shd w:val="clear" w:color="auto" w:fill="FFFFFF"/>
        </w:rPr>
      </w:pPr>
      <w:r w:rsidRPr="005207FE">
        <w:rPr>
          <w:rFonts w:ascii="Times New Roman" w:hAnsi="Times New Roman" w:cs="Times New Roman"/>
          <w:color w:val="1A1A1A"/>
          <w:sz w:val="24"/>
          <w:szCs w:val="24"/>
          <w:shd w:val="clear" w:color="auto" w:fill="FFFFFF"/>
        </w:rPr>
        <w:t>Основными приоритетами с</w:t>
      </w:r>
      <w:r w:rsidR="004D4728">
        <w:rPr>
          <w:rFonts w:ascii="Times New Roman" w:hAnsi="Times New Roman" w:cs="Times New Roman"/>
          <w:color w:val="1A1A1A"/>
          <w:sz w:val="24"/>
          <w:szCs w:val="24"/>
          <w:shd w:val="clear" w:color="auto" w:fill="FFFFFF"/>
        </w:rPr>
        <w:t xml:space="preserve">оциально-экономического развития города </w:t>
      </w:r>
      <w:r w:rsidRPr="005207FE">
        <w:rPr>
          <w:rFonts w:ascii="Times New Roman" w:hAnsi="Times New Roman" w:cs="Times New Roman"/>
          <w:color w:val="1A1A1A"/>
          <w:sz w:val="24"/>
          <w:szCs w:val="24"/>
          <w:shd w:val="clear" w:color="auto" w:fill="FFFFFF"/>
        </w:rPr>
        <w:t xml:space="preserve">в </w:t>
      </w:r>
      <w:r w:rsidR="003F2086" w:rsidRPr="005207FE">
        <w:rPr>
          <w:rFonts w:ascii="Times New Roman" w:hAnsi="Times New Roman" w:cs="Times New Roman"/>
          <w:color w:val="1A1A1A"/>
          <w:sz w:val="24"/>
          <w:szCs w:val="24"/>
          <w:shd w:val="clear" w:color="auto" w:fill="FFFFFF"/>
        </w:rPr>
        <w:t xml:space="preserve">среднесрочном периоде </w:t>
      </w:r>
      <w:r w:rsidRPr="005207FE">
        <w:rPr>
          <w:rFonts w:ascii="Times New Roman" w:hAnsi="Times New Roman" w:cs="Times New Roman"/>
          <w:color w:val="1A1A1A"/>
          <w:sz w:val="24"/>
          <w:szCs w:val="24"/>
          <w:shd w:val="clear" w:color="auto" w:fill="FFFFFF"/>
        </w:rPr>
        <w:t>являются:</w:t>
      </w:r>
    </w:p>
    <w:p w:rsidR="0053388C" w:rsidRDefault="0053388C" w:rsidP="00E11BE7">
      <w:pPr>
        <w:pStyle w:val="af"/>
        <w:numPr>
          <w:ilvl w:val="0"/>
          <w:numId w:val="3"/>
        </w:numPr>
        <w:spacing w:line="276" w:lineRule="auto"/>
        <w:ind w:left="0" w:firstLine="709"/>
        <w:jc w:val="both"/>
        <w:rPr>
          <w:bCs/>
          <w:sz w:val="24"/>
          <w:szCs w:val="24"/>
        </w:rPr>
      </w:pPr>
      <w:r w:rsidRPr="005207FE">
        <w:rPr>
          <w:bCs/>
          <w:sz w:val="24"/>
          <w:szCs w:val="24"/>
        </w:rPr>
        <w:t>- обеспечение устойчивого развития экономики и социальной стабильности;</w:t>
      </w:r>
    </w:p>
    <w:p w:rsidR="00D63161" w:rsidRPr="004D4728" w:rsidRDefault="00D63161" w:rsidP="00E11BE7">
      <w:pPr>
        <w:pStyle w:val="af"/>
        <w:numPr>
          <w:ilvl w:val="0"/>
          <w:numId w:val="3"/>
        </w:numPr>
        <w:spacing w:line="276" w:lineRule="auto"/>
        <w:ind w:left="0" w:firstLine="709"/>
        <w:jc w:val="both"/>
        <w:rPr>
          <w:bCs/>
          <w:sz w:val="24"/>
          <w:szCs w:val="24"/>
        </w:rPr>
      </w:pPr>
      <w:r>
        <w:rPr>
          <w:bCs/>
          <w:sz w:val="24"/>
          <w:szCs w:val="24"/>
        </w:rPr>
        <w:t>-</w:t>
      </w:r>
      <w:r w:rsidRPr="004D4728">
        <w:rPr>
          <w:bCs/>
          <w:sz w:val="24"/>
          <w:szCs w:val="24"/>
        </w:rPr>
        <w:t xml:space="preserve"> обеспечение экологической стабильности, повышение благоустройства территорий, создание комфортных условий для жизни населения;</w:t>
      </w:r>
    </w:p>
    <w:p w:rsidR="0096649B" w:rsidRDefault="0096649B" w:rsidP="00E11BE7">
      <w:pPr>
        <w:pStyle w:val="af"/>
        <w:numPr>
          <w:ilvl w:val="0"/>
          <w:numId w:val="3"/>
        </w:numPr>
        <w:spacing w:line="276" w:lineRule="auto"/>
        <w:ind w:left="0" w:firstLine="709"/>
        <w:jc w:val="both"/>
        <w:rPr>
          <w:bCs/>
          <w:sz w:val="24"/>
          <w:szCs w:val="24"/>
        </w:rPr>
      </w:pPr>
      <w:r>
        <w:rPr>
          <w:bCs/>
          <w:sz w:val="24"/>
          <w:szCs w:val="24"/>
        </w:rPr>
        <w:t xml:space="preserve">- </w:t>
      </w:r>
      <w:r w:rsidRPr="0096649B">
        <w:rPr>
          <w:bCs/>
          <w:sz w:val="24"/>
          <w:szCs w:val="24"/>
        </w:rPr>
        <w:t xml:space="preserve">привлечение средств вышестоящих бюджетов </w:t>
      </w:r>
      <w:r w:rsidR="008E4122">
        <w:rPr>
          <w:bCs/>
          <w:sz w:val="24"/>
          <w:szCs w:val="24"/>
        </w:rPr>
        <w:t xml:space="preserve">на территорию </w:t>
      </w:r>
      <w:r w:rsidRPr="0096649B">
        <w:rPr>
          <w:bCs/>
          <w:sz w:val="24"/>
          <w:szCs w:val="24"/>
        </w:rPr>
        <w:t>городского округа Тольятти</w:t>
      </w:r>
      <w:r w:rsidR="008E4122">
        <w:rPr>
          <w:bCs/>
          <w:sz w:val="24"/>
          <w:szCs w:val="24"/>
        </w:rPr>
        <w:t xml:space="preserve"> в рамках государственных программ и не программных источников</w:t>
      </w:r>
      <w:r>
        <w:rPr>
          <w:bCs/>
          <w:sz w:val="24"/>
          <w:szCs w:val="24"/>
        </w:rPr>
        <w:t>;</w:t>
      </w:r>
    </w:p>
    <w:p w:rsidR="008E4122" w:rsidRDefault="0053388C" w:rsidP="00E11BE7">
      <w:pPr>
        <w:spacing w:after="0"/>
        <w:ind w:firstLine="709"/>
        <w:jc w:val="both"/>
        <w:rPr>
          <w:rFonts w:ascii="Times New Roman" w:hAnsi="Times New Roman"/>
          <w:bCs/>
          <w:sz w:val="24"/>
          <w:szCs w:val="24"/>
        </w:rPr>
      </w:pPr>
      <w:r w:rsidRPr="00D63161">
        <w:rPr>
          <w:rFonts w:ascii="Times New Roman" w:hAnsi="Times New Roman"/>
          <w:bCs/>
          <w:sz w:val="24"/>
          <w:szCs w:val="24"/>
        </w:rPr>
        <w:t xml:space="preserve">- диверсификация </w:t>
      </w:r>
      <w:r w:rsidR="008E4122">
        <w:rPr>
          <w:rFonts w:ascii="Times New Roman" w:hAnsi="Times New Roman"/>
          <w:bCs/>
          <w:sz w:val="24"/>
          <w:szCs w:val="24"/>
        </w:rPr>
        <w:t xml:space="preserve">и модернизация </w:t>
      </w:r>
      <w:r w:rsidRPr="00D63161">
        <w:rPr>
          <w:rFonts w:ascii="Times New Roman" w:hAnsi="Times New Roman"/>
          <w:bCs/>
          <w:sz w:val="24"/>
          <w:szCs w:val="24"/>
        </w:rPr>
        <w:t xml:space="preserve">экономики, </w:t>
      </w:r>
      <w:r w:rsidR="008E4122">
        <w:rPr>
          <w:rFonts w:ascii="Times New Roman" w:hAnsi="Times New Roman"/>
          <w:bCs/>
          <w:sz w:val="24"/>
          <w:szCs w:val="24"/>
        </w:rPr>
        <w:t>повышение производительности труда;</w:t>
      </w:r>
    </w:p>
    <w:p w:rsidR="0053388C" w:rsidRPr="00D63161" w:rsidRDefault="008E4122" w:rsidP="00E11BE7">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2C6321" w:rsidRPr="00D63161">
        <w:rPr>
          <w:rFonts w:ascii="Times New Roman" w:hAnsi="Times New Roman"/>
          <w:bCs/>
          <w:sz w:val="24"/>
          <w:szCs w:val="24"/>
        </w:rPr>
        <w:t>привлечение инвестиций</w:t>
      </w:r>
      <w:r w:rsidR="00D63161">
        <w:rPr>
          <w:rFonts w:ascii="Times New Roman" w:hAnsi="Times New Roman"/>
          <w:bCs/>
          <w:sz w:val="24"/>
          <w:szCs w:val="24"/>
        </w:rPr>
        <w:t>,</w:t>
      </w:r>
      <w:r w:rsidR="002C6321" w:rsidRPr="00D63161">
        <w:rPr>
          <w:rFonts w:ascii="Times New Roman" w:hAnsi="Times New Roman"/>
          <w:bCs/>
          <w:sz w:val="24"/>
          <w:szCs w:val="24"/>
        </w:rPr>
        <w:t xml:space="preserve"> </w:t>
      </w:r>
      <w:r w:rsidR="00D63161" w:rsidRPr="00D63161">
        <w:rPr>
          <w:rFonts w:ascii="Times New Roman" w:hAnsi="Times New Roman"/>
          <w:bCs/>
          <w:sz w:val="24"/>
          <w:szCs w:val="24"/>
        </w:rPr>
        <w:t xml:space="preserve">в том числе в рамках действия механизма </w:t>
      </w:r>
      <w:r w:rsidR="00386117">
        <w:rPr>
          <w:rFonts w:ascii="Times New Roman" w:hAnsi="Times New Roman"/>
          <w:bCs/>
          <w:sz w:val="24"/>
          <w:szCs w:val="24"/>
        </w:rPr>
        <w:t xml:space="preserve">территории опережающего социально-экономического развития (далее - </w:t>
      </w:r>
      <w:r w:rsidR="00D63161" w:rsidRPr="00D63161">
        <w:rPr>
          <w:rFonts w:ascii="Times New Roman" w:hAnsi="Times New Roman"/>
          <w:bCs/>
          <w:sz w:val="24"/>
          <w:szCs w:val="24"/>
        </w:rPr>
        <w:t>ТОСЭР «Тольятти»</w:t>
      </w:r>
      <w:r w:rsidR="00386117">
        <w:rPr>
          <w:rFonts w:ascii="Times New Roman" w:hAnsi="Times New Roman"/>
          <w:bCs/>
          <w:sz w:val="24"/>
          <w:szCs w:val="24"/>
        </w:rPr>
        <w:t>)</w:t>
      </w:r>
      <w:r w:rsidR="00D63161">
        <w:rPr>
          <w:rFonts w:ascii="Times New Roman" w:hAnsi="Times New Roman"/>
          <w:bCs/>
          <w:sz w:val="24"/>
          <w:szCs w:val="24"/>
        </w:rPr>
        <w:t xml:space="preserve">, </w:t>
      </w:r>
      <w:r w:rsidR="002C6321" w:rsidRPr="00D63161">
        <w:rPr>
          <w:rFonts w:ascii="Times New Roman" w:hAnsi="Times New Roman"/>
          <w:bCs/>
          <w:sz w:val="24"/>
          <w:szCs w:val="24"/>
        </w:rPr>
        <w:t>развитие малого и среднего предпринимательства;</w:t>
      </w:r>
    </w:p>
    <w:p w:rsidR="0053388C" w:rsidRPr="00D63161" w:rsidRDefault="0096649B" w:rsidP="00E11BE7">
      <w:pPr>
        <w:pStyle w:val="af"/>
        <w:numPr>
          <w:ilvl w:val="0"/>
          <w:numId w:val="3"/>
        </w:numPr>
        <w:spacing w:line="276" w:lineRule="auto"/>
        <w:ind w:left="0" w:firstLine="709"/>
        <w:jc w:val="both"/>
        <w:rPr>
          <w:bCs/>
          <w:sz w:val="24"/>
          <w:szCs w:val="24"/>
        </w:rPr>
      </w:pPr>
      <w:r w:rsidRPr="0096649B">
        <w:rPr>
          <w:bCs/>
          <w:sz w:val="24"/>
          <w:szCs w:val="24"/>
        </w:rPr>
        <w:t>- активизация инновационной деятельности, стимулирование детского и молодежного инновационного творчества</w:t>
      </w:r>
      <w:r>
        <w:rPr>
          <w:bCs/>
          <w:sz w:val="24"/>
          <w:szCs w:val="24"/>
        </w:rPr>
        <w:t xml:space="preserve">, </w:t>
      </w:r>
      <w:r w:rsidR="002C6321" w:rsidRPr="005207FE">
        <w:rPr>
          <w:sz w:val="24"/>
          <w:szCs w:val="24"/>
        </w:rPr>
        <w:t>наращивание инжинирингового потенциала;</w:t>
      </w:r>
    </w:p>
    <w:p w:rsidR="000D4D5C" w:rsidRDefault="00916EB2" w:rsidP="00E11BE7">
      <w:pPr>
        <w:pStyle w:val="af"/>
        <w:numPr>
          <w:ilvl w:val="0"/>
          <w:numId w:val="3"/>
        </w:numPr>
        <w:spacing w:line="276" w:lineRule="auto"/>
        <w:ind w:left="0" w:firstLine="709"/>
        <w:jc w:val="both"/>
        <w:rPr>
          <w:bCs/>
          <w:sz w:val="24"/>
          <w:szCs w:val="24"/>
        </w:rPr>
      </w:pPr>
      <w:r w:rsidRPr="005207FE">
        <w:rPr>
          <w:bCs/>
          <w:sz w:val="24"/>
          <w:szCs w:val="24"/>
        </w:rPr>
        <w:t>- развитие инфраструктуры (</w:t>
      </w:r>
      <w:r w:rsidR="002C6321" w:rsidRPr="005207FE">
        <w:rPr>
          <w:bCs/>
          <w:sz w:val="24"/>
          <w:szCs w:val="24"/>
        </w:rPr>
        <w:t xml:space="preserve">социальной, </w:t>
      </w:r>
      <w:r w:rsidRPr="005207FE">
        <w:rPr>
          <w:bCs/>
          <w:sz w:val="24"/>
          <w:szCs w:val="24"/>
        </w:rPr>
        <w:t>транспортной, информационно-коммуникационной, энергетической)</w:t>
      </w:r>
      <w:r w:rsidR="000D4D5C" w:rsidRPr="005207FE">
        <w:rPr>
          <w:bCs/>
          <w:sz w:val="24"/>
          <w:szCs w:val="24"/>
        </w:rPr>
        <w:t>;</w:t>
      </w:r>
    </w:p>
    <w:p w:rsidR="004D4728" w:rsidRPr="004D4728" w:rsidRDefault="004D4728" w:rsidP="00E11BE7">
      <w:pPr>
        <w:pStyle w:val="af"/>
        <w:numPr>
          <w:ilvl w:val="0"/>
          <w:numId w:val="3"/>
        </w:numPr>
        <w:spacing w:line="276" w:lineRule="auto"/>
        <w:ind w:left="0" w:firstLine="709"/>
        <w:jc w:val="both"/>
        <w:rPr>
          <w:bCs/>
          <w:sz w:val="24"/>
          <w:szCs w:val="24"/>
        </w:rPr>
      </w:pPr>
      <w:r w:rsidRPr="004D4728">
        <w:rPr>
          <w:bCs/>
          <w:sz w:val="24"/>
          <w:szCs w:val="24"/>
        </w:rPr>
        <w:t>-</w:t>
      </w:r>
      <w:r>
        <w:rPr>
          <w:bCs/>
          <w:sz w:val="24"/>
          <w:szCs w:val="24"/>
        </w:rPr>
        <w:t xml:space="preserve"> развитие цифровой экономики.</w:t>
      </w:r>
    </w:p>
    <w:p w:rsidR="00A017C2" w:rsidRDefault="005207FE" w:rsidP="00E11BE7">
      <w:pPr>
        <w:widowControl w:val="0"/>
        <w:suppressAutoHyphens/>
        <w:spacing w:after="0"/>
        <w:ind w:firstLine="709"/>
        <w:jc w:val="both"/>
        <w:rPr>
          <w:rFonts w:ascii="Times New Roman" w:hAnsi="Times New Roman"/>
          <w:sz w:val="24"/>
          <w:szCs w:val="24"/>
          <w:shd w:val="clear" w:color="auto" w:fill="FFFFFF"/>
          <w:lang w:eastAsia="ar-SA"/>
        </w:rPr>
      </w:pPr>
      <w:r w:rsidRPr="00160B3D">
        <w:rPr>
          <w:rFonts w:ascii="Times New Roman" w:hAnsi="Times New Roman"/>
          <w:sz w:val="24"/>
          <w:szCs w:val="24"/>
          <w:shd w:val="clear" w:color="auto" w:fill="FFFFFF"/>
          <w:lang w:eastAsia="ar-SA"/>
        </w:rPr>
        <w:t xml:space="preserve">Основными ограничениями экономического роста в 2019 – 2021 годах могут стать усиливающаяся конкуренция на мировых и внутренних рынках за привлечение ресурсов, масштабы теневой экономики, риски снижения конкурентоспособности продукции, нехватка финансовых ресурсов, направляемых на инвестирование, в том числе бюджетных, высокая степень износа основных фондов, административные барьеры в инвестиционно-строительной сфере, недостаточная инновационная активность, исчерпание резервов инженерной инфраструктуры, влияющее на сроки и стоимость технологического присоединения к инженерным сетям, </w:t>
      </w:r>
      <w:r w:rsidR="00B77D3F" w:rsidRPr="00B77D3F">
        <w:rPr>
          <w:rFonts w:ascii="Times New Roman" w:hAnsi="Times New Roman"/>
          <w:sz w:val="24"/>
          <w:szCs w:val="24"/>
          <w:shd w:val="clear" w:color="auto" w:fill="FFFFFF"/>
          <w:lang w:eastAsia="ar-SA"/>
        </w:rPr>
        <w:t>зависимость экономики города от состояния крупных промышленных предприятий,</w:t>
      </w:r>
      <w:r w:rsidR="00B77D3F">
        <w:rPr>
          <w:rFonts w:ascii="Times New Roman" w:hAnsi="Times New Roman"/>
          <w:sz w:val="24"/>
          <w:szCs w:val="24"/>
          <w:shd w:val="clear" w:color="auto" w:fill="FFFFFF"/>
          <w:lang w:eastAsia="ar-SA"/>
        </w:rPr>
        <w:t xml:space="preserve"> </w:t>
      </w:r>
      <w:r w:rsidRPr="00160B3D">
        <w:rPr>
          <w:rFonts w:ascii="Times New Roman" w:hAnsi="Times New Roman"/>
          <w:sz w:val="24"/>
          <w:szCs w:val="24"/>
          <w:shd w:val="clear" w:color="auto" w:fill="FFFFFF"/>
          <w:lang w:eastAsia="ar-SA"/>
        </w:rPr>
        <w:t>сокращение численности населения в трудоспособном возрасте, структурные диспропорции профессионально-квалификационного состава работников и др</w:t>
      </w:r>
      <w:r w:rsidR="00B77D3F">
        <w:rPr>
          <w:rFonts w:ascii="Times New Roman" w:hAnsi="Times New Roman"/>
          <w:sz w:val="24"/>
          <w:szCs w:val="24"/>
          <w:shd w:val="clear" w:color="auto" w:fill="FFFFFF"/>
          <w:lang w:eastAsia="ar-SA"/>
        </w:rPr>
        <w:t>угие</w:t>
      </w:r>
      <w:r w:rsidRPr="00160B3D">
        <w:rPr>
          <w:rFonts w:ascii="Times New Roman" w:hAnsi="Times New Roman"/>
          <w:sz w:val="24"/>
          <w:szCs w:val="24"/>
          <w:shd w:val="clear" w:color="auto" w:fill="FFFFFF"/>
          <w:lang w:eastAsia="ar-SA"/>
        </w:rPr>
        <w:t xml:space="preserve"> факторы.</w:t>
      </w:r>
    </w:p>
    <w:p w:rsidR="00FF63F4" w:rsidRPr="004272BD" w:rsidRDefault="00FF63F4" w:rsidP="00E11BE7">
      <w:pPr>
        <w:pStyle w:val="a6"/>
        <w:spacing w:after="0"/>
        <w:ind w:firstLine="709"/>
        <w:jc w:val="both"/>
        <w:rPr>
          <w:rFonts w:ascii="Times New Roman" w:hAnsi="Times New Roman" w:cs="Times New Roman"/>
          <w:sz w:val="24"/>
          <w:szCs w:val="24"/>
          <w:lang w:eastAsia="ru-RU"/>
        </w:rPr>
      </w:pPr>
      <w:r>
        <w:rPr>
          <w:rFonts w:ascii="Times New Roman" w:hAnsi="Times New Roman"/>
          <w:sz w:val="24"/>
          <w:szCs w:val="24"/>
        </w:rPr>
        <w:t xml:space="preserve">С учетом корректировки основных параметров прогноза социально-экономического развития Самарской области на 2019 год и плановый период 2020 и 2021 годов </w:t>
      </w:r>
      <w:r w:rsidR="00D04E92">
        <w:rPr>
          <w:rFonts w:ascii="Times New Roman" w:hAnsi="Times New Roman"/>
          <w:sz w:val="24"/>
          <w:szCs w:val="24"/>
        </w:rPr>
        <w:t xml:space="preserve">в сторону увеличения относительно Сценарных условий </w:t>
      </w:r>
      <w:r>
        <w:rPr>
          <w:rFonts w:ascii="Times New Roman" w:hAnsi="Times New Roman"/>
          <w:sz w:val="24"/>
          <w:szCs w:val="24"/>
        </w:rPr>
        <w:t xml:space="preserve">(проект постановления </w:t>
      </w:r>
      <w:r w:rsidR="00E11BE7">
        <w:rPr>
          <w:rFonts w:ascii="Times New Roman" w:hAnsi="Times New Roman"/>
          <w:sz w:val="24"/>
          <w:szCs w:val="24"/>
        </w:rPr>
        <w:t xml:space="preserve">Правительства Самарской области </w:t>
      </w:r>
      <w:r w:rsidR="00AE17FE" w:rsidRPr="00AE17FE">
        <w:rPr>
          <w:rFonts w:ascii="Times New Roman" w:hAnsi="Times New Roman"/>
          <w:sz w:val="24"/>
          <w:szCs w:val="24"/>
        </w:rPr>
        <w:t>«Об итогах социально-экономического развития Самарской области за январь – август 2018 года и ожидаемых итогах развития за 2018 год, прогнозе социально-экономического развития Самарской области на 2019 год и плановый период 2020 и 2021 годов»</w:t>
      </w:r>
      <w:r>
        <w:rPr>
          <w:rFonts w:ascii="Times New Roman" w:hAnsi="Times New Roman"/>
          <w:sz w:val="24"/>
          <w:szCs w:val="24"/>
        </w:rPr>
        <w:t xml:space="preserve"> размещен на сайте  Министерства экономического развития и инвестиций Самарской области 17.10.2018), в качестве основного варианта </w:t>
      </w:r>
      <w:r w:rsidRPr="004272BD">
        <w:rPr>
          <w:rFonts w:ascii="Times New Roman" w:hAnsi="Times New Roman" w:cs="Times New Roman"/>
          <w:sz w:val="24"/>
          <w:szCs w:val="24"/>
          <w:lang w:eastAsia="ru-RU"/>
        </w:rPr>
        <w:t xml:space="preserve">для разработки </w:t>
      </w:r>
      <w:r w:rsidRPr="004272BD">
        <w:rPr>
          <w:rFonts w:ascii="Times New Roman" w:hAnsi="Times New Roman" w:cs="Times New Roman"/>
          <w:sz w:val="24"/>
          <w:szCs w:val="24"/>
          <w:lang w:eastAsia="ru-RU"/>
        </w:rPr>
        <w:lastRenderedPageBreak/>
        <w:t xml:space="preserve">параметров бюджета </w:t>
      </w:r>
      <w:r>
        <w:rPr>
          <w:rFonts w:ascii="Times New Roman" w:hAnsi="Times New Roman" w:cs="Times New Roman"/>
          <w:sz w:val="24"/>
          <w:szCs w:val="24"/>
          <w:lang w:eastAsia="ru-RU"/>
        </w:rPr>
        <w:t xml:space="preserve">городского округа Тольятти </w:t>
      </w:r>
      <w:r w:rsidRPr="004272BD">
        <w:rPr>
          <w:rFonts w:ascii="Times New Roman" w:hAnsi="Times New Roman" w:cs="Times New Roman"/>
          <w:sz w:val="24"/>
          <w:szCs w:val="24"/>
          <w:lang w:eastAsia="ru-RU"/>
        </w:rPr>
        <w:t>на 2019 год и плановый период 2020 и 2021 годов</w:t>
      </w:r>
      <w:r>
        <w:rPr>
          <w:rFonts w:ascii="Times New Roman" w:hAnsi="Times New Roman" w:cs="Times New Roman"/>
          <w:sz w:val="24"/>
          <w:szCs w:val="24"/>
          <w:lang w:eastAsia="ru-RU"/>
        </w:rPr>
        <w:t xml:space="preserve"> предлагается целевой вариант Прогноза</w:t>
      </w:r>
      <w:r w:rsidRPr="004272BD">
        <w:rPr>
          <w:rFonts w:ascii="Times New Roman" w:hAnsi="Times New Roman" w:cs="Times New Roman"/>
          <w:sz w:val="24"/>
          <w:szCs w:val="24"/>
          <w:lang w:eastAsia="ru-RU"/>
        </w:rPr>
        <w:t xml:space="preserve">. </w:t>
      </w:r>
    </w:p>
    <w:p w:rsidR="00E62254" w:rsidRPr="005207FE" w:rsidRDefault="00E62254" w:rsidP="004272BD">
      <w:pPr>
        <w:widowControl w:val="0"/>
        <w:suppressAutoHyphens/>
        <w:spacing w:after="0"/>
        <w:ind w:firstLine="709"/>
        <w:jc w:val="both"/>
        <w:rPr>
          <w:rFonts w:ascii="Times New Roman" w:hAnsi="Times New Roman"/>
          <w:sz w:val="24"/>
          <w:szCs w:val="24"/>
          <w:shd w:val="clear" w:color="auto" w:fill="FFFFFF"/>
          <w:lang w:eastAsia="ar-SA"/>
        </w:rPr>
      </w:pPr>
    </w:p>
    <w:p w:rsidR="00D23964" w:rsidRPr="004272BD" w:rsidRDefault="00D23964" w:rsidP="00E62254">
      <w:pPr>
        <w:widowControl w:val="0"/>
        <w:suppressAutoHyphens/>
        <w:spacing w:after="0"/>
        <w:jc w:val="center"/>
        <w:rPr>
          <w:rFonts w:ascii="Times New Roman" w:hAnsi="Times New Roman"/>
          <w:b/>
          <w:sz w:val="24"/>
          <w:szCs w:val="24"/>
          <w:shd w:val="clear" w:color="auto" w:fill="FFFFFF"/>
          <w:lang w:eastAsia="ar-SA"/>
        </w:rPr>
      </w:pPr>
      <w:r w:rsidRPr="004272BD">
        <w:rPr>
          <w:rFonts w:ascii="Times New Roman" w:hAnsi="Times New Roman"/>
          <w:b/>
          <w:sz w:val="24"/>
          <w:szCs w:val="24"/>
          <w:shd w:val="clear" w:color="auto" w:fill="FFFFFF"/>
          <w:lang w:eastAsia="ar-SA"/>
        </w:rPr>
        <w:t>Показатели инфляции</w:t>
      </w:r>
    </w:p>
    <w:p w:rsidR="00D23964" w:rsidRPr="004272BD" w:rsidRDefault="00D23964" w:rsidP="004272BD">
      <w:pPr>
        <w:widowControl w:val="0"/>
        <w:suppressAutoHyphens/>
        <w:spacing w:after="0"/>
        <w:ind w:firstLine="709"/>
        <w:jc w:val="both"/>
        <w:rPr>
          <w:rFonts w:ascii="Times New Roman" w:hAnsi="Times New Roman"/>
          <w:b/>
          <w:sz w:val="24"/>
          <w:szCs w:val="24"/>
          <w:shd w:val="clear" w:color="auto" w:fill="FFFFFF"/>
          <w:lang w:eastAsia="ar-SA"/>
        </w:rPr>
      </w:pPr>
    </w:p>
    <w:p w:rsidR="000B7455" w:rsidRDefault="000B7455" w:rsidP="00E11BE7">
      <w:pPr>
        <w:widowControl w:val="0"/>
        <w:spacing w:after="0"/>
        <w:ind w:firstLine="709"/>
        <w:jc w:val="both"/>
        <w:rPr>
          <w:rFonts w:ascii="Times New Roman" w:hAnsi="Times New Roman"/>
          <w:sz w:val="24"/>
          <w:szCs w:val="24"/>
          <w:shd w:val="clear" w:color="auto" w:fill="FFFFFF"/>
          <w:lang w:eastAsia="ar-SA"/>
        </w:rPr>
      </w:pPr>
      <w:r w:rsidRPr="004272BD">
        <w:rPr>
          <w:rFonts w:ascii="Times New Roman" w:hAnsi="Times New Roman"/>
          <w:sz w:val="24"/>
          <w:szCs w:val="24"/>
          <w:shd w:val="clear" w:color="auto" w:fill="FFFFFF"/>
          <w:lang w:eastAsia="ar-SA"/>
        </w:rPr>
        <w:t xml:space="preserve">Согласно </w:t>
      </w:r>
      <w:r w:rsidR="00AE17FE">
        <w:rPr>
          <w:rFonts w:ascii="Times New Roman" w:hAnsi="Times New Roman"/>
          <w:sz w:val="24"/>
          <w:szCs w:val="24"/>
          <w:shd w:val="clear" w:color="auto" w:fill="FFFFFF"/>
          <w:lang w:eastAsia="ar-SA"/>
        </w:rPr>
        <w:t>Сценарным условиям</w:t>
      </w:r>
      <w:r w:rsidRPr="004272BD">
        <w:rPr>
          <w:rFonts w:ascii="Times New Roman" w:hAnsi="Times New Roman"/>
          <w:sz w:val="24"/>
          <w:szCs w:val="24"/>
          <w:shd w:val="clear" w:color="auto" w:fill="FFFFFF"/>
          <w:lang w:eastAsia="ar-SA"/>
        </w:rPr>
        <w:t xml:space="preserve"> на протяжении всего прогнозного периода по всем трем вариантам прогноза индекс потребительских цен (как среднегодовой, так и декабрь к декабрю) будет стабильно сохраняться на уровне 104 %. </w:t>
      </w:r>
    </w:p>
    <w:p w:rsidR="000B7455" w:rsidRPr="004272BD" w:rsidRDefault="000B7455"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В соответствии с прогнозом роста цен (тарифов), размещенного на сайте Министерства экономического развития Российской Федерации, предельные индексы изменения совокупной платы граждан за коммунальные услуги (без учета услуг по обращению с твердыми коммунальными отходами) составят: </w:t>
      </w:r>
    </w:p>
    <w:p w:rsidR="000B7455" w:rsidRPr="004272BD" w:rsidRDefault="000B7455"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с июля 2019 года – 4,0 %, с июля 2020 года – 4,0 %, с июля 2021 года – 4,0 %.</w:t>
      </w:r>
    </w:p>
    <w:p w:rsidR="000B7455" w:rsidRDefault="000B7455"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Также, прогноз роста цен (тарифов) на коммунальные услуги, размещенного на сайте Министерства энергетики и жилищно-коммунального хозяйства Самарской области указан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1"/>
        <w:gridCol w:w="1793"/>
        <w:gridCol w:w="1701"/>
        <w:gridCol w:w="1701"/>
      </w:tblGrid>
      <w:tr w:rsidR="000B7455" w:rsidRPr="004272BD" w:rsidTr="000B7455">
        <w:trPr>
          <w:trHeight w:val="300"/>
        </w:trPr>
        <w:tc>
          <w:tcPr>
            <w:tcW w:w="4161" w:type="dxa"/>
            <w:noWrap/>
            <w:vAlign w:val="center"/>
          </w:tcPr>
          <w:p w:rsidR="000B7455" w:rsidRPr="004272BD" w:rsidRDefault="000B7455" w:rsidP="00386117">
            <w:pPr>
              <w:spacing w:after="0"/>
              <w:jc w:val="center"/>
              <w:rPr>
                <w:rFonts w:ascii="Times New Roman" w:hAnsi="Times New Roman"/>
                <w:b/>
                <w:sz w:val="24"/>
                <w:szCs w:val="24"/>
              </w:rPr>
            </w:pPr>
            <w:r w:rsidRPr="004272BD">
              <w:rPr>
                <w:rFonts w:ascii="Times New Roman" w:hAnsi="Times New Roman"/>
                <w:b/>
                <w:sz w:val="24"/>
                <w:szCs w:val="24"/>
              </w:rPr>
              <w:t>Период</w:t>
            </w:r>
          </w:p>
        </w:tc>
        <w:tc>
          <w:tcPr>
            <w:tcW w:w="1793" w:type="dxa"/>
            <w:noWrap/>
            <w:vAlign w:val="center"/>
          </w:tcPr>
          <w:p w:rsidR="000B7455" w:rsidRPr="004272BD" w:rsidRDefault="002B7CB9" w:rsidP="004272BD">
            <w:pPr>
              <w:spacing w:after="0"/>
              <w:jc w:val="center"/>
              <w:rPr>
                <w:rFonts w:ascii="Times New Roman" w:hAnsi="Times New Roman"/>
                <w:b/>
                <w:sz w:val="24"/>
                <w:szCs w:val="24"/>
              </w:rPr>
            </w:pPr>
            <w:r w:rsidRPr="004272BD">
              <w:rPr>
                <w:rFonts w:ascii="Times New Roman" w:hAnsi="Times New Roman"/>
                <w:b/>
                <w:sz w:val="24"/>
                <w:szCs w:val="24"/>
              </w:rPr>
              <w:t>2019 год</w:t>
            </w:r>
          </w:p>
        </w:tc>
        <w:tc>
          <w:tcPr>
            <w:tcW w:w="1701" w:type="dxa"/>
            <w:noWrap/>
            <w:vAlign w:val="center"/>
          </w:tcPr>
          <w:p w:rsidR="000B7455" w:rsidRPr="004272BD" w:rsidRDefault="000B7455" w:rsidP="004272BD">
            <w:pPr>
              <w:spacing w:after="0"/>
              <w:jc w:val="center"/>
              <w:rPr>
                <w:rFonts w:ascii="Times New Roman" w:hAnsi="Times New Roman"/>
                <w:b/>
                <w:sz w:val="24"/>
                <w:szCs w:val="24"/>
              </w:rPr>
            </w:pPr>
            <w:r w:rsidRPr="004272BD">
              <w:rPr>
                <w:rFonts w:ascii="Times New Roman" w:hAnsi="Times New Roman"/>
                <w:b/>
                <w:sz w:val="24"/>
                <w:szCs w:val="24"/>
              </w:rPr>
              <w:t>20</w:t>
            </w:r>
            <w:r w:rsidR="002B7CB9" w:rsidRPr="004272BD">
              <w:rPr>
                <w:rFonts w:ascii="Times New Roman" w:hAnsi="Times New Roman"/>
                <w:b/>
                <w:sz w:val="24"/>
                <w:szCs w:val="24"/>
              </w:rPr>
              <w:t>20</w:t>
            </w:r>
            <w:r w:rsidRPr="004272BD">
              <w:rPr>
                <w:rFonts w:ascii="Times New Roman" w:hAnsi="Times New Roman"/>
                <w:b/>
                <w:sz w:val="24"/>
                <w:szCs w:val="24"/>
              </w:rPr>
              <w:t xml:space="preserve"> год</w:t>
            </w:r>
          </w:p>
        </w:tc>
        <w:tc>
          <w:tcPr>
            <w:tcW w:w="1701" w:type="dxa"/>
            <w:noWrap/>
            <w:vAlign w:val="center"/>
          </w:tcPr>
          <w:p w:rsidR="000B7455" w:rsidRPr="004272BD" w:rsidRDefault="002B7CB9" w:rsidP="004272BD">
            <w:pPr>
              <w:spacing w:after="0"/>
              <w:jc w:val="center"/>
              <w:rPr>
                <w:rFonts w:ascii="Times New Roman" w:hAnsi="Times New Roman"/>
                <w:b/>
                <w:sz w:val="24"/>
                <w:szCs w:val="24"/>
              </w:rPr>
            </w:pPr>
            <w:r w:rsidRPr="004272BD">
              <w:rPr>
                <w:rFonts w:ascii="Times New Roman" w:hAnsi="Times New Roman"/>
                <w:b/>
                <w:sz w:val="24"/>
                <w:szCs w:val="24"/>
              </w:rPr>
              <w:t>2021</w:t>
            </w:r>
            <w:r w:rsidR="000B7455" w:rsidRPr="004272BD">
              <w:rPr>
                <w:rFonts w:ascii="Times New Roman" w:hAnsi="Times New Roman"/>
                <w:b/>
                <w:sz w:val="24"/>
                <w:szCs w:val="24"/>
              </w:rPr>
              <w:t xml:space="preserve"> год</w:t>
            </w:r>
          </w:p>
        </w:tc>
      </w:tr>
      <w:tr w:rsidR="000B7455" w:rsidRPr="004272BD" w:rsidTr="000B7455">
        <w:trPr>
          <w:trHeight w:val="300"/>
        </w:trPr>
        <w:tc>
          <w:tcPr>
            <w:tcW w:w="9356" w:type="dxa"/>
            <w:gridSpan w:val="4"/>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Тепловая энергия, %</w:t>
            </w:r>
          </w:p>
        </w:tc>
      </w:tr>
      <w:tr w:rsidR="000B7455" w:rsidRPr="004272BD" w:rsidTr="000B7455">
        <w:trPr>
          <w:trHeight w:val="300"/>
        </w:trPr>
        <w:tc>
          <w:tcPr>
            <w:tcW w:w="4161" w:type="dxa"/>
            <w:vMerge w:val="restart"/>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срок и размеры индексации тарифов</w:t>
            </w:r>
          </w:p>
        </w:tc>
        <w:tc>
          <w:tcPr>
            <w:tcW w:w="1793"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с июля</w:t>
            </w:r>
          </w:p>
        </w:tc>
        <w:tc>
          <w:tcPr>
            <w:tcW w:w="1701"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с июля</w:t>
            </w:r>
          </w:p>
        </w:tc>
        <w:tc>
          <w:tcPr>
            <w:tcW w:w="1701"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с июля</w:t>
            </w:r>
          </w:p>
        </w:tc>
      </w:tr>
      <w:tr w:rsidR="000B7455" w:rsidRPr="004272BD" w:rsidTr="000B7455">
        <w:trPr>
          <w:trHeight w:val="350"/>
        </w:trPr>
        <w:tc>
          <w:tcPr>
            <w:tcW w:w="4161" w:type="dxa"/>
            <w:vMerge/>
            <w:vAlign w:val="center"/>
          </w:tcPr>
          <w:p w:rsidR="000B7455" w:rsidRPr="004272BD" w:rsidRDefault="000B7455" w:rsidP="004272BD">
            <w:pPr>
              <w:spacing w:after="0"/>
              <w:jc w:val="both"/>
              <w:rPr>
                <w:rFonts w:ascii="Times New Roman" w:hAnsi="Times New Roman"/>
                <w:sz w:val="24"/>
                <w:szCs w:val="24"/>
              </w:rPr>
            </w:pPr>
          </w:p>
        </w:tc>
        <w:tc>
          <w:tcPr>
            <w:tcW w:w="1793"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104,0</w:t>
            </w:r>
          </w:p>
        </w:tc>
        <w:tc>
          <w:tcPr>
            <w:tcW w:w="1701"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104,0</w:t>
            </w:r>
          </w:p>
        </w:tc>
        <w:tc>
          <w:tcPr>
            <w:tcW w:w="1701" w:type="dxa"/>
            <w:noWrap/>
            <w:vAlign w:val="center"/>
          </w:tcPr>
          <w:p w:rsidR="000B7455" w:rsidRPr="004272BD" w:rsidRDefault="000B7455" w:rsidP="004272BD">
            <w:pPr>
              <w:spacing w:after="0"/>
              <w:ind w:hanging="16"/>
              <w:jc w:val="center"/>
              <w:rPr>
                <w:rFonts w:ascii="Times New Roman" w:hAnsi="Times New Roman"/>
                <w:sz w:val="24"/>
                <w:szCs w:val="24"/>
              </w:rPr>
            </w:pPr>
            <w:r w:rsidRPr="004272BD">
              <w:rPr>
                <w:rFonts w:ascii="Times New Roman" w:hAnsi="Times New Roman"/>
                <w:sz w:val="24"/>
                <w:szCs w:val="24"/>
              </w:rPr>
              <w:t>104,0</w:t>
            </w:r>
          </w:p>
        </w:tc>
      </w:tr>
      <w:tr w:rsidR="000B7455" w:rsidRPr="004272BD" w:rsidTr="000B7455">
        <w:trPr>
          <w:trHeight w:val="588"/>
        </w:trPr>
        <w:tc>
          <w:tcPr>
            <w:tcW w:w="9356" w:type="dxa"/>
            <w:gridSpan w:val="4"/>
            <w:vAlign w:val="center"/>
          </w:tcPr>
          <w:p w:rsidR="000B7455" w:rsidRPr="004272BD" w:rsidRDefault="000B7455" w:rsidP="004272BD">
            <w:pPr>
              <w:spacing w:after="0"/>
              <w:jc w:val="both"/>
              <w:rPr>
                <w:rFonts w:ascii="Times New Roman" w:hAnsi="Times New Roman"/>
                <w:sz w:val="24"/>
                <w:szCs w:val="24"/>
              </w:rPr>
            </w:pPr>
            <w:r w:rsidRPr="004272BD">
              <w:rPr>
                <w:rFonts w:ascii="Times New Roman" w:hAnsi="Times New Roman"/>
                <w:sz w:val="24"/>
                <w:szCs w:val="24"/>
              </w:rPr>
              <w:t>Водоснабжение, водоотведение, %</w:t>
            </w:r>
          </w:p>
        </w:tc>
      </w:tr>
      <w:tr w:rsidR="000B7455" w:rsidRPr="004272BD" w:rsidTr="000B7455">
        <w:trPr>
          <w:trHeight w:val="243"/>
        </w:trPr>
        <w:tc>
          <w:tcPr>
            <w:tcW w:w="4161" w:type="dxa"/>
            <w:vMerge w:val="restart"/>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срок и размеры индексации тарифов</w:t>
            </w: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с июля</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с июля</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с июля</w:t>
            </w:r>
          </w:p>
        </w:tc>
      </w:tr>
      <w:tr w:rsidR="000B7455" w:rsidRPr="004272BD" w:rsidTr="000B7455">
        <w:trPr>
          <w:trHeight w:val="336"/>
        </w:trPr>
        <w:tc>
          <w:tcPr>
            <w:tcW w:w="4161" w:type="dxa"/>
            <w:vMerge/>
            <w:tcBorders>
              <w:top w:val="nil"/>
            </w:tcBorders>
            <w:vAlign w:val="center"/>
          </w:tcPr>
          <w:p w:rsidR="000B7455" w:rsidRPr="004272BD" w:rsidRDefault="000B7455" w:rsidP="004272BD">
            <w:pPr>
              <w:spacing w:after="0"/>
              <w:jc w:val="both"/>
              <w:rPr>
                <w:rFonts w:ascii="Times New Roman" w:hAnsi="Times New Roman"/>
                <w:sz w:val="24"/>
                <w:szCs w:val="24"/>
              </w:rPr>
            </w:pP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104,0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104,0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104,0</w:t>
            </w:r>
          </w:p>
        </w:tc>
      </w:tr>
      <w:tr w:rsidR="000B7455" w:rsidRPr="004272BD" w:rsidTr="000B7455">
        <w:trPr>
          <w:trHeight w:val="453"/>
        </w:trPr>
        <w:tc>
          <w:tcPr>
            <w:tcW w:w="9356" w:type="dxa"/>
            <w:gridSpan w:val="4"/>
            <w:noWrap/>
            <w:vAlign w:val="center"/>
          </w:tcPr>
          <w:p w:rsidR="000B7455" w:rsidRPr="004272BD" w:rsidRDefault="000B7455" w:rsidP="004272BD">
            <w:pPr>
              <w:spacing w:after="0"/>
              <w:jc w:val="both"/>
              <w:rPr>
                <w:rFonts w:ascii="Times New Roman" w:hAnsi="Times New Roman"/>
                <w:sz w:val="24"/>
                <w:szCs w:val="24"/>
              </w:rPr>
            </w:pPr>
            <w:r w:rsidRPr="004272BD">
              <w:rPr>
                <w:rFonts w:ascii="Times New Roman" w:hAnsi="Times New Roman"/>
                <w:sz w:val="24"/>
                <w:szCs w:val="24"/>
              </w:rPr>
              <w:t>Газ природный (оптовые цены), %</w:t>
            </w:r>
          </w:p>
        </w:tc>
      </w:tr>
      <w:tr w:rsidR="000B7455" w:rsidRPr="004272BD" w:rsidTr="000B7455">
        <w:trPr>
          <w:trHeight w:val="300"/>
        </w:trPr>
        <w:tc>
          <w:tcPr>
            <w:tcW w:w="4161" w:type="dxa"/>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Регулируемые цены для всех категорий потребителей</w:t>
            </w: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103,1</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r>
      <w:tr w:rsidR="000B7455" w:rsidRPr="004272BD" w:rsidTr="000B7455">
        <w:trPr>
          <w:trHeight w:val="300"/>
        </w:trPr>
        <w:tc>
          <w:tcPr>
            <w:tcW w:w="4161" w:type="dxa"/>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для всех категорий потребителей, кроме населения</w:t>
            </w: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103,1</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r>
      <w:tr w:rsidR="000B7455" w:rsidRPr="004272BD" w:rsidTr="000B7455">
        <w:trPr>
          <w:trHeight w:val="300"/>
        </w:trPr>
        <w:tc>
          <w:tcPr>
            <w:tcW w:w="4161" w:type="dxa"/>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для населения</w:t>
            </w: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103,1</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103,0</w:t>
            </w:r>
          </w:p>
        </w:tc>
      </w:tr>
      <w:tr w:rsidR="000B7455" w:rsidRPr="004272BD" w:rsidTr="000B7455">
        <w:trPr>
          <w:trHeight w:val="300"/>
        </w:trPr>
        <w:tc>
          <w:tcPr>
            <w:tcW w:w="9356" w:type="dxa"/>
            <w:gridSpan w:val="4"/>
            <w:noWrap/>
            <w:vAlign w:val="center"/>
          </w:tcPr>
          <w:p w:rsidR="000B7455" w:rsidRPr="004272BD" w:rsidRDefault="000B7455" w:rsidP="004272BD">
            <w:pPr>
              <w:spacing w:after="0"/>
              <w:jc w:val="both"/>
              <w:rPr>
                <w:rFonts w:ascii="Times New Roman" w:hAnsi="Times New Roman"/>
                <w:sz w:val="24"/>
                <w:szCs w:val="24"/>
              </w:rPr>
            </w:pPr>
            <w:r w:rsidRPr="004272BD">
              <w:rPr>
                <w:rFonts w:ascii="Times New Roman" w:hAnsi="Times New Roman"/>
                <w:sz w:val="24"/>
                <w:szCs w:val="24"/>
              </w:rPr>
              <w:t>Электрическая энергия, %</w:t>
            </w:r>
          </w:p>
        </w:tc>
      </w:tr>
      <w:tr w:rsidR="000B7455" w:rsidRPr="004272BD" w:rsidTr="000B7455">
        <w:trPr>
          <w:trHeight w:val="300"/>
        </w:trPr>
        <w:tc>
          <w:tcPr>
            <w:tcW w:w="4161" w:type="dxa"/>
            <w:noWrap/>
            <w:vAlign w:val="center"/>
          </w:tcPr>
          <w:p w:rsidR="000B7455" w:rsidRPr="004272BD" w:rsidRDefault="000B7455" w:rsidP="004272BD">
            <w:pPr>
              <w:spacing w:after="0"/>
              <w:rPr>
                <w:rFonts w:ascii="Times New Roman" w:hAnsi="Times New Roman"/>
                <w:sz w:val="24"/>
                <w:szCs w:val="24"/>
              </w:rPr>
            </w:pPr>
            <w:r w:rsidRPr="004272BD">
              <w:rPr>
                <w:rFonts w:ascii="Times New Roman" w:hAnsi="Times New Roman"/>
                <w:sz w:val="24"/>
                <w:szCs w:val="24"/>
              </w:rPr>
              <w:t>Регулируемые тарифы и рыночных цен, для всех категорий потребителей, исключая население)</w:t>
            </w:r>
          </w:p>
        </w:tc>
        <w:tc>
          <w:tcPr>
            <w:tcW w:w="1793"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105,0-106,9</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104,0-105,0</w:t>
            </w:r>
          </w:p>
        </w:tc>
        <w:tc>
          <w:tcPr>
            <w:tcW w:w="1701" w:type="dxa"/>
            <w:noWrap/>
            <w:vAlign w:val="center"/>
          </w:tcPr>
          <w:p w:rsidR="000B7455" w:rsidRPr="004272BD" w:rsidRDefault="000B7455" w:rsidP="004272BD">
            <w:pPr>
              <w:spacing w:after="0"/>
              <w:jc w:val="center"/>
              <w:rPr>
                <w:rFonts w:ascii="Times New Roman" w:hAnsi="Times New Roman"/>
                <w:sz w:val="24"/>
                <w:szCs w:val="24"/>
              </w:rPr>
            </w:pPr>
            <w:r w:rsidRPr="004272BD">
              <w:rPr>
                <w:rFonts w:ascii="Times New Roman" w:hAnsi="Times New Roman"/>
                <w:sz w:val="24"/>
                <w:szCs w:val="24"/>
              </w:rPr>
              <w:t>104,0-105,0</w:t>
            </w:r>
          </w:p>
        </w:tc>
      </w:tr>
    </w:tbl>
    <w:p w:rsidR="000B7455" w:rsidRPr="004272BD" w:rsidRDefault="000B7455" w:rsidP="004272BD">
      <w:pPr>
        <w:spacing w:after="0"/>
        <w:ind w:firstLine="709"/>
        <w:jc w:val="both"/>
        <w:rPr>
          <w:rFonts w:ascii="Times New Roman" w:hAnsi="Times New Roman"/>
          <w:sz w:val="24"/>
          <w:szCs w:val="24"/>
        </w:rPr>
      </w:pPr>
    </w:p>
    <w:p w:rsidR="000B7455" w:rsidRPr="004272BD" w:rsidRDefault="000B7455" w:rsidP="00E11BE7">
      <w:pPr>
        <w:spacing w:after="0"/>
        <w:ind w:firstLine="709"/>
        <w:jc w:val="both"/>
        <w:rPr>
          <w:rFonts w:ascii="Times New Roman" w:hAnsi="Times New Roman"/>
          <w:sz w:val="24"/>
          <w:szCs w:val="24"/>
        </w:rPr>
      </w:pPr>
      <w:r w:rsidRPr="004272BD">
        <w:rPr>
          <w:rFonts w:ascii="Times New Roman" w:hAnsi="Times New Roman"/>
          <w:sz w:val="24"/>
          <w:szCs w:val="24"/>
        </w:rPr>
        <w:t>Основными направлениями государственной политики на 2019 – 2021 годы в сфере коммунального комплекса являются мониторинг функционирования принятых ранее и разработка новых норм, направленных на привлечение частных инвестиций в сферу коммунального хозяйства. Приоритетным направлением также останется внедрение и организация контроля показателей качества и надежности, предоставляемых потребителям коммунальных услуг с учётом мер, принимаемых по ограничению стоимости таких услуг.</w:t>
      </w:r>
    </w:p>
    <w:p w:rsidR="000B7455" w:rsidRPr="004272BD" w:rsidRDefault="000B7455" w:rsidP="00E11BE7">
      <w:pPr>
        <w:spacing w:after="0"/>
        <w:ind w:firstLine="709"/>
        <w:jc w:val="both"/>
        <w:rPr>
          <w:rFonts w:ascii="Times New Roman" w:hAnsi="Times New Roman"/>
          <w:sz w:val="24"/>
          <w:szCs w:val="24"/>
        </w:rPr>
      </w:pPr>
      <w:r w:rsidRPr="004272BD">
        <w:rPr>
          <w:rFonts w:ascii="Times New Roman" w:hAnsi="Times New Roman"/>
          <w:sz w:val="24"/>
          <w:szCs w:val="24"/>
        </w:rPr>
        <w:t>На величину платы за содержание жилых помещений в 2019 году окажет влияние изменение законодательства, а именно:</w:t>
      </w:r>
    </w:p>
    <w:p w:rsidR="000B7455" w:rsidRPr="004272BD" w:rsidRDefault="000B7455" w:rsidP="00E11BE7">
      <w:pPr>
        <w:spacing w:after="0"/>
        <w:ind w:firstLine="709"/>
        <w:jc w:val="both"/>
        <w:rPr>
          <w:rFonts w:ascii="Times New Roman" w:hAnsi="Times New Roman"/>
          <w:sz w:val="24"/>
          <w:szCs w:val="24"/>
        </w:rPr>
      </w:pPr>
      <w:r w:rsidRPr="004272BD">
        <w:rPr>
          <w:rFonts w:ascii="Times New Roman" w:hAnsi="Times New Roman"/>
          <w:sz w:val="24"/>
          <w:szCs w:val="24"/>
        </w:rPr>
        <w:lastRenderedPageBreak/>
        <w:t>- утверждение тарифа на услугу по обращению с твердыми коммунальными отходами.</w:t>
      </w:r>
    </w:p>
    <w:p w:rsidR="000B7455" w:rsidRPr="004272BD" w:rsidRDefault="000B7455" w:rsidP="00E11BE7">
      <w:pPr>
        <w:spacing w:after="0"/>
        <w:ind w:firstLine="709"/>
        <w:jc w:val="both"/>
        <w:rPr>
          <w:rFonts w:ascii="Times New Roman" w:hAnsi="Times New Roman"/>
          <w:sz w:val="24"/>
          <w:szCs w:val="24"/>
        </w:rPr>
      </w:pPr>
      <w:r w:rsidRPr="004272BD">
        <w:rPr>
          <w:rFonts w:ascii="Times New Roman" w:hAnsi="Times New Roman"/>
          <w:sz w:val="24"/>
          <w:szCs w:val="24"/>
        </w:rPr>
        <w:t>Величина тарифа на проезд пассажиров в муниципальном транспорте будет определяться с учетом оптимизации деятельности муниципальных предприятий, показателей бюджета городского округа Тольятти и анализа изменения пассажиропотока.</w:t>
      </w:r>
    </w:p>
    <w:p w:rsidR="00981781" w:rsidRDefault="00981781" w:rsidP="004272BD">
      <w:pPr>
        <w:pStyle w:val="1"/>
        <w:spacing w:line="276" w:lineRule="auto"/>
        <w:ind w:right="-1"/>
        <w:jc w:val="center"/>
        <w:rPr>
          <w:rFonts w:ascii="Times New Roman" w:hAnsi="Times New Roman"/>
          <w:b/>
          <w:sz w:val="24"/>
          <w:szCs w:val="24"/>
        </w:rPr>
      </w:pPr>
    </w:p>
    <w:p w:rsidR="003D3198" w:rsidRPr="004272BD" w:rsidRDefault="003D3198" w:rsidP="00E62254">
      <w:pPr>
        <w:pStyle w:val="1"/>
        <w:spacing w:line="276" w:lineRule="auto"/>
        <w:ind w:right="-1"/>
        <w:jc w:val="center"/>
        <w:rPr>
          <w:rFonts w:ascii="Times New Roman" w:hAnsi="Times New Roman"/>
          <w:b/>
          <w:sz w:val="24"/>
          <w:szCs w:val="24"/>
        </w:rPr>
      </w:pPr>
      <w:proofErr w:type="gramStart"/>
      <w:r w:rsidRPr="004272BD">
        <w:rPr>
          <w:rFonts w:ascii="Times New Roman" w:hAnsi="Times New Roman"/>
          <w:b/>
          <w:sz w:val="24"/>
          <w:szCs w:val="24"/>
        </w:rPr>
        <w:t>Промышленное производство                                                                         (Обрабатывающие производства.</w:t>
      </w:r>
      <w:proofErr w:type="gramEnd"/>
      <w:r w:rsidRPr="004272BD">
        <w:rPr>
          <w:rFonts w:ascii="Times New Roman" w:hAnsi="Times New Roman"/>
          <w:b/>
          <w:sz w:val="24"/>
          <w:szCs w:val="24"/>
        </w:rPr>
        <w:t xml:space="preserve">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3D3198" w:rsidRPr="004272BD" w:rsidRDefault="003D3198" w:rsidP="004272BD">
      <w:pPr>
        <w:pStyle w:val="1"/>
        <w:spacing w:line="276" w:lineRule="auto"/>
        <w:ind w:right="-1" w:firstLine="709"/>
        <w:jc w:val="both"/>
        <w:rPr>
          <w:rFonts w:ascii="Times New Roman" w:hAnsi="Times New Roman"/>
          <w:b/>
          <w:sz w:val="24"/>
          <w:szCs w:val="24"/>
          <w:highlight w:val="yellow"/>
        </w:rPr>
      </w:pPr>
    </w:p>
    <w:p w:rsidR="005E379A" w:rsidRPr="0024199E" w:rsidRDefault="005E379A" w:rsidP="00E11BE7">
      <w:pPr>
        <w:pStyle w:val="1"/>
        <w:spacing w:line="276" w:lineRule="auto"/>
        <w:ind w:right="-1" w:firstLine="709"/>
        <w:jc w:val="both"/>
        <w:rPr>
          <w:rFonts w:ascii="Times New Roman" w:hAnsi="Times New Roman"/>
          <w:sz w:val="24"/>
          <w:szCs w:val="24"/>
          <w:lang w:eastAsia="ru-RU"/>
        </w:rPr>
      </w:pPr>
      <w:r w:rsidRPr="0024199E">
        <w:rPr>
          <w:rFonts w:ascii="Times New Roman" w:hAnsi="Times New Roman"/>
          <w:sz w:val="24"/>
          <w:szCs w:val="24"/>
          <w:lang w:eastAsia="ru-RU"/>
        </w:rPr>
        <w:t xml:space="preserve">Прогноз развития промышленного комплекса городского округа Тольятти формируется на основании фактических данных органов статистики, собственных прогнозов крупных </w:t>
      </w:r>
      <w:r w:rsidR="000A4AC7">
        <w:rPr>
          <w:rFonts w:ascii="Times New Roman" w:hAnsi="Times New Roman"/>
          <w:sz w:val="24"/>
          <w:szCs w:val="24"/>
          <w:lang w:eastAsia="ru-RU"/>
        </w:rPr>
        <w:t xml:space="preserve">промышленных </w:t>
      </w:r>
      <w:r w:rsidRPr="0024199E">
        <w:rPr>
          <w:rFonts w:ascii="Times New Roman" w:hAnsi="Times New Roman"/>
          <w:sz w:val="24"/>
          <w:szCs w:val="24"/>
          <w:lang w:eastAsia="ru-RU"/>
        </w:rPr>
        <w:t>предприятий города</w:t>
      </w:r>
      <w:r w:rsidRPr="0024199E">
        <w:rPr>
          <w:rFonts w:ascii="Times New Roman" w:hAnsi="Times New Roman"/>
          <w:sz w:val="24"/>
          <w:szCs w:val="24"/>
        </w:rPr>
        <w:t>,</w:t>
      </w:r>
      <w:r w:rsidRPr="0024199E">
        <w:rPr>
          <w:rFonts w:ascii="Times New Roman" w:hAnsi="Times New Roman"/>
          <w:sz w:val="24"/>
          <w:szCs w:val="24"/>
          <w:lang w:eastAsia="ru-RU"/>
        </w:rPr>
        <w:t xml:space="preserve"> а также с учетом тенденций развития промышленного производства в городском округе Тольятти и региона в целом.</w:t>
      </w:r>
    </w:p>
    <w:p w:rsidR="005E379A" w:rsidRPr="00672ACB" w:rsidRDefault="005E379A" w:rsidP="00E11BE7">
      <w:pPr>
        <w:spacing w:after="0"/>
        <w:ind w:firstLine="708"/>
        <w:jc w:val="both"/>
        <w:outlineLvl w:val="0"/>
        <w:rPr>
          <w:rFonts w:ascii="Times New Roman" w:hAnsi="Times New Roman"/>
          <w:sz w:val="24"/>
          <w:szCs w:val="24"/>
        </w:rPr>
      </w:pPr>
      <w:r w:rsidRPr="00672ACB">
        <w:rPr>
          <w:rFonts w:ascii="Times New Roman" w:hAnsi="Times New Roman"/>
          <w:sz w:val="24"/>
          <w:szCs w:val="24"/>
        </w:rPr>
        <w:t xml:space="preserve">Определяющими факторами развития промышленного комплекса городского округа </w:t>
      </w:r>
      <w:r w:rsidR="000A4AC7">
        <w:rPr>
          <w:rFonts w:ascii="Times New Roman" w:hAnsi="Times New Roman"/>
          <w:sz w:val="24"/>
          <w:szCs w:val="24"/>
        </w:rPr>
        <w:t xml:space="preserve">Тольятти </w:t>
      </w:r>
      <w:r w:rsidRPr="00672ACB">
        <w:rPr>
          <w:rFonts w:ascii="Times New Roman" w:hAnsi="Times New Roman"/>
          <w:sz w:val="24"/>
          <w:szCs w:val="24"/>
        </w:rPr>
        <w:t>по консервативному варианту прогноза станут: недостаточный объем и качество инвестиций в основной капитал</w:t>
      </w:r>
      <w:r>
        <w:rPr>
          <w:rFonts w:ascii="Times New Roman" w:hAnsi="Times New Roman"/>
          <w:sz w:val="24"/>
          <w:szCs w:val="24"/>
        </w:rPr>
        <w:t>,</w:t>
      </w:r>
      <w:r w:rsidRPr="00672ACB">
        <w:rPr>
          <w:rFonts w:ascii="Times New Roman" w:hAnsi="Times New Roman"/>
          <w:sz w:val="24"/>
          <w:szCs w:val="24"/>
        </w:rPr>
        <w:t xml:space="preserve"> возможные негативные колебания на рынке сырья</w:t>
      </w:r>
      <w:r>
        <w:rPr>
          <w:rFonts w:ascii="Times New Roman" w:hAnsi="Times New Roman"/>
          <w:sz w:val="24"/>
          <w:szCs w:val="24"/>
        </w:rPr>
        <w:t>,</w:t>
      </w:r>
      <w:r w:rsidRPr="00672ACB">
        <w:rPr>
          <w:rFonts w:ascii="Times New Roman" w:hAnsi="Times New Roman"/>
          <w:sz w:val="24"/>
          <w:szCs w:val="24"/>
        </w:rPr>
        <w:t xml:space="preserve"> </w:t>
      </w:r>
      <w:r>
        <w:rPr>
          <w:rFonts w:ascii="Times New Roman" w:hAnsi="Times New Roman"/>
          <w:sz w:val="24"/>
          <w:szCs w:val="24"/>
        </w:rPr>
        <w:t xml:space="preserve">невысокая степень загрузки производственных мощностей вследствие недостаточной покупательской активности, </w:t>
      </w:r>
      <w:r w:rsidRPr="00672ACB">
        <w:rPr>
          <w:rFonts w:ascii="Times New Roman" w:hAnsi="Times New Roman"/>
          <w:sz w:val="24"/>
          <w:szCs w:val="24"/>
        </w:rPr>
        <w:t>сокращение объемов государственной поддержки отечественных производителей.</w:t>
      </w:r>
    </w:p>
    <w:p w:rsidR="005E379A" w:rsidRDefault="005E379A" w:rsidP="00E11BE7">
      <w:pPr>
        <w:spacing w:after="0"/>
        <w:ind w:firstLine="708"/>
        <w:jc w:val="both"/>
        <w:outlineLvl w:val="0"/>
        <w:rPr>
          <w:rFonts w:ascii="Times New Roman" w:hAnsi="Times New Roman"/>
          <w:sz w:val="24"/>
          <w:szCs w:val="24"/>
        </w:rPr>
      </w:pPr>
      <w:r w:rsidRPr="000014D8">
        <w:rPr>
          <w:rFonts w:ascii="Times New Roman" w:hAnsi="Times New Roman"/>
          <w:sz w:val="24"/>
          <w:szCs w:val="24"/>
        </w:rPr>
        <w:t>В случае реализации консервативного варианта прогноза</w:t>
      </w:r>
      <w:r>
        <w:rPr>
          <w:rFonts w:ascii="Times New Roman" w:hAnsi="Times New Roman"/>
          <w:sz w:val="24"/>
          <w:szCs w:val="24"/>
        </w:rPr>
        <w:t xml:space="preserve"> будет наблюдаться сдержанная динамика развития в промышленности: </w:t>
      </w:r>
      <w:r w:rsidRPr="000014D8">
        <w:rPr>
          <w:rFonts w:ascii="Times New Roman" w:hAnsi="Times New Roman"/>
          <w:sz w:val="24"/>
          <w:szCs w:val="24"/>
        </w:rPr>
        <w:t xml:space="preserve">индекс промышленного производства относительно предыдущего года </w:t>
      </w:r>
      <w:r>
        <w:rPr>
          <w:rFonts w:ascii="Times New Roman" w:hAnsi="Times New Roman"/>
          <w:sz w:val="24"/>
          <w:szCs w:val="24"/>
        </w:rPr>
        <w:t xml:space="preserve">и </w:t>
      </w:r>
      <w:r w:rsidRPr="000014D8">
        <w:rPr>
          <w:rFonts w:ascii="Times New Roman" w:hAnsi="Times New Roman"/>
          <w:sz w:val="24"/>
          <w:szCs w:val="24"/>
        </w:rPr>
        <w:t xml:space="preserve">составит: в 2019 году – </w:t>
      </w:r>
      <w:r>
        <w:rPr>
          <w:rFonts w:ascii="Times New Roman" w:hAnsi="Times New Roman"/>
          <w:sz w:val="24"/>
          <w:szCs w:val="24"/>
        </w:rPr>
        <w:t>101,6</w:t>
      </w:r>
      <w:r w:rsidRPr="000014D8">
        <w:rPr>
          <w:rFonts w:ascii="Times New Roman" w:hAnsi="Times New Roman"/>
          <w:sz w:val="24"/>
          <w:szCs w:val="24"/>
        </w:rPr>
        <w:t xml:space="preserve"> %, в 2020 году – 10</w:t>
      </w:r>
      <w:r>
        <w:rPr>
          <w:rFonts w:ascii="Times New Roman" w:hAnsi="Times New Roman"/>
          <w:sz w:val="24"/>
          <w:szCs w:val="24"/>
        </w:rPr>
        <w:t>2,0</w:t>
      </w:r>
      <w:r w:rsidRPr="000014D8">
        <w:rPr>
          <w:rFonts w:ascii="Times New Roman" w:hAnsi="Times New Roman"/>
          <w:sz w:val="24"/>
          <w:szCs w:val="24"/>
        </w:rPr>
        <w:t xml:space="preserve"> %, в 2021 году – 10</w:t>
      </w:r>
      <w:r>
        <w:rPr>
          <w:rFonts w:ascii="Times New Roman" w:hAnsi="Times New Roman"/>
          <w:sz w:val="24"/>
          <w:szCs w:val="24"/>
        </w:rPr>
        <w:t>2,5</w:t>
      </w:r>
      <w:r w:rsidRPr="000014D8">
        <w:rPr>
          <w:rFonts w:ascii="Times New Roman" w:hAnsi="Times New Roman"/>
          <w:sz w:val="24"/>
          <w:szCs w:val="24"/>
        </w:rPr>
        <w:t xml:space="preserve"> %. В 2021 году относительно 201</w:t>
      </w:r>
      <w:r>
        <w:rPr>
          <w:rFonts w:ascii="Times New Roman" w:hAnsi="Times New Roman"/>
          <w:sz w:val="24"/>
          <w:szCs w:val="24"/>
        </w:rPr>
        <w:t>8</w:t>
      </w:r>
      <w:r w:rsidRPr="000014D8">
        <w:rPr>
          <w:rFonts w:ascii="Times New Roman" w:hAnsi="Times New Roman"/>
          <w:sz w:val="24"/>
          <w:szCs w:val="24"/>
        </w:rPr>
        <w:t xml:space="preserve"> года производство увеличится на </w:t>
      </w:r>
      <w:r>
        <w:rPr>
          <w:rFonts w:ascii="Times New Roman" w:hAnsi="Times New Roman"/>
          <w:sz w:val="24"/>
          <w:szCs w:val="24"/>
        </w:rPr>
        <w:t>6,2</w:t>
      </w:r>
      <w:r w:rsidRPr="000014D8">
        <w:rPr>
          <w:rFonts w:ascii="Times New Roman" w:hAnsi="Times New Roman"/>
          <w:sz w:val="24"/>
          <w:szCs w:val="24"/>
        </w:rPr>
        <w:t xml:space="preserve"> %, в том числе в обрабатывающих производствах – на </w:t>
      </w:r>
      <w:r>
        <w:rPr>
          <w:rFonts w:ascii="Times New Roman" w:hAnsi="Times New Roman"/>
          <w:sz w:val="24"/>
          <w:szCs w:val="24"/>
        </w:rPr>
        <w:t>6,5</w:t>
      </w:r>
      <w:r w:rsidRPr="000014D8">
        <w:rPr>
          <w:rFonts w:ascii="Times New Roman" w:hAnsi="Times New Roman"/>
          <w:sz w:val="24"/>
          <w:szCs w:val="24"/>
        </w:rPr>
        <w:t xml:space="preserve"> %.</w:t>
      </w:r>
    </w:p>
    <w:p w:rsidR="005E379A" w:rsidRDefault="005E379A" w:rsidP="00E11BE7">
      <w:pPr>
        <w:spacing w:after="0"/>
        <w:ind w:firstLine="709"/>
        <w:jc w:val="both"/>
        <w:rPr>
          <w:rFonts w:ascii="Times New Roman" w:hAnsi="Times New Roman"/>
          <w:sz w:val="24"/>
          <w:szCs w:val="24"/>
        </w:rPr>
      </w:pPr>
      <w:r>
        <w:rPr>
          <w:rFonts w:ascii="Times New Roman" w:hAnsi="Times New Roman"/>
          <w:sz w:val="24"/>
          <w:szCs w:val="24"/>
        </w:rPr>
        <w:t>Развитие</w:t>
      </w:r>
      <w:r w:rsidRPr="00D119F1">
        <w:rPr>
          <w:rFonts w:ascii="Times New Roman" w:hAnsi="Times New Roman"/>
          <w:sz w:val="24"/>
          <w:szCs w:val="24"/>
        </w:rPr>
        <w:t xml:space="preserve"> </w:t>
      </w:r>
      <w:r>
        <w:rPr>
          <w:rFonts w:ascii="Times New Roman" w:hAnsi="Times New Roman"/>
          <w:sz w:val="24"/>
          <w:szCs w:val="24"/>
        </w:rPr>
        <w:t>промышленности</w:t>
      </w:r>
      <w:r w:rsidRPr="00D119F1">
        <w:rPr>
          <w:rFonts w:ascii="Times New Roman" w:hAnsi="Times New Roman"/>
          <w:sz w:val="24"/>
          <w:szCs w:val="24"/>
        </w:rPr>
        <w:t xml:space="preserve"> в 2019</w:t>
      </w:r>
      <w:r>
        <w:rPr>
          <w:rFonts w:ascii="Times New Roman" w:hAnsi="Times New Roman"/>
          <w:sz w:val="24"/>
          <w:szCs w:val="24"/>
        </w:rPr>
        <w:t xml:space="preserve"> - </w:t>
      </w:r>
      <w:r w:rsidRPr="00D119F1">
        <w:rPr>
          <w:rFonts w:ascii="Times New Roman" w:hAnsi="Times New Roman"/>
          <w:sz w:val="24"/>
          <w:szCs w:val="24"/>
        </w:rPr>
        <w:t xml:space="preserve">2021 годах </w:t>
      </w:r>
      <w:r>
        <w:rPr>
          <w:rFonts w:ascii="Times New Roman" w:hAnsi="Times New Roman"/>
          <w:sz w:val="24"/>
          <w:szCs w:val="24"/>
        </w:rPr>
        <w:t xml:space="preserve">по базовому варианту прогноза </w:t>
      </w:r>
      <w:r w:rsidRPr="00D119F1">
        <w:rPr>
          <w:rFonts w:ascii="Times New Roman" w:hAnsi="Times New Roman"/>
          <w:sz w:val="24"/>
          <w:szCs w:val="24"/>
        </w:rPr>
        <w:t>предполагает влияние следующих факторов: развитие производства в инвестиционн</w:t>
      </w:r>
      <w:proofErr w:type="gramStart"/>
      <w:r w:rsidRPr="00D119F1">
        <w:rPr>
          <w:rFonts w:ascii="Times New Roman" w:hAnsi="Times New Roman"/>
          <w:sz w:val="24"/>
          <w:szCs w:val="24"/>
        </w:rPr>
        <w:t>о</w:t>
      </w:r>
      <w:r w:rsidR="00386117">
        <w:rPr>
          <w:rFonts w:ascii="Times New Roman" w:hAnsi="Times New Roman"/>
          <w:sz w:val="24"/>
          <w:szCs w:val="24"/>
        </w:rPr>
        <w:t>-</w:t>
      </w:r>
      <w:proofErr w:type="gramEnd"/>
      <w:r w:rsidRPr="00D119F1">
        <w:rPr>
          <w:rFonts w:ascii="Times New Roman" w:hAnsi="Times New Roman"/>
          <w:sz w:val="24"/>
          <w:szCs w:val="24"/>
        </w:rPr>
        <w:t xml:space="preserve"> ориентированных отраслях вследствие </w:t>
      </w:r>
      <w:r>
        <w:rPr>
          <w:rFonts w:ascii="Times New Roman" w:hAnsi="Times New Roman"/>
          <w:sz w:val="24"/>
          <w:szCs w:val="24"/>
        </w:rPr>
        <w:t>роста</w:t>
      </w:r>
      <w:r w:rsidRPr="00D119F1">
        <w:rPr>
          <w:rFonts w:ascii="Times New Roman" w:hAnsi="Times New Roman"/>
          <w:sz w:val="24"/>
          <w:szCs w:val="24"/>
        </w:rPr>
        <w:t xml:space="preserve"> инвестиционной активности</w:t>
      </w:r>
      <w:r>
        <w:rPr>
          <w:rFonts w:ascii="Times New Roman" w:hAnsi="Times New Roman"/>
          <w:sz w:val="24"/>
          <w:szCs w:val="24"/>
        </w:rPr>
        <w:t>,</w:t>
      </w:r>
      <w:r w:rsidRPr="00D119F1">
        <w:rPr>
          <w:rFonts w:ascii="Times New Roman" w:hAnsi="Times New Roman"/>
          <w:sz w:val="24"/>
          <w:szCs w:val="24"/>
        </w:rPr>
        <w:t xml:space="preserve"> модернизация и техническое перевооружение предприятий, оптимизация производственных процессов на базе современных технологий и оборудования</w:t>
      </w:r>
      <w:r>
        <w:rPr>
          <w:rFonts w:ascii="Times New Roman" w:hAnsi="Times New Roman"/>
          <w:sz w:val="24"/>
          <w:szCs w:val="24"/>
        </w:rPr>
        <w:t>,</w:t>
      </w:r>
      <w:r w:rsidRPr="00D119F1">
        <w:rPr>
          <w:rFonts w:ascii="Times New Roman" w:hAnsi="Times New Roman"/>
          <w:sz w:val="24"/>
          <w:szCs w:val="24"/>
        </w:rPr>
        <w:t xml:space="preserve">  расширение продуктового портфеля за счет выпуска товаров с высоким уровнем качества</w:t>
      </w:r>
      <w:r>
        <w:rPr>
          <w:rFonts w:ascii="Times New Roman" w:hAnsi="Times New Roman"/>
          <w:sz w:val="24"/>
          <w:szCs w:val="24"/>
        </w:rPr>
        <w:t>, повышение производительности труда.</w:t>
      </w:r>
      <w:r w:rsidRPr="00D119F1">
        <w:rPr>
          <w:rFonts w:ascii="Times New Roman" w:hAnsi="Times New Roman"/>
          <w:sz w:val="24"/>
          <w:szCs w:val="24"/>
        </w:rPr>
        <w:t xml:space="preserve"> </w:t>
      </w:r>
    </w:p>
    <w:p w:rsidR="005E379A" w:rsidRDefault="005E379A" w:rsidP="00E11BE7">
      <w:pPr>
        <w:spacing w:after="0"/>
        <w:ind w:firstLine="709"/>
        <w:jc w:val="both"/>
        <w:rPr>
          <w:rFonts w:ascii="Times New Roman" w:hAnsi="Times New Roman"/>
          <w:sz w:val="24"/>
          <w:szCs w:val="24"/>
        </w:rPr>
      </w:pPr>
      <w:r w:rsidRPr="00CF6B50">
        <w:rPr>
          <w:rFonts w:ascii="Times New Roman" w:hAnsi="Times New Roman"/>
          <w:sz w:val="24"/>
          <w:szCs w:val="24"/>
        </w:rPr>
        <w:t>В среднесрочной перспективе развитие промышленного производства во многом будет определяться реализацией имеющегося значительного потенциала обрабатывающих производств.</w:t>
      </w:r>
    </w:p>
    <w:p w:rsidR="005E379A" w:rsidRDefault="005E379A" w:rsidP="00E11BE7">
      <w:pPr>
        <w:spacing w:after="0"/>
        <w:ind w:firstLine="709"/>
        <w:jc w:val="both"/>
        <w:rPr>
          <w:rFonts w:ascii="Times New Roman" w:hAnsi="Times New Roman"/>
          <w:sz w:val="24"/>
          <w:szCs w:val="24"/>
        </w:rPr>
      </w:pPr>
      <w:r>
        <w:rPr>
          <w:rFonts w:ascii="Times New Roman" w:hAnsi="Times New Roman"/>
          <w:sz w:val="24"/>
          <w:szCs w:val="24"/>
        </w:rPr>
        <w:t>И</w:t>
      </w:r>
      <w:r w:rsidRPr="0024199E">
        <w:rPr>
          <w:rFonts w:ascii="Times New Roman" w:hAnsi="Times New Roman"/>
          <w:sz w:val="24"/>
          <w:szCs w:val="24"/>
        </w:rPr>
        <w:t xml:space="preserve">ндекс производства относительно предыдущего года </w:t>
      </w:r>
      <w:r>
        <w:rPr>
          <w:rFonts w:ascii="Times New Roman" w:hAnsi="Times New Roman"/>
          <w:sz w:val="24"/>
          <w:szCs w:val="24"/>
        </w:rPr>
        <w:t>по базовому варианту будет расти умеренными темпами</w:t>
      </w:r>
      <w:r w:rsidRPr="0024199E">
        <w:rPr>
          <w:rFonts w:ascii="Times New Roman" w:hAnsi="Times New Roman"/>
          <w:sz w:val="24"/>
          <w:szCs w:val="24"/>
        </w:rPr>
        <w:t xml:space="preserve"> </w:t>
      </w:r>
      <w:r>
        <w:rPr>
          <w:rFonts w:ascii="Times New Roman" w:hAnsi="Times New Roman"/>
          <w:sz w:val="24"/>
          <w:szCs w:val="24"/>
        </w:rPr>
        <w:t xml:space="preserve">и </w:t>
      </w:r>
      <w:r w:rsidRPr="0024199E">
        <w:rPr>
          <w:rFonts w:ascii="Times New Roman" w:hAnsi="Times New Roman"/>
          <w:sz w:val="24"/>
          <w:szCs w:val="24"/>
        </w:rPr>
        <w:t xml:space="preserve">составит:  в 2019 году -  </w:t>
      </w:r>
      <w:r>
        <w:rPr>
          <w:rFonts w:ascii="Times New Roman" w:hAnsi="Times New Roman"/>
          <w:sz w:val="24"/>
          <w:szCs w:val="24"/>
        </w:rPr>
        <w:t>104,2</w:t>
      </w:r>
      <w:r w:rsidRPr="0024199E">
        <w:rPr>
          <w:rFonts w:ascii="Times New Roman" w:hAnsi="Times New Roman"/>
          <w:sz w:val="24"/>
          <w:szCs w:val="24"/>
        </w:rPr>
        <w:t xml:space="preserve"> %, в 2020 году – </w:t>
      </w:r>
      <w:r>
        <w:rPr>
          <w:rFonts w:ascii="Times New Roman" w:hAnsi="Times New Roman"/>
          <w:sz w:val="24"/>
          <w:szCs w:val="24"/>
        </w:rPr>
        <w:t>104,8</w:t>
      </w:r>
      <w:r w:rsidRPr="0024199E">
        <w:rPr>
          <w:rFonts w:ascii="Times New Roman" w:hAnsi="Times New Roman"/>
          <w:sz w:val="24"/>
          <w:szCs w:val="24"/>
        </w:rPr>
        <w:t xml:space="preserve"> %, в 2021 году – </w:t>
      </w:r>
      <w:r>
        <w:rPr>
          <w:rFonts w:ascii="Times New Roman" w:hAnsi="Times New Roman"/>
          <w:sz w:val="24"/>
          <w:szCs w:val="24"/>
        </w:rPr>
        <w:t>105,4</w:t>
      </w:r>
      <w:r w:rsidRPr="0024199E">
        <w:rPr>
          <w:rFonts w:ascii="Times New Roman" w:hAnsi="Times New Roman"/>
          <w:sz w:val="24"/>
          <w:szCs w:val="24"/>
        </w:rPr>
        <w:t xml:space="preserve"> %. Рост производства в 2021 году к уровню 201</w:t>
      </w:r>
      <w:r>
        <w:rPr>
          <w:rFonts w:ascii="Times New Roman" w:hAnsi="Times New Roman"/>
          <w:sz w:val="24"/>
          <w:szCs w:val="24"/>
        </w:rPr>
        <w:t>8</w:t>
      </w:r>
      <w:r w:rsidRPr="0024199E">
        <w:rPr>
          <w:rFonts w:ascii="Times New Roman" w:hAnsi="Times New Roman"/>
          <w:sz w:val="24"/>
          <w:szCs w:val="24"/>
        </w:rPr>
        <w:t xml:space="preserve"> года составит </w:t>
      </w:r>
      <w:r>
        <w:rPr>
          <w:rFonts w:ascii="Times New Roman" w:hAnsi="Times New Roman"/>
          <w:sz w:val="24"/>
          <w:szCs w:val="24"/>
        </w:rPr>
        <w:t>15,1</w:t>
      </w:r>
      <w:r w:rsidRPr="0024199E">
        <w:rPr>
          <w:rFonts w:ascii="Times New Roman" w:hAnsi="Times New Roman"/>
          <w:sz w:val="24"/>
          <w:szCs w:val="24"/>
        </w:rPr>
        <w:t xml:space="preserve"> %, в том числе в обрабатывающих производствах – </w:t>
      </w:r>
      <w:r>
        <w:rPr>
          <w:rFonts w:ascii="Times New Roman" w:hAnsi="Times New Roman"/>
          <w:sz w:val="24"/>
          <w:szCs w:val="24"/>
        </w:rPr>
        <w:t>15,5</w:t>
      </w:r>
      <w:r w:rsidRPr="0024199E">
        <w:rPr>
          <w:rFonts w:ascii="Times New Roman" w:hAnsi="Times New Roman"/>
          <w:sz w:val="24"/>
          <w:szCs w:val="24"/>
        </w:rPr>
        <w:t xml:space="preserve"> %.</w:t>
      </w:r>
      <w:r w:rsidRPr="00D119F1">
        <w:rPr>
          <w:rFonts w:ascii="Times New Roman" w:hAnsi="Times New Roman"/>
          <w:sz w:val="24"/>
          <w:szCs w:val="24"/>
        </w:rPr>
        <w:t xml:space="preserve"> </w:t>
      </w:r>
    </w:p>
    <w:p w:rsidR="005E379A" w:rsidRPr="0092073F" w:rsidRDefault="005E379A" w:rsidP="00E11BE7">
      <w:pPr>
        <w:pStyle w:val="25"/>
        <w:spacing w:line="276" w:lineRule="auto"/>
        <w:ind w:firstLine="709"/>
        <w:jc w:val="both"/>
        <w:rPr>
          <w:rFonts w:ascii="Times New Roman" w:hAnsi="Times New Roman"/>
          <w:sz w:val="24"/>
          <w:szCs w:val="24"/>
        </w:rPr>
      </w:pPr>
      <w:proofErr w:type="gramStart"/>
      <w:r w:rsidRPr="0024199E">
        <w:rPr>
          <w:rFonts w:ascii="Times New Roman" w:hAnsi="Times New Roman"/>
          <w:sz w:val="24"/>
          <w:szCs w:val="24"/>
        </w:rPr>
        <w:t xml:space="preserve">Реализация целевого варианта прогноза предполагает более динамичное развитие промышленного комплекса городского округа в условиях </w:t>
      </w:r>
      <w:r w:rsidRPr="00CF6B50">
        <w:rPr>
          <w:rFonts w:ascii="Times New Roman" w:hAnsi="Times New Roman"/>
          <w:sz w:val="24"/>
          <w:szCs w:val="24"/>
        </w:rPr>
        <w:t>развити</w:t>
      </w:r>
      <w:r>
        <w:rPr>
          <w:rFonts w:ascii="Times New Roman" w:hAnsi="Times New Roman"/>
          <w:sz w:val="24"/>
          <w:szCs w:val="24"/>
        </w:rPr>
        <w:t>я</w:t>
      </w:r>
      <w:r w:rsidRPr="00CF6B50">
        <w:rPr>
          <w:rFonts w:ascii="Times New Roman" w:hAnsi="Times New Roman"/>
          <w:sz w:val="24"/>
          <w:szCs w:val="24"/>
        </w:rPr>
        <w:t xml:space="preserve"> экспортного потенциала конкурентоспособной промышленной продукции, повышения инвестиционной активности в ведущих отраслях обрабатывающей промышленности</w:t>
      </w:r>
      <w:r>
        <w:rPr>
          <w:rFonts w:ascii="Times New Roman" w:hAnsi="Times New Roman"/>
          <w:sz w:val="24"/>
          <w:szCs w:val="24"/>
        </w:rPr>
        <w:t>,</w:t>
      </w:r>
      <w:r w:rsidRPr="00CF6B50">
        <w:rPr>
          <w:rFonts w:ascii="Times New Roman" w:hAnsi="Times New Roman"/>
          <w:sz w:val="24"/>
          <w:szCs w:val="24"/>
        </w:rPr>
        <w:t xml:space="preserve">  снижение зависимости экономики от поставок им</w:t>
      </w:r>
      <w:r>
        <w:rPr>
          <w:rFonts w:ascii="Times New Roman" w:hAnsi="Times New Roman"/>
          <w:sz w:val="24"/>
          <w:szCs w:val="24"/>
        </w:rPr>
        <w:t>портных комплектующих.</w:t>
      </w:r>
      <w:proofErr w:type="gramEnd"/>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lastRenderedPageBreak/>
        <w:t xml:space="preserve">По данному варианту прогноза индекс производства относительно предыдущего года составит:  в 2019 году - </w:t>
      </w:r>
      <w:r>
        <w:rPr>
          <w:rFonts w:ascii="Times New Roman" w:hAnsi="Times New Roman"/>
          <w:sz w:val="24"/>
          <w:szCs w:val="24"/>
        </w:rPr>
        <w:t>105,7</w:t>
      </w:r>
      <w:r w:rsidRPr="0024199E">
        <w:rPr>
          <w:rFonts w:ascii="Times New Roman" w:hAnsi="Times New Roman"/>
          <w:sz w:val="24"/>
          <w:szCs w:val="24"/>
        </w:rPr>
        <w:t xml:space="preserve"> %, в 2020 году – </w:t>
      </w:r>
      <w:r>
        <w:rPr>
          <w:rFonts w:ascii="Times New Roman" w:hAnsi="Times New Roman"/>
          <w:sz w:val="24"/>
          <w:szCs w:val="24"/>
        </w:rPr>
        <w:t>106,8</w:t>
      </w:r>
      <w:r w:rsidRPr="0024199E">
        <w:rPr>
          <w:rFonts w:ascii="Times New Roman" w:hAnsi="Times New Roman"/>
          <w:sz w:val="24"/>
          <w:szCs w:val="24"/>
        </w:rPr>
        <w:t xml:space="preserve"> %, в 2021 году – </w:t>
      </w:r>
      <w:r>
        <w:rPr>
          <w:rFonts w:ascii="Times New Roman" w:hAnsi="Times New Roman"/>
          <w:sz w:val="24"/>
          <w:szCs w:val="24"/>
        </w:rPr>
        <w:t>108,4</w:t>
      </w:r>
      <w:r w:rsidRPr="0024199E">
        <w:rPr>
          <w:rFonts w:ascii="Times New Roman" w:hAnsi="Times New Roman"/>
          <w:sz w:val="24"/>
          <w:szCs w:val="24"/>
        </w:rPr>
        <w:t xml:space="preserve"> %.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Благодаря ожидаемому росту производства во всех видах </w:t>
      </w:r>
      <w:r>
        <w:rPr>
          <w:rFonts w:ascii="Times New Roman" w:hAnsi="Times New Roman"/>
          <w:sz w:val="24"/>
          <w:szCs w:val="24"/>
        </w:rPr>
        <w:t xml:space="preserve">промышленной </w:t>
      </w:r>
      <w:r w:rsidRPr="0024199E">
        <w:rPr>
          <w:rFonts w:ascii="Times New Roman" w:hAnsi="Times New Roman"/>
          <w:sz w:val="24"/>
          <w:szCs w:val="24"/>
        </w:rPr>
        <w:t>деятельности,  объемы производства в 2021 году превысят уровень 201</w:t>
      </w:r>
      <w:r>
        <w:rPr>
          <w:rFonts w:ascii="Times New Roman" w:hAnsi="Times New Roman"/>
          <w:sz w:val="24"/>
          <w:szCs w:val="24"/>
        </w:rPr>
        <w:t>8</w:t>
      </w:r>
      <w:r w:rsidRPr="0024199E">
        <w:rPr>
          <w:rFonts w:ascii="Times New Roman" w:hAnsi="Times New Roman"/>
          <w:sz w:val="24"/>
          <w:szCs w:val="24"/>
        </w:rPr>
        <w:t xml:space="preserve"> года на </w:t>
      </w:r>
      <w:r>
        <w:rPr>
          <w:rFonts w:ascii="Times New Roman" w:hAnsi="Times New Roman"/>
          <w:sz w:val="24"/>
          <w:szCs w:val="24"/>
        </w:rPr>
        <w:t>22,4</w:t>
      </w:r>
      <w:r w:rsidRPr="0024199E">
        <w:rPr>
          <w:rFonts w:ascii="Times New Roman" w:hAnsi="Times New Roman"/>
          <w:sz w:val="24"/>
          <w:szCs w:val="24"/>
        </w:rPr>
        <w:t xml:space="preserve"> % - по третьему варианту.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Объем отгруженной промышленной продукции  в 2019 – 2021 </w:t>
      </w:r>
      <w:r>
        <w:rPr>
          <w:rFonts w:ascii="Times New Roman" w:hAnsi="Times New Roman"/>
          <w:sz w:val="24"/>
          <w:szCs w:val="24"/>
        </w:rPr>
        <w:t>годах также будет расти и</w:t>
      </w:r>
      <w:r w:rsidRPr="0024199E">
        <w:rPr>
          <w:rFonts w:ascii="Times New Roman" w:hAnsi="Times New Roman"/>
          <w:sz w:val="24"/>
          <w:szCs w:val="24"/>
        </w:rPr>
        <w:t xml:space="preserve"> составит: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2019 году - по консервативному варианту – </w:t>
      </w:r>
      <w:r>
        <w:rPr>
          <w:rFonts w:ascii="Times New Roman" w:hAnsi="Times New Roman"/>
          <w:sz w:val="24"/>
          <w:szCs w:val="24"/>
        </w:rPr>
        <w:t>571,5</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базовому варианту прогноза – 5</w:t>
      </w:r>
      <w:r>
        <w:rPr>
          <w:rFonts w:ascii="Times New Roman" w:hAnsi="Times New Roman"/>
          <w:sz w:val="24"/>
          <w:szCs w:val="24"/>
        </w:rPr>
        <w:t>8</w:t>
      </w:r>
      <w:r w:rsidRPr="0024199E">
        <w:rPr>
          <w:rFonts w:ascii="Times New Roman" w:hAnsi="Times New Roman"/>
          <w:sz w:val="24"/>
          <w:szCs w:val="24"/>
        </w:rPr>
        <w:t>5,</w:t>
      </w:r>
      <w:r>
        <w:rPr>
          <w:rFonts w:ascii="Times New Roman" w:hAnsi="Times New Roman"/>
          <w:sz w:val="24"/>
          <w:szCs w:val="24"/>
        </w:rPr>
        <w:t>8</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целевому варианту – </w:t>
      </w:r>
      <w:r>
        <w:rPr>
          <w:rFonts w:ascii="Times New Roman" w:hAnsi="Times New Roman"/>
          <w:sz w:val="24"/>
          <w:szCs w:val="24"/>
        </w:rPr>
        <w:t>594,5</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2020 году - по консервативному варианту – </w:t>
      </w:r>
      <w:r>
        <w:rPr>
          <w:rFonts w:ascii="Times New Roman" w:hAnsi="Times New Roman"/>
          <w:sz w:val="24"/>
          <w:szCs w:val="24"/>
        </w:rPr>
        <w:t>612,7</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базовому варианту прогноза – </w:t>
      </w:r>
      <w:r>
        <w:rPr>
          <w:rFonts w:ascii="Times New Roman" w:hAnsi="Times New Roman"/>
          <w:sz w:val="24"/>
          <w:szCs w:val="24"/>
        </w:rPr>
        <w:t>645,2</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целевому варианту – </w:t>
      </w:r>
      <w:r>
        <w:rPr>
          <w:rFonts w:ascii="Times New Roman" w:hAnsi="Times New Roman"/>
          <w:sz w:val="24"/>
          <w:szCs w:val="24"/>
        </w:rPr>
        <w:t>667,0</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2021 году - по консервативному варианту – </w:t>
      </w:r>
      <w:r>
        <w:rPr>
          <w:rFonts w:ascii="Times New Roman" w:hAnsi="Times New Roman"/>
          <w:sz w:val="24"/>
          <w:szCs w:val="24"/>
        </w:rPr>
        <w:t>660,2</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базовому варианту прогноза – </w:t>
      </w:r>
      <w:r>
        <w:rPr>
          <w:rFonts w:ascii="Times New Roman" w:hAnsi="Times New Roman"/>
          <w:sz w:val="24"/>
          <w:szCs w:val="24"/>
        </w:rPr>
        <w:t>714,6</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по целевому варианту – 7</w:t>
      </w:r>
      <w:r>
        <w:rPr>
          <w:rFonts w:ascii="Times New Roman" w:hAnsi="Times New Roman"/>
          <w:sz w:val="24"/>
          <w:szCs w:val="24"/>
        </w:rPr>
        <w:t>60,2</w:t>
      </w:r>
      <w:r w:rsidRPr="0024199E">
        <w:rPr>
          <w:rFonts w:ascii="Times New Roman" w:hAnsi="Times New Roman"/>
          <w:sz w:val="24"/>
          <w:szCs w:val="24"/>
        </w:rPr>
        <w:t xml:space="preserve"> </w:t>
      </w:r>
      <w:r>
        <w:rPr>
          <w:rFonts w:ascii="Times New Roman" w:hAnsi="Times New Roman"/>
          <w:sz w:val="24"/>
          <w:szCs w:val="24"/>
        </w:rPr>
        <w:t>млрд.рублей.</w:t>
      </w:r>
    </w:p>
    <w:p w:rsidR="005B3E2C" w:rsidRDefault="005B3E2C" w:rsidP="00E11BE7">
      <w:pPr>
        <w:pStyle w:val="25"/>
        <w:spacing w:line="276" w:lineRule="auto"/>
        <w:ind w:firstLine="709"/>
        <w:jc w:val="both"/>
        <w:rPr>
          <w:rFonts w:ascii="Times New Roman" w:hAnsi="Times New Roman"/>
          <w:sz w:val="24"/>
          <w:szCs w:val="24"/>
        </w:rPr>
      </w:pPr>
      <w:r w:rsidRPr="005B3E2C">
        <w:rPr>
          <w:rFonts w:ascii="Times New Roman" w:hAnsi="Times New Roman"/>
          <w:sz w:val="24"/>
          <w:szCs w:val="24"/>
        </w:rPr>
        <w:t xml:space="preserve">Прогнозные значения </w:t>
      </w:r>
      <w:r>
        <w:rPr>
          <w:rFonts w:ascii="Times New Roman" w:hAnsi="Times New Roman"/>
          <w:sz w:val="24"/>
          <w:szCs w:val="24"/>
        </w:rPr>
        <w:t>показателей промышленного производства</w:t>
      </w:r>
      <w:r w:rsidRPr="005B3E2C">
        <w:rPr>
          <w:rFonts w:ascii="Times New Roman" w:hAnsi="Times New Roman"/>
          <w:sz w:val="24"/>
          <w:szCs w:val="24"/>
        </w:rPr>
        <w:t xml:space="preserve"> корректируются в сторону </w:t>
      </w:r>
      <w:r>
        <w:rPr>
          <w:rFonts w:ascii="Times New Roman" w:hAnsi="Times New Roman"/>
          <w:sz w:val="24"/>
          <w:szCs w:val="24"/>
        </w:rPr>
        <w:t>увеличения</w:t>
      </w:r>
      <w:r w:rsidRPr="005B3E2C">
        <w:rPr>
          <w:rFonts w:ascii="Times New Roman" w:hAnsi="Times New Roman"/>
          <w:sz w:val="24"/>
          <w:szCs w:val="24"/>
        </w:rPr>
        <w:t xml:space="preserve"> относительно прошлогоднего прогноза с учётом фактических данных за 2017</w:t>
      </w:r>
      <w:r>
        <w:rPr>
          <w:rFonts w:ascii="Times New Roman" w:hAnsi="Times New Roman"/>
          <w:sz w:val="24"/>
          <w:szCs w:val="24"/>
        </w:rPr>
        <w:t xml:space="preserve"> год и истекший период 2018 года</w:t>
      </w:r>
      <w:r w:rsidRPr="005B3E2C">
        <w:rPr>
          <w:rFonts w:ascii="Times New Roman" w:hAnsi="Times New Roman"/>
          <w:sz w:val="24"/>
          <w:szCs w:val="24"/>
        </w:rPr>
        <w:t xml:space="preserve">, сложившихся в размере </w:t>
      </w:r>
      <w:r w:rsidR="00C317CD">
        <w:rPr>
          <w:rFonts w:ascii="Times New Roman" w:hAnsi="Times New Roman"/>
          <w:sz w:val="24"/>
          <w:szCs w:val="24"/>
        </w:rPr>
        <w:t xml:space="preserve">значительно </w:t>
      </w:r>
      <w:r>
        <w:rPr>
          <w:rFonts w:ascii="Times New Roman" w:hAnsi="Times New Roman"/>
          <w:sz w:val="24"/>
          <w:szCs w:val="24"/>
        </w:rPr>
        <w:t>выше, чем ожидались годом ранее</w:t>
      </w:r>
      <w:r w:rsidRPr="005B3E2C">
        <w:rPr>
          <w:rFonts w:ascii="Times New Roman" w:hAnsi="Times New Roman"/>
          <w:sz w:val="24"/>
          <w:szCs w:val="24"/>
        </w:rPr>
        <w:t>.</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Существенный вклад в формирование динамики объемов производства внесет эффективная деятельность основных крупных промышленных предприятий автомобилестроения и химической отрасли.</w:t>
      </w:r>
    </w:p>
    <w:p w:rsidR="005E379A" w:rsidRDefault="005E379A" w:rsidP="00E11BE7">
      <w:pPr>
        <w:pStyle w:val="25"/>
        <w:spacing w:line="276" w:lineRule="auto"/>
        <w:ind w:firstLine="709"/>
        <w:jc w:val="both"/>
        <w:rPr>
          <w:rFonts w:ascii="Times New Roman" w:hAnsi="Times New Roman"/>
          <w:sz w:val="24"/>
          <w:szCs w:val="24"/>
        </w:rPr>
      </w:pPr>
      <w:r w:rsidRPr="00234D73">
        <w:rPr>
          <w:rFonts w:ascii="Times New Roman" w:hAnsi="Times New Roman"/>
          <w:sz w:val="24"/>
          <w:szCs w:val="24"/>
        </w:rPr>
        <w:t xml:space="preserve">На дальнейшее развитие автомобилестроения в прогнозном периоде окажут влияние следующие факторы: </w:t>
      </w:r>
    </w:p>
    <w:p w:rsidR="005E379A" w:rsidRPr="00234D73" w:rsidRDefault="005E379A" w:rsidP="00E11BE7">
      <w:pPr>
        <w:pStyle w:val="25"/>
        <w:spacing w:line="276" w:lineRule="auto"/>
        <w:ind w:firstLine="709"/>
        <w:jc w:val="both"/>
        <w:rPr>
          <w:rFonts w:ascii="Times New Roman" w:hAnsi="Times New Roman"/>
          <w:sz w:val="24"/>
          <w:szCs w:val="24"/>
        </w:rPr>
      </w:pPr>
      <w:r w:rsidRPr="00234D73">
        <w:rPr>
          <w:rFonts w:ascii="Times New Roman" w:hAnsi="Times New Roman"/>
          <w:sz w:val="24"/>
          <w:szCs w:val="24"/>
        </w:rPr>
        <w:t>- спрос на отечественные автомобили на внутреннем и внешнем рынках</w:t>
      </w:r>
      <w:r>
        <w:rPr>
          <w:rFonts w:ascii="Times New Roman" w:hAnsi="Times New Roman"/>
          <w:sz w:val="24"/>
          <w:szCs w:val="24"/>
        </w:rPr>
        <w:t>;</w:t>
      </w:r>
    </w:p>
    <w:p w:rsidR="005E379A" w:rsidRDefault="005E379A" w:rsidP="00E11BE7">
      <w:pPr>
        <w:pStyle w:val="25"/>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2A7925">
        <w:rPr>
          <w:rFonts w:ascii="Times New Roman" w:hAnsi="Times New Roman"/>
          <w:sz w:val="24"/>
          <w:szCs w:val="24"/>
        </w:rPr>
        <w:t xml:space="preserve">разработка и постановка на конвейер новых моделей и силовых агрегатов ПАО «АВТОВАЗ» в сотрудничестве с Альянсом </w:t>
      </w:r>
      <w:proofErr w:type="spellStart"/>
      <w:r w:rsidRPr="002A7925">
        <w:rPr>
          <w:rFonts w:ascii="Times New Roman" w:hAnsi="Times New Roman"/>
          <w:sz w:val="24"/>
          <w:szCs w:val="24"/>
        </w:rPr>
        <w:t>Renault-Nissan</w:t>
      </w:r>
      <w:proofErr w:type="spellEnd"/>
      <w:r w:rsidRPr="002A7925">
        <w:rPr>
          <w:rFonts w:ascii="Times New Roman" w:hAnsi="Times New Roman"/>
          <w:sz w:val="24"/>
          <w:szCs w:val="24"/>
        </w:rPr>
        <w:t xml:space="preserve">; </w:t>
      </w:r>
    </w:p>
    <w:p w:rsidR="000A4AC7" w:rsidRDefault="000A4AC7" w:rsidP="00E11BE7">
      <w:pPr>
        <w:pStyle w:val="25"/>
        <w:spacing w:line="276" w:lineRule="auto"/>
        <w:ind w:firstLine="709"/>
        <w:jc w:val="both"/>
        <w:rPr>
          <w:rFonts w:ascii="Times New Roman" w:hAnsi="Times New Roman"/>
          <w:sz w:val="24"/>
          <w:szCs w:val="24"/>
        </w:rPr>
      </w:pPr>
      <w:r w:rsidRPr="000A4AC7">
        <w:rPr>
          <w:rFonts w:ascii="Times New Roman" w:hAnsi="Times New Roman"/>
          <w:sz w:val="24"/>
          <w:szCs w:val="24"/>
        </w:rPr>
        <w:t>- расширение продаж автомобилей производства ПАО «АВТОВАЗ» за счет экспорта;</w:t>
      </w:r>
    </w:p>
    <w:p w:rsidR="005E379A" w:rsidRDefault="005E379A" w:rsidP="00E11BE7">
      <w:pPr>
        <w:pStyle w:val="25"/>
        <w:spacing w:line="276"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sidRPr="002A7925">
        <w:rPr>
          <w:rFonts w:ascii="Times New Roman" w:hAnsi="Times New Roman"/>
          <w:sz w:val="24"/>
          <w:szCs w:val="24"/>
        </w:rPr>
        <w:t>импортозамещение</w:t>
      </w:r>
      <w:proofErr w:type="spellEnd"/>
      <w:r w:rsidRPr="002A7925">
        <w:rPr>
          <w:rFonts w:ascii="Times New Roman" w:hAnsi="Times New Roman"/>
          <w:sz w:val="24"/>
          <w:szCs w:val="24"/>
        </w:rPr>
        <w:t xml:space="preserve"> </w:t>
      </w:r>
      <w:proofErr w:type="spellStart"/>
      <w:r w:rsidRPr="002A7925">
        <w:rPr>
          <w:rFonts w:ascii="Times New Roman" w:hAnsi="Times New Roman"/>
          <w:sz w:val="24"/>
          <w:szCs w:val="24"/>
        </w:rPr>
        <w:t>автокомпонентов</w:t>
      </w:r>
      <w:proofErr w:type="spellEnd"/>
      <w:r w:rsidRPr="002A7925">
        <w:rPr>
          <w:rFonts w:ascii="Times New Roman" w:hAnsi="Times New Roman"/>
          <w:sz w:val="24"/>
          <w:szCs w:val="24"/>
        </w:rPr>
        <w:t xml:space="preserve"> для производства </w:t>
      </w:r>
      <w:proofErr w:type="spellStart"/>
      <w:r w:rsidRPr="002A7925">
        <w:rPr>
          <w:rFonts w:ascii="Times New Roman" w:hAnsi="Times New Roman"/>
          <w:sz w:val="24"/>
          <w:szCs w:val="24"/>
        </w:rPr>
        <w:t>ПАО</w:t>
      </w:r>
      <w:proofErr w:type="spellEnd"/>
      <w:r w:rsidRPr="002A7925">
        <w:rPr>
          <w:rFonts w:ascii="Times New Roman" w:hAnsi="Times New Roman"/>
          <w:sz w:val="24"/>
          <w:szCs w:val="24"/>
        </w:rPr>
        <w:t xml:space="preserve"> «АВТОВАЗ»</w:t>
      </w:r>
      <w:r>
        <w:rPr>
          <w:rFonts w:ascii="Times New Roman" w:hAnsi="Times New Roman"/>
          <w:sz w:val="24"/>
          <w:szCs w:val="24"/>
        </w:rPr>
        <w:t>;</w:t>
      </w:r>
    </w:p>
    <w:p w:rsidR="005E379A" w:rsidRPr="00234D73" w:rsidRDefault="005E379A" w:rsidP="00E11BE7">
      <w:pPr>
        <w:pStyle w:val="25"/>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234D73">
        <w:rPr>
          <w:rFonts w:ascii="Times New Roman" w:hAnsi="Times New Roman"/>
          <w:sz w:val="24"/>
          <w:szCs w:val="24"/>
        </w:rPr>
        <w:t>меры по стимулированию российского рынка легковых автомобилей</w:t>
      </w:r>
      <w:r>
        <w:rPr>
          <w:rFonts w:ascii="Times New Roman" w:hAnsi="Times New Roman"/>
          <w:sz w:val="24"/>
          <w:szCs w:val="24"/>
        </w:rPr>
        <w:t>.</w:t>
      </w:r>
    </w:p>
    <w:p w:rsidR="005E379A" w:rsidRPr="0024199E" w:rsidRDefault="005E379A" w:rsidP="00E11BE7">
      <w:pPr>
        <w:pStyle w:val="23"/>
        <w:spacing w:after="0" w:line="276" w:lineRule="auto"/>
        <w:ind w:left="0" w:firstLine="709"/>
        <w:jc w:val="both"/>
        <w:outlineLvl w:val="0"/>
      </w:pPr>
      <w:r w:rsidRPr="0024199E">
        <w:t>По виду экономической деятельности «</w:t>
      </w:r>
      <w:r>
        <w:t>п</w:t>
      </w:r>
      <w:r w:rsidRPr="0024199E">
        <w:t xml:space="preserve">роизводство автотранспортных средств, прицепов и полуприцепов» по всем вариантам в 2021 году к 2017 году прогнозируется рост объемов производства: по консервативному варианту – на </w:t>
      </w:r>
      <w:r>
        <w:t>7,6</w:t>
      </w:r>
      <w:r w:rsidRPr="0024199E">
        <w:t xml:space="preserve"> %, по базовому варианту - на </w:t>
      </w:r>
      <w:r>
        <w:t>17</w:t>
      </w:r>
      <w:r w:rsidRPr="0024199E">
        <w:t xml:space="preserve">,6 %, по целевому – </w:t>
      </w:r>
      <w:r w:rsidR="00386117">
        <w:t xml:space="preserve">на </w:t>
      </w:r>
      <w:r>
        <w:t>26</w:t>
      </w:r>
      <w:r w:rsidRPr="0024199E">
        <w:t>,</w:t>
      </w:r>
      <w:r>
        <w:t>4</w:t>
      </w:r>
      <w:r w:rsidRPr="0024199E">
        <w:t xml:space="preserve"> %.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Всего по городскому округу Тольятти по консервативному, базовому и целевому вариантам прогноза </w:t>
      </w:r>
      <w:r>
        <w:rPr>
          <w:rFonts w:ascii="Times New Roman" w:hAnsi="Times New Roman"/>
          <w:sz w:val="24"/>
          <w:szCs w:val="24"/>
        </w:rPr>
        <w:t xml:space="preserve">к 2021 году будет произведено легковых автомобилей: </w:t>
      </w:r>
      <w:r w:rsidRPr="0024199E">
        <w:rPr>
          <w:rFonts w:ascii="Times New Roman" w:hAnsi="Times New Roman"/>
          <w:sz w:val="24"/>
          <w:szCs w:val="24"/>
        </w:rPr>
        <w:t>4</w:t>
      </w:r>
      <w:r>
        <w:rPr>
          <w:rFonts w:ascii="Times New Roman" w:hAnsi="Times New Roman"/>
          <w:sz w:val="24"/>
          <w:szCs w:val="24"/>
        </w:rPr>
        <w:t>50</w:t>
      </w:r>
      <w:r w:rsidRPr="0024199E">
        <w:rPr>
          <w:rFonts w:ascii="Times New Roman" w:hAnsi="Times New Roman"/>
          <w:sz w:val="24"/>
          <w:szCs w:val="24"/>
        </w:rPr>
        <w:t xml:space="preserve"> тыс. штук (</w:t>
      </w:r>
      <w:r>
        <w:rPr>
          <w:rFonts w:ascii="Times New Roman" w:hAnsi="Times New Roman"/>
          <w:sz w:val="24"/>
          <w:szCs w:val="24"/>
        </w:rPr>
        <w:t>111,1 % к 2018 году</w:t>
      </w:r>
      <w:r w:rsidRPr="0024199E">
        <w:rPr>
          <w:rFonts w:ascii="Times New Roman" w:hAnsi="Times New Roman"/>
          <w:sz w:val="24"/>
          <w:szCs w:val="24"/>
        </w:rPr>
        <w:t xml:space="preserve">), </w:t>
      </w:r>
      <w:r>
        <w:rPr>
          <w:rFonts w:ascii="Times New Roman" w:hAnsi="Times New Roman"/>
          <w:sz w:val="24"/>
          <w:szCs w:val="24"/>
        </w:rPr>
        <w:t>493,0</w:t>
      </w:r>
      <w:r w:rsidRPr="0024199E">
        <w:rPr>
          <w:rFonts w:ascii="Times New Roman" w:hAnsi="Times New Roman"/>
          <w:sz w:val="24"/>
          <w:szCs w:val="24"/>
        </w:rPr>
        <w:t xml:space="preserve"> тыс. штук (</w:t>
      </w:r>
      <w:r>
        <w:rPr>
          <w:rFonts w:ascii="Times New Roman" w:hAnsi="Times New Roman"/>
          <w:sz w:val="24"/>
          <w:szCs w:val="24"/>
        </w:rPr>
        <w:t>121</w:t>
      </w:r>
      <w:r w:rsidRPr="0024199E">
        <w:rPr>
          <w:rFonts w:ascii="Times New Roman" w:hAnsi="Times New Roman"/>
          <w:sz w:val="24"/>
          <w:szCs w:val="24"/>
        </w:rPr>
        <w:t>,</w:t>
      </w:r>
      <w:r>
        <w:rPr>
          <w:rFonts w:ascii="Times New Roman" w:hAnsi="Times New Roman"/>
          <w:sz w:val="24"/>
          <w:szCs w:val="24"/>
        </w:rPr>
        <w:t>7 % к 2018 году</w:t>
      </w:r>
      <w:r w:rsidRPr="0024199E">
        <w:rPr>
          <w:rFonts w:ascii="Times New Roman" w:hAnsi="Times New Roman"/>
          <w:sz w:val="24"/>
          <w:szCs w:val="24"/>
        </w:rPr>
        <w:t>), 5</w:t>
      </w:r>
      <w:r>
        <w:rPr>
          <w:rFonts w:ascii="Times New Roman" w:hAnsi="Times New Roman"/>
          <w:sz w:val="24"/>
          <w:szCs w:val="24"/>
        </w:rPr>
        <w:t>3</w:t>
      </w:r>
      <w:r w:rsidRPr="0024199E">
        <w:rPr>
          <w:rFonts w:ascii="Times New Roman" w:hAnsi="Times New Roman"/>
          <w:sz w:val="24"/>
          <w:szCs w:val="24"/>
        </w:rPr>
        <w:t>0 тыс. шт</w:t>
      </w:r>
      <w:r>
        <w:rPr>
          <w:rFonts w:ascii="Times New Roman" w:hAnsi="Times New Roman"/>
          <w:sz w:val="24"/>
          <w:szCs w:val="24"/>
        </w:rPr>
        <w:t>ук</w:t>
      </w:r>
      <w:r w:rsidRPr="0024199E">
        <w:rPr>
          <w:rFonts w:ascii="Times New Roman" w:hAnsi="Times New Roman"/>
          <w:sz w:val="24"/>
          <w:szCs w:val="24"/>
        </w:rPr>
        <w:t xml:space="preserve"> (</w:t>
      </w:r>
      <w:r>
        <w:rPr>
          <w:rFonts w:ascii="Times New Roman" w:hAnsi="Times New Roman"/>
          <w:sz w:val="24"/>
          <w:szCs w:val="24"/>
        </w:rPr>
        <w:t>130,9 % к 2018 году</w:t>
      </w:r>
      <w:r w:rsidRPr="0024199E">
        <w:rPr>
          <w:rFonts w:ascii="Times New Roman" w:hAnsi="Times New Roman"/>
          <w:sz w:val="24"/>
          <w:szCs w:val="24"/>
        </w:rPr>
        <w:t xml:space="preserve">) соответственно. </w:t>
      </w:r>
    </w:p>
    <w:p w:rsidR="005E379A"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Объем отгруженной продукции автомобильной промышленности к 2021 году достигнет:  по консервативному варианту прогноза – </w:t>
      </w:r>
      <w:r>
        <w:rPr>
          <w:rFonts w:ascii="Times New Roman" w:hAnsi="Times New Roman"/>
          <w:sz w:val="24"/>
          <w:szCs w:val="24"/>
        </w:rPr>
        <w:t>431,5</w:t>
      </w:r>
      <w:r w:rsidRPr="0024199E">
        <w:rPr>
          <w:rFonts w:ascii="Times New Roman" w:hAnsi="Times New Roman"/>
          <w:sz w:val="24"/>
          <w:szCs w:val="24"/>
        </w:rPr>
        <w:t xml:space="preserve"> </w:t>
      </w:r>
      <w:r>
        <w:rPr>
          <w:rFonts w:ascii="Times New Roman" w:hAnsi="Times New Roman"/>
          <w:sz w:val="24"/>
          <w:szCs w:val="24"/>
        </w:rPr>
        <w:t>млрд</w:t>
      </w:r>
      <w:proofErr w:type="gramStart"/>
      <w:r>
        <w:rPr>
          <w:rFonts w:ascii="Times New Roman" w:hAnsi="Times New Roman"/>
          <w:sz w:val="24"/>
          <w:szCs w:val="24"/>
        </w:rPr>
        <w:t>.р</w:t>
      </w:r>
      <w:proofErr w:type="gramEnd"/>
      <w:r>
        <w:rPr>
          <w:rFonts w:ascii="Times New Roman" w:hAnsi="Times New Roman"/>
          <w:sz w:val="24"/>
          <w:szCs w:val="24"/>
        </w:rPr>
        <w:t>ублей</w:t>
      </w:r>
      <w:r w:rsidRPr="0024199E">
        <w:rPr>
          <w:rFonts w:ascii="Times New Roman" w:hAnsi="Times New Roman"/>
          <w:sz w:val="24"/>
          <w:szCs w:val="24"/>
        </w:rPr>
        <w:t xml:space="preserve">, по базовому варианту – </w:t>
      </w:r>
      <w:r>
        <w:rPr>
          <w:rFonts w:ascii="Times New Roman" w:hAnsi="Times New Roman"/>
          <w:sz w:val="24"/>
          <w:szCs w:val="24"/>
        </w:rPr>
        <w:t>471,8</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целевому варианту – </w:t>
      </w:r>
      <w:r>
        <w:rPr>
          <w:rFonts w:ascii="Times New Roman" w:hAnsi="Times New Roman"/>
          <w:sz w:val="24"/>
          <w:szCs w:val="24"/>
        </w:rPr>
        <w:t>507,0</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w:t>
      </w:r>
    </w:p>
    <w:p w:rsidR="004F0A8C" w:rsidRPr="000660E7" w:rsidRDefault="000660E7" w:rsidP="00E11BE7">
      <w:pPr>
        <w:pStyle w:val="25"/>
        <w:spacing w:line="276" w:lineRule="auto"/>
        <w:ind w:firstLine="709"/>
        <w:jc w:val="both"/>
        <w:rPr>
          <w:rFonts w:ascii="Times New Roman" w:hAnsi="Times New Roman"/>
          <w:sz w:val="24"/>
          <w:szCs w:val="24"/>
        </w:rPr>
      </w:pPr>
      <w:r>
        <w:rPr>
          <w:rFonts w:ascii="Times New Roman" w:hAnsi="Times New Roman"/>
          <w:sz w:val="24"/>
          <w:szCs w:val="24"/>
        </w:rPr>
        <w:t>С</w:t>
      </w:r>
      <w:r w:rsidR="00377BFC" w:rsidRPr="000660E7">
        <w:rPr>
          <w:rFonts w:ascii="Times New Roman" w:hAnsi="Times New Roman"/>
          <w:sz w:val="24"/>
          <w:szCs w:val="24"/>
        </w:rPr>
        <w:t xml:space="preserve">огласно среднесрочному плану развития до 2026 года </w:t>
      </w:r>
      <w:r w:rsidRPr="00377BFC">
        <w:rPr>
          <w:rFonts w:ascii="Times New Roman" w:hAnsi="Times New Roman"/>
          <w:sz w:val="24"/>
          <w:szCs w:val="24"/>
        </w:rPr>
        <w:t>ПАО «АВТОВАЗ»</w:t>
      </w:r>
      <w:r w:rsidR="004F0A8C" w:rsidRPr="00377BFC">
        <w:rPr>
          <w:rFonts w:ascii="Times New Roman" w:hAnsi="Times New Roman"/>
          <w:sz w:val="24"/>
          <w:szCs w:val="24"/>
        </w:rPr>
        <w:t xml:space="preserve"> </w:t>
      </w:r>
      <w:r w:rsidR="00377BFC">
        <w:rPr>
          <w:rFonts w:ascii="Times New Roman" w:hAnsi="Times New Roman"/>
          <w:sz w:val="24"/>
          <w:szCs w:val="24"/>
        </w:rPr>
        <w:t>к</w:t>
      </w:r>
      <w:r w:rsidR="00377BFC" w:rsidRPr="00377BFC">
        <w:rPr>
          <w:rFonts w:ascii="Times New Roman" w:hAnsi="Times New Roman"/>
          <w:sz w:val="24"/>
          <w:szCs w:val="24"/>
        </w:rPr>
        <w:t xml:space="preserve"> 2019 году </w:t>
      </w:r>
      <w:r w:rsidR="00377BFC">
        <w:rPr>
          <w:rFonts w:ascii="Times New Roman" w:hAnsi="Times New Roman"/>
          <w:sz w:val="24"/>
          <w:szCs w:val="24"/>
        </w:rPr>
        <w:t>выпустит</w:t>
      </w:r>
      <w:r w:rsidR="00377BFC" w:rsidRPr="00377BFC">
        <w:rPr>
          <w:rFonts w:ascii="Times New Roman" w:hAnsi="Times New Roman"/>
          <w:sz w:val="24"/>
          <w:szCs w:val="24"/>
        </w:rPr>
        <w:t xml:space="preserve"> две новые модели и </w:t>
      </w:r>
      <w:r w:rsidR="00377BFC">
        <w:rPr>
          <w:rFonts w:ascii="Times New Roman" w:hAnsi="Times New Roman"/>
          <w:sz w:val="24"/>
          <w:szCs w:val="24"/>
        </w:rPr>
        <w:t>обновит</w:t>
      </w:r>
      <w:r w:rsidR="00377BFC" w:rsidRPr="00377BFC">
        <w:rPr>
          <w:rFonts w:ascii="Times New Roman" w:hAnsi="Times New Roman"/>
          <w:sz w:val="24"/>
          <w:szCs w:val="24"/>
        </w:rPr>
        <w:t xml:space="preserve"> четыре</w:t>
      </w:r>
      <w:r w:rsidR="00377BFC">
        <w:rPr>
          <w:rFonts w:ascii="Times New Roman" w:hAnsi="Times New Roman"/>
          <w:sz w:val="24"/>
          <w:szCs w:val="24"/>
        </w:rPr>
        <w:t>.</w:t>
      </w:r>
      <w:r w:rsidR="00377BFC" w:rsidRPr="00377BFC">
        <w:rPr>
          <w:rFonts w:ascii="Times New Roman" w:hAnsi="Times New Roman"/>
          <w:sz w:val="24"/>
          <w:szCs w:val="24"/>
        </w:rPr>
        <w:t xml:space="preserve"> </w:t>
      </w:r>
      <w:r w:rsidR="00377BFC" w:rsidRPr="000660E7">
        <w:rPr>
          <w:rFonts w:ascii="Times New Roman" w:hAnsi="Times New Roman"/>
          <w:sz w:val="24"/>
          <w:szCs w:val="24"/>
        </w:rPr>
        <w:t xml:space="preserve"> Всего к 2026 году </w:t>
      </w:r>
      <w:r w:rsidR="004F0A8C" w:rsidRPr="000660E7">
        <w:rPr>
          <w:rFonts w:ascii="Times New Roman" w:hAnsi="Times New Roman"/>
          <w:sz w:val="24"/>
          <w:szCs w:val="24"/>
        </w:rPr>
        <w:t xml:space="preserve">предприятие планирует запустить 12 новых моделей и 11 </w:t>
      </w:r>
      <w:proofErr w:type="spellStart"/>
      <w:r w:rsidR="004F0A8C" w:rsidRPr="000660E7">
        <w:rPr>
          <w:rFonts w:ascii="Times New Roman" w:hAnsi="Times New Roman"/>
          <w:sz w:val="24"/>
          <w:szCs w:val="24"/>
        </w:rPr>
        <w:t>фейслифтов</w:t>
      </w:r>
      <w:proofErr w:type="spellEnd"/>
      <w:r w:rsidR="004F0A8C" w:rsidRPr="000660E7">
        <w:rPr>
          <w:rFonts w:ascii="Times New Roman" w:hAnsi="Times New Roman"/>
          <w:sz w:val="24"/>
          <w:szCs w:val="24"/>
        </w:rPr>
        <w:t>.</w:t>
      </w:r>
    </w:p>
    <w:p w:rsidR="005E379A" w:rsidRDefault="005E379A" w:rsidP="00E11BE7">
      <w:pPr>
        <w:pStyle w:val="25"/>
        <w:spacing w:line="276" w:lineRule="auto"/>
        <w:ind w:firstLine="709"/>
        <w:jc w:val="both"/>
        <w:rPr>
          <w:rFonts w:ascii="Times New Roman" w:hAnsi="Times New Roman"/>
          <w:bCs/>
          <w:sz w:val="24"/>
          <w:szCs w:val="24"/>
        </w:rPr>
      </w:pPr>
      <w:r w:rsidRPr="000660E7">
        <w:rPr>
          <w:rFonts w:ascii="Times New Roman" w:hAnsi="Times New Roman"/>
          <w:sz w:val="24"/>
          <w:szCs w:val="24"/>
        </w:rPr>
        <w:t>Ситуация в химическом комплексе</w:t>
      </w:r>
      <w:r w:rsidRPr="0024199E">
        <w:rPr>
          <w:rFonts w:ascii="Times New Roman" w:hAnsi="Times New Roman"/>
          <w:bCs/>
          <w:sz w:val="24"/>
          <w:szCs w:val="24"/>
        </w:rPr>
        <w:t xml:space="preserve"> </w:t>
      </w:r>
      <w:r>
        <w:rPr>
          <w:rFonts w:ascii="Times New Roman" w:hAnsi="Times New Roman"/>
          <w:bCs/>
          <w:sz w:val="24"/>
          <w:szCs w:val="24"/>
        </w:rPr>
        <w:t>города</w:t>
      </w:r>
      <w:r w:rsidRPr="0024199E">
        <w:rPr>
          <w:rFonts w:ascii="Times New Roman" w:hAnsi="Times New Roman"/>
          <w:bCs/>
          <w:sz w:val="24"/>
          <w:szCs w:val="24"/>
        </w:rPr>
        <w:t xml:space="preserve"> будет определяться макроэкономическими условиями, влияющими на инвестиционную активность</w:t>
      </w:r>
      <w:r>
        <w:rPr>
          <w:rFonts w:ascii="Times New Roman" w:hAnsi="Times New Roman"/>
          <w:bCs/>
          <w:sz w:val="24"/>
          <w:szCs w:val="24"/>
        </w:rPr>
        <w:t xml:space="preserve"> </w:t>
      </w:r>
      <w:r>
        <w:rPr>
          <w:rFonts w:ascii="Times New Roman" w:hAnsi="Times New Roman"/>
          <w:bCs/>
          <w:sz w:val="24"/>
          <w:szCs w:val="24"/>
        </w:rPr>
        <w:lastRenderedPageBreak/>
        <w:t>предприятий</w:t>
      </w:r>
      <w:r w:rsidRPr="0024199E">
        <w:rPr>
          <w:rFonts w:ascii="Times New Roman" w:hAnsi="Times New Roman"/>
          <w:bCs/>
          <w:sz w:val="24"/>
          <w:szCs w:val="24"/>
        </w:rPr>
        <w:t>, колебанием цен</w:t>
      </w:r>
      <w:r>
        <w:rPr>
          <w:rFonts w:ascii="Times New Roman" w:hAnsi="Times New Roman"/>
          <w:bCs/>
          <w:sz w:val="24"/>
          <w:szCs w:val="24"/>
        </w:rPr>
        <w:t xml:space="preserve"> и </w:t>
      </w:r>
      <w:r w:rsidRPr="00634693">
        <w:rPr>
          <w:rFonts w:ascii="Times New Roman" w:hAnsi="Times New Roman"/>
          <w:bCs/>
          <w:sz w:val="24"/>
          <w:szCs w:val="24"/>
        </w:rPr>
        <w:t>усиление</w:t>
      </w:r>
      <w:r>
        <w:rPr>
          <w:rFonts w:ascii="Times New Roman" w:hAnsi="Times New Roman"/>
          <w:bCs/>
          <w:sz w:val="24"/>
          <w:szCs w:val="24"/>
        </w:rPr>
        <w:t>м</w:t>
      </w:r>
      <w:r w:rsidRPr="00634693">
        <w:rPr>
          <w:rFonts w:ascii="Times New Roman" w:hAnsi="Times New Roman"/>
          <w:bCs/>
          <w:sz w:val="24"/>
          <w:szCs w:val="24"/>
        </w:rPr>
        <w:t xml:space="preserve"> конкуренции на мировом  рынке химической продукции</w:t>
      </w:r>
      <w:r w:rsidRPr="0024199E">
        <w:rPr>
          <w:rFonts w:ascii="Times New Roman" w:hAnsi="Times New Roman"/>
          <w:bCs/>
          <w:sz w:val="24"/>
          <w:szCs w:val="24"/>
        </w:rPr>
        <w:t xml:space="preserve">. </w:t>
      </w:r>
    </w:p>
    <w:p w:rsidR="005E379A" w:rsidRPr="0024199E" w:rsidRDefault="005E379A" w:rsidP="00E11BE7">
      <w:pPr>
        <w:widowControl w:val="0"/>
        <w:spacing w:after="0"/>
        <w:ind w:firstLine="720"/>
        <w:jc w:val="both"/>
        <w:rPr>
          <w:rFonts w:ascii="Times New Roman" w:hAnsi="Times New Roman"/>
          <w:bCs/>
          <w:sz w:val="24"/>
          <w:szCs w:val="24"/>
        </w:rPr>
      </w:pPr>
      <w:r w:rsidRPr="0024199E">
        <w:rPr>
          <w:rFonts w:ascii="Times New Roman" w:hAnsi="Times New Roman"/>
          <w:bCs/>
          <w:sz w:val="24"/>
          <w:szCs w:val="24"/>
        </w:rPr>
        <w:t>Дальнейшее развитие химического производства обусловлено реализацией инвестиционных проектов на предприятиях городского округа Тольятти, а также развитием промышленной площадки индустриального парка «</w:t>
      </w:r>
      <w:proofErr w:type="spellStart"/>
      <w:r w:rsidRPr="0024199E">
        <w:rPr>
          <w:rFonts w:ascii="Times New Roman" w:hAnsi="Times New Roman"/>
          <w:bCs/>
          <w:sz w:val="24"/>
          <w:szCs w:val="24"/>
        </w:rPr>
        <w:t>Тольяттисинтез</w:t>
      </w:r>
      <w:proofErr w:type="spellEnd"/>
      <w:r w:rsidRPr="0024199E">
        <w:rPr>
          <w:rFonts w:ascii="Times New Roman" w:hAnsi="Times New Roman"/>
          <w:bCs/>
          <w:sz w:val="24"/>
          <w:szCs w:val="24"/>
        </w:rPr>
        <w:t>».</w:t>
      </w:r>
    </w:p>
    <w:p w:rsidR="005E379A" w:rsidRDefault="005E379A" w:rsidP="00E11BE7">
      <w:pPr>
        <w:widowControl w:val="0"/>
        <w:spacing w:after="0"/>
        <w:ind w:firstLine="720"/>
        <w:jc w:val="both"/>
        <w:rPr>
          <w:rFonts w:ascii="Times New Roman" w:hAnsi="Times New Roman"/>
          <w:sz w:val="24"/>
          <w:szCs w:val="24"/>
        </w:rPr>
      </w:pPr>
      <w:r>
        <w:rPr>
          <w:rFonts w:ascii="Times New Roman" w:hAnsi="Times New Roman"/>
          <w:bCs/>
          <w:sz w:val="24"/>
          <w:szCs w:val="24"/>
        </w:rPr>
        <w:t>На</w:t>
      </w:r>
      <w:r w:rsidRPr="0024199E">
        <w:rPr>
          <w:rFonts w:ascii="Times New Roman" w:hAnsi="Times New Roman"/>
          <w:bCs/>
          <w:sz w:val="24"/>
          <w:szCs w:val="24"/>
        </w:rPr>
        <w:t xml:space="preserve"> </w:t>
      </w:r>
      <w:proofErr w:type="spellStart"/>
      <w:r w:rsidRPr="0024199E">
        <w:rPr>
          <w:rFonts w:ascii="Times New Roman" w:hAnsi="Times New Roman"/>
          <w:sz w:val="24"/>
          <w:szCs w:val="24"/>
        </w:rPr>
        <w:t>ПАО</w:t>
      </w:r>
      <w:proofErr w:type="spellEnd"/>
      <w:r w:rsidRPr="0024199E">
        <w:rPr>
          <w:rFonts w:ascii="Times New Roman" w:hAnsi="Times New Roman"/>
          <w:sz w:val="24"/>
          <w:szCs w:val="24"/>
        </w:rPr>
        <w:t xml:space="preserve"> «</w:t>
      </w:r>
      <w:proofErr w:type="spellStart"/>
      <w:r w:rsidRPr="0024199E">
        <w:rPr>
          <w:rFonts w:ascii="Times New Roman" w:hAnsi="Times New Roman"/>
          <w:sz w:val="24"/>
          <w:szCs w:val="24"/>
        </w:rPr>
        <w:t>Куйбышев</w:t>
      </w:r>
      <w:r w:rsidR="00144879">
        <w:rPr>
          <w:rFonts w:ascii="Times New Roman" w:hAnsi="Times New Roman"/>
          <w:sz w:val="24"/>
          <w:szCs w:val="24"/>
        </w:rPr>
        <w:t>А</w:t>
      </w:r>
      <w:r w:rsidRPr="0024199E">
        <w:rPr>
          <w:rFonts w:ascii="Times New Roman" w:hAnsi="Times New Roman"/>
          <w:sz w:val="24"/>
          <w:szCs w:val="24"/>
        </w:rPr>
        <w:t>зот</w:t>
      </w:r>
      <w:proofErr w:type="spellEnd"/>
      <w:r w:rsidRPr="0024199E">
        <w:rPr>
          <w:rFonts w:ascii="Times New Roman" w:hAnsi="Times New Roman"/>
          <w:sz w:val="24"/>
          <w:szCs w:val="24"/>
        </w:rPr>
        <w:t>»</w:t>
      </w:r>
      <w:r>
        <w:rPr>
          <w:rFonts w:ascii="Times New Roman" w:hAnsi="Times New Roman"/>
          <w:sz w:val="24"/>
          <w:szCs w:val="24"/>
        </w:rPr>
        <w:t xml:space="preserve"> в прогнозном периоде</w:t>
      </w:r>
      <w:r w:rsidRPr="0024199E">
        <w:rPr>
          <w:rFonts w:ascii="Times New Roman" w:hAnsi="Times New Roman"/>
          <w:bCs/>
          <w:sz w:val="24"/>
          <w:szCs w:val="24"/>
        </w:rPr>
        <w:t xml:space="preserve"> </w:t>
      </w:r>
      <w:r w:rsidR="00483396">
        <w:rPr>
          <w:rFonts w:ascii="Times New Roman" w:hAnsi="Times New Roman"/>
          <w:bCs/>
          <w:sz w:val="24"/>
          <w:szCs w:val="24"/>
        </w:rPr>
        <w:t xml:space="preserve">в результате завершения инвестиционных проектов </w:t>
      </w:r>
      <w:r>
        <w:rPr>
          <w:rFonts w:ascii="Times New Roman" w:hAnsi="Times New Roman"/>
          <w:bCs/>
          <w:sz w:val="24"/>
          <w:szCs w:val="24"/>
        </w:rPr>
        <w:t xml:space="preserve">планируется </w:t>
      </w:r>
      <w:r w:rsidR="00483396">
        <w:rPr>
          <w:rFonts w:ascii="Times New Roman" w:hAnsi="Times New Roman"/>
          <w:bCs/>
          <w:sz w:val="24"/>
          <w:szCs w:val="24"/>
        </w:rPr>
        <w:t xml:space="preserve">наращивание производства </w:t>
      </w:r>
      <w:proofErr w:type="spellStart"/>
      <w:r w:rsidR="00483396">
        <w:rPr>
          <w:rFonts w:ascii="Times New Roman" w:hAnsi="Times New Roman"/>
          <w:bCs/>
          <w:sz w:val="24"/>
          <w:szCs w:val="24"/>
        </w:rPr>
        <w:t>капролактама</w:t>
      </w:r>
      <w:proofErr w:type="spellEnd"/>
      <w:r w:rsidR="00483396">
        <w:rPr>
          <w:rFonts w:ascii="Times New Roman" w:hAnsi="Times New Roman"/>
          <w:bCs/>
          <w:sz w:val="24"/>
          <w:szCs w:val="24"/>
        </w:rPr>
        <w:t xml:space="preserve"> и продуктов его дальнейшей переработки (полиамида-6, технической нити, кордонной ткани),  производства азотной кислоты с 1700 до 2056 тонн в сутки, аммиака и др</w:t>
      </w:r>
      <w:r w:rsidR="00144879">
        <w:rPr>
          <w:rFonts w:ascii="Times New Roman" w:hAnsi="Times New Roman"/>
          <w:bCs/>
          <w:sz w:val="24"/>
          <w:szCs w:val="24"/>
        </w:rPr>
        <w:t>угое</w:t>
      </w:r>
      <w:r w:rsidR="00483396">
        <w:rPr>
          <w:rFonts w:ascii="Times New Roman" w:hAnsi="Times New Roman"/>
          <w:bCs/>
          <w:sz w:val="24"/>
          <w:szCs w:val="24"/>
        </w:rPr>
        <w:t>.</w:t>
      </w:r>
    </w:p>
    <w:p w:rsidR="005E379A" w:rsidRPr="0024199E" w:rsidRDefault="005E379A" w:rsidP="00E11BE7">
      <w:pPr>
        <w:pStyle w:val="Default"/>
        <w:spacing w:line="276" w:lineRule="auto"/>
        <w:ind w:firstLine="709"/>
        <w:jc w:val="both"/>
      </w:pPr>
      <w:r w:rsidRPr="004F0A8C">
        <w:t xml:space="preserve">На ООО «СИБУР Тольятти» запланировано </w:t>
      </w:r>
      <w:r w:rsidR="00483396">
        <w:t xml:space="preserve">увеличение производства </w:t>
      </w:r>
      <w:r w:rsidR="00386117">
        <w:t xml:space="preserve">синтетического </w:t>
      </w:r>
      <w:r w:rsidR="00483396">
        <w:t>каучука.</w:t>
      </w:r>
      <w:r w:rsidRPr="0024199E">
        <w:t xml:space="preserve"> </w:t>
      </w:r>
    </w:p>
    <w:p w:rsidR="005E379A" w:rsidRPr="0024199E" w:rsidRDefault="005E379A" w:rsidP="00E11BE7">
      <w:pPr>
        <w:pStyle w:val="Default"/>
        <w:spacing w:line="276" w:lineRule="auto"/>
        <w:ind w:firstLine="709"/>
        <w:jc w:val="both"/>
      </w:pPr>
      <w:r w:rsidRPr="0024199E">
        <w:t xml:space="preserve">Индекс производства в химической промышленности в прогнозном периоде по отношению к предыдущему году составит: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2019 году по консервативному варианту прогноза </w:t>
      </w:r>
      <w:r>
        <w:rPr>
          <w:rFonts w:ascii="Times New Roman" w:hAnsi="Times New Roman"/>
          <w:sz w:val="24"/>
          <w:szCs w:val="24"/>
        </w:rPr>
        <w:t>–</w:t>
      </w:r>
      <w:r w:rsidRPr="0024199E">
        <w:rPr>
          <w:rFonts w:ascii="Times New Roman" w:hAnsi="Times New Roman"/>
          <w:sz w:val="24"/>
          <w:szCs w:val="24"/>
        </w:rPr>
        <w:t xml:space="preserve"> </w:t>
      </w:r>
      <w:r>
        <w:rPr>
          <w:rFonts w:ascii="Times New Roman" w:hAnsi="Times New Roman"/>
          <w:sz w:val="24"/>
          <w:szCs w:val="24"/>
        </w:rPr>
        <w:t>101,0</w:t>
      </w:r>
      <w:r w:rsidRPr="0024199E">
        <w:rPr>
          <w:rFonts w:ascii="Times New Roman" w:hAnsi="Times New Roman"/>
          <w:sz w:val="24"/>
          <w:szCs w:val="24"/>
        </w:rPr>
        <w:t xml:space="preserve"> %, по базовому – </w:t>
      </w:r>
      <w:r>
        <w:rPr>
          <w:rFonts w:ascii="Times New Roman" w:hAnsi="Times New Roman"/>
          <w:sz w:val="24"/>
          <w:szCs w:val="24"/>
        </w:rPr>
        <w:t>103,0</w:t>
      </w:r>
      <w:r w:rsidRPr="0024199E">
        <w:rPr>
          <w:rFonts w:ascii="Times New Roman" w:hAnsi="Times New Roman"/>
          <w:sz w:val="24"/>
          <w:szCs w:val="24"/>
        </w:rPr>
        <w:t xml:space="preserve"> %, по целевому – </w:t>
      </w:r>
      <w:r>
        <w:rPr>
          <w:rFonts w:ascii="Times New Roman" w:hAnsi="Times New Roman"/>
          <w:sz w:val="24"/>
          <w:szCs w:val="24"/>
        </w:rPr>
        <w:t>104,0</w:t>
      </w:r>
      <w:r w:rsidRPr="0024199E">
        <w:rPr>
          <w:rFonts w:ascii="Times New Roman" w:hAnsi="Times New Roman"/>
          <w:sz w:val="24"/>
          <w:szCs w:val="24"/>
        </w:rPr>
        <w:t xml:space="preserve"> %;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2020 году по консервативному варианту прогноза – </w:t>
      </w:r>
      <w:r>
        <w:rPr>
          <w:rFonts w:ascii="Times New Roman" w:hAnsi="Times New Roman"/>
          <w:sz w:val="24"/>
          <w:szCs w:val="24"/>
        </w:rPr>
        <w:t>101,2</w:t>
      </w:r>
      <w:r w:rsidRPr="0024199E">
        <w:rPr>
          <w:rFonts w:ascii="Times New Roman" w:hAnsi="Times New Roman"/>
          <w:sz w:val="24"/>
          <w:szCs w:val="24"/>
        </w:rPr>
        <w:t xml:space="preserve"> %, по базовому – </w:t>
      </w:r>
      <w:r>
        <w:rPr>
          <w:rFonts w:ascii="Times New Roman" w:hAnsi="Times New Roman"/>
          <w:sz w:val="24"/>
          <w:szCs w:val="24"/>
        </w:rPr>
        <w:t>103,3</w:t>
      </w:r>
      <w:r w:rsidRPr="0024199E">
        <w:rPr>
          <w:rFonts w:ascii="Times New Roman" w:hAnsi="Times New Roman"/>
          <w:sz w:val="24"/>
          <w:szCs w:val="24"/>
        </w:rPr>
        <w:t xml:space="preserve"> %, по целевому – </w:t>
      </w:r>
      <w:r>
        <w:rPr>
          <w:rFonts w:ascii="Times New Roman" w:hAnsi="Times New Roman"/>
          <w:sz w:val="24"/>
          <w:szCs w:val="24"/>
        </w:rPr>
        <w:t>104,5</w:t>
      </w:r>
      <w:r w:rsidRPr="0024199E">
        <w:rPr>
          <w:rFonts w:ascii="Times New Roman" w:hAnsi="Times New Roman"/>
          <w:sz w:val="24"/>
          <w:szCs w:val="24"/>
        </w:rPr>
        <w:t xml:space="preserve"> %; </w:t>
      </w:r>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 в 2021 году по консервативному варианту прогноза </w:t>
      </w:r>
      <w:r>
        <w:rPr>
          <w:rFonts w:ascii="Times New Roman" w:hAnsi="Times New Roman"/>
          <w:sz w:val="24"/>
          <w:szCs w:val="24"/>
        </w:rPr>
        <w:t>–</w:t>
      </w:r>
      <w:r w:rsidRPr="0024199E">
        <w:rPr>
          <w:rFonts w:ascii="Times New Roman" w:hAnsi="Times New Roman"/>
          <w:sz w:val="24"/>
          <w:szCs w:val="24"/>
        </w:rPr>
        <w:t xml:space="preserve"> </w:t>
      </w:r>
      <w:r>
        <w:rPr>
          <w:rFonts w:ascii="Times New Roman" w:hAnsi="Times New Roman"/>
          <w:sz w:val="24"/>
          <w:szCs w:val="24"/>
        </w:rPr>
        <w:t>101,4</w:t>
      </w:r>
      <w:r w:rsidRPr="0024199E">
        <w:rPr>
          <w:rFonts w:ascii="Times New Roman" w:hAnsi="Times New Roman"/>
          <w:sz w:val="24"/>
          <w:szCs w:val="24"/>
        </w:rPr>
        <w:t xml:space="preserve"> %, по базовому – 103,</w:t>
      </w:r>
      <w:r>
        <w:rPr>
          <w:rFonts w:ascii="Times New Roman" w:hAnsi="Times New Roman"/>
          <w:sz w:val="24"/>
          <w:szCs w:val="24"/>
        </w:rPr>
        <w:t>6 %, по целевому – 105,0</w:t>
      </w:r>
      <w:r w:rsidRPr="0024199E">
        <w:rPr>
          <w:rFonts w:ascii="Times New Roman" w:hAnsi="Times New Roman"/>
          <w:sz w:val="24"/>
          <w:szCs w:val="24"/>
        </w:rPr>
        <w:t xml:space="preserve"> %.</w:t>
      </w:r>
    </w:p>
    <w:p w:rsidR="005E379A" w:rsidRPr="0024199E" w:rsidRDefault="005E379A" w:rsidP="00E11BE7">
      <w:pPr>
        <w:pStyle w:val="25"/>
        <w:spacing w:line="276" w:lineRule="auto"/>
        <w:ind w:firstLine="709"/>
        <w:jc w:val="both"/>
        <w:rPr>
          <w:rFonts w:ascii="Times New Roman" w:hAnsi="Times New Roman"/>
          <w:sz w:val="24"/>
          <w:szCs w:val="24"/>
        </w:rPr>
      </w:pPr>
      <w:proofErr w:type="gramStart"/>
      <w:r w:rsidRPr="0024199E">
        <w:rPr>
          <w:rFonts w:ascii="Times New Roman" w:hAnsi="Times New Roman"/>
          <w:sz w:val="24"/>
          <w:szCs w:val="24"/>
        </w:rPr>
        <w:t xml:space="preserve">В 2021 году химическое производство увеличится к 2017 году на </w:t>
      </w:r>
      <w:r>
        <w:rPr>
          <w:rFonts w:ascii="Times New Roman" w:hAnsi="Times New Roman"/>
          <w:sz w:val="24"/>
          <w:szCs w:val="24"/>
        </w:rPr>
        <w:t>3,6</w:t>
      </w:r>
      <w:r w:rsidRPr="0024199E">
        <w:rPr>
          <w:rFonts w:ascii="Times New Roman" w:hAnsi="Times New Roman"/>
          <w:sz w:val="24"/>
          <w:szCs w:val="24"/>
        </w:rPr>
        <w:t xml:space="preserve"> %  по консервативному варианту, по базовому – на </w:t>
      </w:r>
      <w:r>
        <w:rPr>
          <w:rFonts w:ascii="Times New Roman" w:hAnsi="Times New Roman"/>
          <w:sz w:val="24"/>
          <w:szCs w:val="24"/>
        </w:rPr>
        <w:t>10,2</w:t>
      </w:r>
      <w:r w:rsidRPr="0024199E">
        <w:rPr>
          <w:rFonts w:ascii="Times New Roman" w:hAnsi="Times New Roman"/>
          <w:sz w:val="24"/>
          <w:szCs w:val="24"/>
        </w:rPr>
        <w:t xml:space="preserve"> %, по целевому - на </w:t>
      </w:r>
      <w:r>
        <w:rPr>
          <w:rFonts w:ascii="Times New Roman" w:hAnsi="Times New Roman"/>
          <w:sz w:val="24"/>
          <w:szCs w:val="24"/>
        </w:rPr>
        <w:t>14,1</w:t>
      </w:r>
      <w:r w:rsidRPr="0024199E">
        <w:rPr>
          <w:rFonts w:ascii="Times New Roman" w:hAnsi="Times New Roman"/>
          <w:sz w:val="24"/>
          <w:szCs w:val="24"/>
        </w:rPr>
        <w:t xml:space="preserve"> %.</w:t>
      </w:r>
      <w:proofErr w:type="gramEnd"/>
    </w:p>
    <w:p w:rsidR="005E379A" w:rsidRPr="0024199E" w:rsidRDefault="005E379A" w:rsidP="00E11BE7">
      <w:pPr>
        <w:pStyle w:val="25"/>
        <w:spacing w:line="276" w:lineRule="auto"/>
        <w:ind w:firstLine="709"/>
        <w:jc w:val="both"/>
        <w:rPr>
          <w:rFonts w:ascii="Times New Roman" w:hAnsi="Times New Roman"/>
          <w:sz w:val="24"/>
          <w:szCs w:val="24"/>
        </w:rPr>
      </w:pPr>
      <w:r w:rsidRPr="0024199E">
        <w:rPr>
          <w:rFonts w:ascii="Times New Roman" w:hAnsi="Times New Roman"/>
          <w:sz w:val="24"/>
          <w:szCs w:val="24"/>
        </w:rPr>
        <w:t xml:space="preserve">К 2021 году объем отгруженной промышленной продукции химических производств составит </w:t>
      </w:r>
      <w:r>
        <w:rPr>
          <w:rFonts w:ascii="Times New Roman" w:hAnsi="Times New Roman"/>
          <w:sz w:val="24"/>
          <w:szCs w:val="24"/>
        </w:rPr>
        <w:t>150,2</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w:t>
      </w:r>
      <w:r>
        <w:rPr>
          <w:rFonts w:ascii="Times New Roman" w:hAnsi="Times New Roman"/>
          <w:sz w:val="24"/>
          <w:szCs w:val="24"/>
        </w:rPr>
        <w:t>159,7</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и </w:t>
      </w:r>
      <w:r>
        <w:rPr>
          <w:rFonts w:ascii="Times New Roman" w:hAnsi="Times New Roman"/>
          <w:sz w:val="24"/>
          <w:szCs w:val="24"/>
        </w:rPr>
        <w:t>165,3</w:t>
      </w:r>
      <w:r w:rsidRPr="0024199E">
        <w:rPr>
          <w:rFonts w:ascii="Times New Roman" w:hAnsi="Times New Roman"/>
          <w:sz w:val="24"/>
          <w:szCs w:val="24"/>
        </w:rPr>
        <w:t xml:space="preserve"> </w:t>
      </w:r>
      <w:r>
        <w:rPr>
          <w:rFonts w:ascii="Times New Roman" w:hAnsi="Times New Roman"/>
          <w:sz w:val="24"/>
          <w:szCs w:val="24"/>
        </w:rPr>
        <w:t>млрд.рублей</w:t>
      </w:r>
      <w:r w:rsidRPr="0024199E">
        <w:rPr>
          <w:rFonts w:ascii="Times New Roman" w:hAnsi="Times New Roman"/>
          <w:sz w:val="24"/>
          <w:szCs w:val="24"/>
        </w:rPr>
        <w:t xml:space="preserve"> по трем вариантам прогноза соответственно. </w:t>
      </w:r>
    </w:p>
    <w:p w:rsidR="005E379A" w:rsidRPr="00631E3F" w:rsidRDefault="005E379A" w:rsidP="00E11BE7">
      <w:pPr>
        <w:pStyle w:val="Default"/>
        <w:spacing w:line="276" w:lineRule="auto"/>
        <w:ind w:firstLine="709"/>
        <w:jc w:val="both"/>
      </w:pPr>
      <w:r w:rsidRPr="00631E3F">
        <w:t xml:space="preserve">За счёт расширения ассортимента и качества производимой продукции, а также </w:t>
      </w:r>
      <w:r>
        <w:t xml:space="preserve">технического перевооружения и </w:t>
      </w:r>
      <w:r w:rsidRPr="00631E3F">
        <w:t xml:space="preserve">модернизации производства в прогнозном периоде прогнозируется рост производства пищевых продуктов. </w:t>
      </w:r>
      <w:r>
        <w:t>П</w:t>
      </w:r>
      <w:r w:rsidRPr="00631E3F">
        <w:t xml:space="preserve">рогнозируется увеличение выпуска </w:t>
      </w:r>
      <w:r>
        <w:t xml:space="preserve">колбасных изделий, </w:t>
      </w:r>
      <w:r w:rsidRPr="00631E3F">
        <w:t>полуфабрикатов мясных,</w:t>
      </w:r>
      <w:r>
        <w:t xml:space="preserve"> </w:t>
      </w:r>
      <w:r w:rsidRPr="00631E3F">
        <w:t xml:space="preserve">хлеба и хлебобулочных изделий </w:t>
      </w:r>
      <w:r>
        <w:t>кондитерских изделий</w:t>
      </w:r>
      <w:r w:rsidRPr="00631E3F">
        <w:t>.</w:t>
      </w:r>
    </w:p>
    <w:p w:rsidR="000660E7" w:rsidRDefault="000660E7" w:rsidP="00E11BE7">
      <w:pPr>
        <w:pStyle w:val="Default"/>
        <w:spacing w:line="276" w:lineRule="auto"/>
        <w:ind w:firstLine="709"/>
        <w:jc w:val="both"/>
      </w:pPr>
      <w:proofErr w:type="gramStart"/>
      <w:r>
        <w:t xml:space="preserve">В прогнозном периоде </w:t>
      </w:r>
      <w:r w:rsidRPr="000660E7">
        <w:t>АО  Московский завод плавленых сыров «КАРАТ»</w:t>
      </w:r>
      <w:r>
        <w:t xml:space="preserve"> п</w:t>
      </w:r>
      <w:r w:rsidRPr="000660E7">
        <w:t>ланируе</w:t>
      </w:r>
      <w:r>
        <w:t>т строительство на территории городского округа Тольятти</w:t>
      </w:r>
      <w:r w:rsidRPr="000660E7">
        <w:t xml:space="preserve"> завод </w:t>
      </w:r>
      <w:r>
        <w:t>по</w:t>
      </w:r>
      <w:r w:rsidRPr="000660E7">
        <w:t xml:space="preserve"> первичной переработки молока, производства творожных, полутвердых, мягких, рассольных сыров, творога зернёного из экологически чистых продуктов</w:t>
      </w:r>
      <w:r>
        <w:t xml:space="preserve"> (</w:t>
      </w:r>
      <w:r w:rsidRPr="000660E7">
        <w:t>6 сентября 2018 подписан инвестиционный меморандум</w:t>
      </w:r>
      <w:r>
        <w:t xml:space="preserve"> с плановыми объемами инвестиций – 4,3 млрд. рублей, 400 новых рабочих мест)</w:t>
      </w:r>
      <w:r w:rsidR="00C125EA">
        <w:t>.</w:t>
      </w:r>
      <w:proofErr w:type="gramEnd"/>
    </w:p>
    <w:p w:rsidR="00775583" w:rsidRDefault="00775583" w:rsidP="00E11BE7">
      <w:pPr>
        <w:pStyle w:val="Default"/>
        <w:spacing w:line="276" w:lineRule="auto"/>
        <w:ind w:firstLine="709"/>
        <w:jc w:val="both"/>
      </w:pPr>
      <w:r w:rsidRPr="00775583">
        <w:t>Для развития пищевой промышленности необходимо развитие мелких производств. Это позволит не только расширить конкурентную среду, но и насытить рынок продовольствия продуктами питания расширенного ассортимента по более низким ценам.</w:t>
      </w:r>
    </w:p>
    <w:p w:rsidR="005E379A" w:rsidRPr="0024199E" w:rsidRDefault="005E379A" w:rsidP="00E11BE7">
      <w:pPr>
        <w:pStyle w:val="25"/>
        <w:spacing w:line="276" w:lineRule="auto"/>
        <w:ind w:firstLine="709"/>
        <w:jc w:val="both"/>
        <w:rPr>
          <w:rFonts w:ascii="Times New Roman" w:hAnsi="Times New Roman"/>
          <w:iCs/>
          <w:sz w:val="24"/>
          <w:szCs w:val="24"/>
        </w:rPr>
      </w:pPr>
      <w:r>
        <w:rPr>
          <w:rFonts w:ascii="Times New Roman" w:hAnsi="Times New Roman"/>
          <w:sz w:val="24"/>
          <w:szCs w:val="24"/>
        </w:rPr>
        <w:t xml:space="preserve">Положительная динамика в автомобилестроении обеспечит в прогнозном периоде рост объемов смежных производств: </w:t>
      </w:r>
      <w:r w:rsidRPr="0024199E">
        <w:rPr>
          <w:rFonts w:ascii="Times New Roman" w:hAnsi="Times New Roman"/>
          <w:sz w:val="24"/>
          <w:szCs w:val="24"/>
        </w:rPr>
        <w:t>производств</w:t>
      </w:r>
      <w:r>
        <w:rPr>
          <w:rFonts w:ascii="Times New Roman" w:hAnsi="Times New Roman"/>
          <w:sz w:val="24"/>
          <w:szCs w:val="24"/>
        </w:rPr>
        <w:t>а</w:t>
      </w:r>
      <w:r w:rsidRPr="0024199E">
        <w:rPr>
          <w:rFonts w:ascii="Times New Roman" w:hAnsi="Times New Roman"/>
          <w:sz w:val="24"/>
          <w:szCs w:val="24"/>
        </w:rPr>
        <w:t xml:space="preserve"> текстильных изделий </w:t>
      </w:r>
      <w:r>
        <w:rPr>
          <w:rFonts w:ascii="Times New Roman" w:hAnsi="Times New Roman"/>
          <w:iCs/>
          <w:sz w:val="24"/>
          <w:szCs w:val="24"/>
        </w:rPr>
        <w:t xml:space="preserve"> и </w:t>
      </w:r>
      <w:r w:rsidRPr="0024199E">
        <w:rPr>
          <w:rFonts w:ascii="Times New Roman" w:hAnsi="Times New Roman"/>
          <w:sz w:val="24"/>
          <w:szCs w:val="24"/>
        </w:rPr>
        <w:t>резиновых и пластмассовых изделий</w:t>
      </w:r>
      <w:r>
        <w:rPr>
          <w:rFonts w:ascii="Times New Roman" w:hAnsi="Times New Roman"/>
          <w:sz w:val="24"/>
          <w:szCs w:val="24"/>
        </w:rPr>
        <w:t xml:space="preserve"> будут демонстрировать стабильный рост</w:t>
      </w:r>
      <w:r>
        <w:rPr>
          <w:rFonts w:ascii="Times New Roman" w:hAnsi="Times New Roman"/>
          <w:iCs/>
          <w:sz w:val="24"/>
          <w:szCs w:val="24"/>
        </w:rPr>
        <w:t>.</w:t>
      </w:r>
    </w:p>
    <w:p w:rsidR="00CB5B4C" w:rsidRDefault="005E379A" w:rsidP="00E11BE7">
      <w:pPr>
        <w:pStyle w:val="25"/>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С учетом низкой базы предыдущих периодов </w:t>
      </w:r>
      <w:r w:rsidR="00CB5B4C">
        <w:rPr>
          <w:rFonts w:ascii="Times New Roman" w:hAnsi="Times New Roman"/>
          <w:sz w:val="24"/>
          <w:szCs w:val="24"/>
        </w:rPr>
        <w:t xml:space="preserve">на основании планов по </w:t>
      </w:r>
      <w:r w:rsidR="00CB5B4C" w:rsidRPr="00CB5B4C">
        <w:rPr>
          <w:rFonts w:ascii="Times New Roman" w:hAnsi="Times New Roman"/>
          <w:sz w:val="24"/>
          <w:szCs w:val="24"/>
        </w:rPr>
        <w:t>техническо</w:t>
      </w:r>
      <w:r w:rsidR="00CB5B4C">
        <w:rPr>
          <w:rFonts w:ascii="Times New Roman" w:hAnsi="Times New Roman"/>
          <w:sz w:val="24"/>
          <w:szCs w:val="24"/>
        </w:rPr>
        <w:t>му</w:t>
      </w:r>
      <w:r w:rsidR="00CB5B4C" w:rsidRPr="00CB5B4C">
        <w:rPr>
          <w:rFonts w:ascii="Times New Roman" w:hAnsi="Times New Roman"/>
          <w:sz w:val="24"/>
          <w:szCs w:val="24"/>
        </w:rPr>
        <w:t xml:space="preserve"> перевооружени</w:t>
      </w:r>
      <w:r w:rsidR="00CB5B4C">
        <w:rPr>
          <w:rFonts w:ascii="Times New Roman" w:hAnsi="Times New Roman"/>
          <w:sz w:val="24"/>
          <w:szCs w:val="24"/>
        </w:rPr>
        <w:t>ю</w:t>
      </w:r>
      <w:r w:rsidR="00CB5B4C" w:rsidRPr="00CB5B4C">
        <w:rPr>
          <w:rFonts w:ascii="Times New Roman" w:hAnsi="Times New Roman"/>
          <w:sz w:val="24"/>
          <w:szCs w:val="24"/>
        </w:rPr>
        <w:t xml:space="preserve"> и модернизаци</w:t>
      </w:r>
      <w:r w:rsidR="00CB5B4C">
        <w:rPr>
          <w:rFonts w:ascii="Times New Roman" w:hAnsi="Times New Roman"/>
          <w:sz w:val="24"/>
          <w:szCs w:val="24"/>
        </w:rPr>
        <w:t>и</w:t>
      </w:r>
      <w:r w:rsidR="00CB5B4C" w:rsidRPr="00CB5B4C">
        <w:rPr>
          <w:rFonts w:ascii="Times New Roman" w:hAnsi="Times New Roman"/>
          <w:sz w:val="24"/>
          <w:szCs w:val="24"/>
        </w:rPr>
        <w:t xml:space="preserve"> производственных мощностей, освоени</w:t>
      </w:r>
      <w:r w:rsidR="00CB5B4C">
        <w:rPr>
          <w:rFonts w:ascii="Times New Roman" w:hAnsi="Times New Roman"/>
          <w:sz w:val="24"/>
          <w:szCs w:val="24"/>
        </w:rPr>
        <w:t>ю</w:t>
      </w:r>
      <w:r w:rsidR="00CB5B4C" w:rsidRPr="00CB5B4C">
        <w:rPr>
          <w:rFonts w:ascii="Times New Roman" w:hAnsi="Times New Roman"/>
          <w:sz w:val="24"/>
          <w:szCs w:val="24"/>
        </w:rPr>
        <w:t xml:space="preserve"> новых видов</w:t>
      </w:r>
      <w:r w:rsidR="00CB5B4C">
        <w:rPr>
          <w:rFonts w:ascii="Times New Roman" w:hAnsi="Times New Roman"/>
          <w:sz w:val="24"/>
          <w:szCs w:val="24"/>
        </w:rPr>
        <w:t xml:space="preserve"> продукции </w:t>
      </w:r>
      <w:r>
        <w:rPr>
          <w:rFonts w:ascii="Times New Roman" w:hAnsi="Times New Roman"/>
          <w:sz w:val="24"/>
          <w:szCs w:val="24"/>
        </w:rPr>
        <w:t xml:space="preserve">увеличится </w:t>
      </w:r>
      <w:r w:rsidRPr="0024199E">
        <w:rPr>
          <w:rFonts w:ascii="Times New Roman" w:hAnsi="Times New Roman"/>
          <w:sz w:val="24"/>
          <w:szCs w:val="24"/>
        </w:rPr>
        <w:t>производство</w:t>
      </w:r>
      <w:r w:rsidR="00CB5B4C">
        <w:rPr>
          <w:rFonts w:ascii="Times New Roman" w:hAnsi="Times New Roman"/>
          <w:sz w:val="24"/>
          <w:szCs w:val="24"/>
        </w:rPr>
        <w:t>:</w:t>
      </w:r>
      <w:r w:rsidRPr="0024199E">
        <w:rPr>
          <w:rFonts w:ascii="Times New Roman" w:hAnsi="Times New Roman"/>
          <w:sz w:val="24"/>
          <w:szCs w:val="24"/>
        </w:rPr>
        <w:t xml:space="preserve"> прочей неметаллической минеральной </w:t>
      </w:r>
      <w:r w:rsidRPr="0024199E">
        <w:rPr>
          <w:rFonts w:ascii="Times New Roman" w:hAnsi="Times New Roman"/>
          <w:sz w:val="24"/>
          <w:szCs w:val="24"/>
        </w:rPr>
        <w:lastRenderedPageBreak/>
        <w:t>продукции</w:t>
      </w:r>
      <w:r>
        <w:rPr>
          <w:rFonts w:ascii="Times New Roman" w:hAnsi="Times New Roman"/>
          <w:sz w:val="24"/>
          <w:szCs w:val="24"/>
        </w:rPr>
        <w:t>, металлургическое производство</w:t>
      </w:r>
      <w:r w:rsidR="00CB5B4C">
        <w:rPr>
          <w:rFonts w:ascii="Times New Roman" w:hAnsi="Times New Roman"/>
          <w:sz w:val="24"/>
          <w:szCs w:val="24"/>
        </w:rPr>
        <w:t xml:space="preserve">, </w:t>
      </w:r>
      <w:r>
        <w:rPr>
          <w:rFonts w:ascii="Times New Roman" w:hAnsi="Times New Roman"/>
          <w:sz w:val="24"/>
          <w:szCs w:val="24"/>
        </w:rPr>
        <w:t xml:space="preserve"> производство электрического оборудования</w:t>
      </w:r>
      <w:r w:rsidR="00CB5B4C">
        <w:rPr>
          <w:rFonts w:ascii="Times New Roman" w:hAnsi="Times New Roman"/>
          <w:sz w:val="24"/>
          <w:szCs w:val="24"/>
        </w:rPr>
        <w:t xml:space="preserve"> </w:t>
      </w:r>
      <w:r w:rsidR="00CB5B4C">
        <w:t xml:space="preserve"> </w:t>
      </w:r>
      <w:r w:rsidR="00CB5B4C">
        <w:rPr>
          <w:rFonts w:ascii="Times New Roman" w:hAnsi="Times New Roman"/>
          <w:sz w:val="24"/>
          <w:szCs w:val="24"/>
        </w:rPr>
        <w:t xml:space="preserve">и </w:t>
      </w:r>
      <w:r w:rsidR="00CB5B4C" w:rsidRPr="00CB5B4C">
        <w:rPr>
          <w:rFonts w:ascii="Times New Roman" w:hAnsi="Times New Roman"/>
          <w:sz w:val="24"/>
          <w:szCs w:val="24"/>
        </w:rPr>
        <w:t>производстве готовых металлических изделий.</w:t>
      </w:r>
      <w:proofErr w:type="gramEnd"/>
    </w:p>
    <w:p w:rsidR="005E379A" w:rsidRPr="0024199E" w:rsidRDefault="00775583" w:rsidP="00E11BE7">
      <w:pPr>
        <w:pStyle w:val="25"/>
        <w:spacing w:line="276" w:lineRule="auto"/>
        <w:ind w:firstLine="709"/>
        <w:jc w:val="both"/>
        <w:rPr>
          <w:rFonts w:ascii="Times New Roman" w:hAnsi="Times New Roman"/>
          <w:sz w:val="24"/>
          <w:szCs w:val="24"/>
        </w:rPr>
      </w:pPr>
      <w:r>
        <w:rPr>
          <w:rFonts w:ascii="Times New Roman" w:hAnsi="Times New Roman"/>
          <w:sz w:val="24"/>
          <w:szCs w:val="24"/>
        </w:rPr>
        <w:t xml:space="preserve">Увеличатся показатели вида деятельности «обеспечение электрической энергией, газом и паром; кондиционирование воздуха». </w:t>
      </w:r>
      <w:r w:rsidR="005E379A" w:rsidRPr="0024199E">
        <w:rPr>
          <w:rFonts w:ascii="Times New Roman" w:hAnsi="Times New Roman"/>
          <w:sz w:val="24"/>
          <w:szCs w:val="24"/>
        </w:rPr>
        <w:t xml:space="preserve">Производство электроэнергии в 2021 году к 2017 году увеличится </w:t>
      </w:r>
      <w:r w:rsidR="005E379A" w:rsidRPr="0024199E">
        <w:rPr>
          <w:rFonts w:ascii="Times New Roman" w:hAnsi="Times New Roman"/>
          <w:iCs/>
          <w:sz w:val="24"/>
          <w:szCs w:val="24"/>
        </w:rPr>
        <w:t xml:space="preserve">на </w:t>
      </w:r>
      <w:r w:rsidR="005E379A">
        <w:rPr>
          <w:rFonts w:ascii="Times New Roman" w:hAnsi="Times New Roman"/>
          <w:iCs/>
          <w:sz w:val="24"/>
          <w:szCs w:val="24"/>
        </w:rPr>
        <w:t>7,2</w:t>
      </w:r>
      <w:r w:rsidR="005E379A" w:rsidRPr="0024199E">
        <w:rPr>
          <w:rFonts w:ascii="Times New Roman" w:hAnsi="Times New Roman"/>
          <w:iCs/>
          <w:sz w:val="24"/>
          <w:szCs w:val="24"/>
        </w:rPr>
        <w:t> %, 1</w:t>
      </w:r>
      <w:r w:rsidR="005E379A">
        <w:rPr>
          <w:rFonts w:ascii="Times New Roman" w:hAnsi="Times New Roman"/>
          <w:iCs/>
          <w:sz w:val="24"/>
          <w:szCs w:val="24"/>
        </w:rPr>
        <w:t>3,7</w:t>
      </w:r>
      <w:r w:rsidR="005E379A" w:rsidRPr="0024199E">
        <w:rPr>
          <w:rFonts w:ascii="Times New Roman" w:hAnsi="Times New Roman"/>
          <w:iCs/>
          <w:sz w:val="24"/>
          <w:szCs w:val="24"/>
        </w:rPr>
        <w:t xml:space="preserve"> % и 1</w:t>
      </w:r>
      <w:r w:rsidR="005E379A">
        <w:rPr>
          <w:rFonts w:ascii="Times New Roman" w:hAnsi="Times New Roman"/>
          <w:iCs/>
          <w:sz w:val="24"/>
          <w:szCs w:val="24"/>
        </w:rPr>
        <w:t>8</w:t>
      </w:r>
      <w:r w:rsidR="005E379A" w:rsidRPr="0024199E">
        <w:rPr>
          <w:rFonts w:ascii="Times New Roman" w:hAnsi="Times New Roman"/>
          <w:iCs/>
          <w:sz w:val="24"/>
          <w:szCs w:val="24"/>
        </w:rPr>
        <w:t>,</w:t>
      </w:r>
      <w:r w:rsidR="005E379A">
        <w:rPr>
          <w:rFonts w:ascii="Times New Roman" w:hAnsi="Times New Roman"/>
          <w:iCs/>
          <w:sz w:val="24"/>
          <w:szCs w:val="24"/>
        </w:rPr>
        <w:t>1</w:t>
      </w:r>
      <w:r w:rsidR="005E379A" w:rsidRPr="0024199E">
        <w:rPr>
          <w:rFonts w:ascii="Times New Roman" w:hAnsi="Times New Roman"/>
          <w:iCs/>
          <w:sz w:val="24"/>
          <w:szCs w:val="24"/>
        </w:rPr>
        <w:t xml:space="preserve"> % по трем вариантам прогноза соответственно</w:t>
      </w:r>
      <w:r w:rsidR="005E379A">
        <w:rPr>
          <w:rFonts w:ascii="Times New Roman" w:hAnsi="Times New Roman"/>
          <w:iCs/>
          <w:sz w:val="24"/>
          <w:szCs w:val="24"/>
        </w:rPr>
        <w:t>, производство пара и горячей воды снизиться на 1 % по первому варианту, и увеличиться на 0,3 % и 5,8 % по базовому и целевому вариантах соответственно</w:t>
      </w:r>
      <w:r w:rsidR="005E379A" w:rsidRPr="0024199E">
        <w:rPr>
          <w:rFonts w:ascii="Times New Roman" w:hAnsi="Times New Roman"/>
          <w:iCs/>
          <w:sz w:val="24"/>
          <w:szCs w:val="24"/>
        </w:rPr>
        <w:t xml:space="preserve">. </w:t>
      </w:r>
      <w:proofErr w:type="gramStart"/>
      <w:r w:rsidR="005E379A">
        <w:rPr>
          <w:rFonts w:ascii="Times New Roman" w:hAnsi="Times New Roman"/>
          <w:sz w:val="24"/>
          <w:szCs w:val="24"/>
        </w:rPr>
        <w:t xml:space="preserve">На динамику развития показателей отрасли влияние окажет увеличение объемов производства в обрабатывающем секторе, а также  </w:t>
      </w:r>
      <w:r w:rsidR="005E379A" w:rsidRPr="0024199E">
        <w:rPr>
          <w:rFonts w:ascii="Times New Roman" w:hAnsi="Times New Roman"/>
          <w:sz w:val="24"/>
          <w:szCs w:val="24"/>
        </w:rPr>
        <w:t xml:space="preserve">проведение модернизации и реконструкции предприятий коммунально-энергетического комплекса. </w:t>
      </w:r>
      <w:proofErr w:type="gramEnd"/>
    </w:p>
    <w:p w:rsidR="00CB5B4C" w:rsidRDefault="005E379A" w:rsidP="00E11BE7">
      <w:pPr>
        <w:spacing w:after="0"/>
        <w:ind w:firstLine="709"/>
        <w:jc w:val="both"/>
        <w:rPr>
          <w:rFonts w:ascii="Times New Roman" w:hAnsi="Times New Roman"/>
          <w:sz w:val="24"/>
          <w:szCs w:val="24"/>
        </w:rPr>
      </w:pPr>
      <w:r>
        <w:rPr>
          <w:rFonts w:ascii="Times New Roman" w:hAnsi="Times New Roman"/>
          <w:sz w:val="24"/>
          <w:szCs w:val="24"/>
        </w:rPr>
        <w:t>По виду деятельности «</w:t>
      </w:r>
      <w:r w:rsidRPr="0024199E">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r>
        <w:rPr>
          <w:rFonts w:ascii="Times New Roman" w:hAnsi="Times New Roman"/>
          <w:sz w:val="24"/>
          <w:szCs w:val="24"/>
        </w:rPr>
        <w:t>»</w:t>
      </w:r>
      <w:r w:rsidRPr="0024199E">
        <w:rPr>
          <w:rFonts w:ascii="Times New Roman" w:hAnsi="Times New Roman"/>
          <w:sz w:val="24"/>
          <w:szCs w:val="24"/>
        </w:rPr>
        <w:t xml:space="preserve"> </w:t>
      </w:r>
      <w:r>
        <w:rPr>
          <w:rFonts w:ascii="Times New Roman" w:hAnsi="Times New Roman"/>
          <w:sz w:val="24"/>
          <w:szCs w:val="24"/>
        </w:rPr>
        <w:t>к 2021 году объемы производства снизятся на 0</w:t>
      </w:r>
      <w:r w:rsidRPr="0024199E">
        <w:rPr>
          <w:rFonts w:ascii="Times New Roman" w:hAnsi="Times New Roman"/>
          <w:iCs/>
          <w:sz w:val="24"/>
          <w:szCs w:val="24"/>
        </w:rPr>
        <w:t>,</w:t>
      </w:r>
      <w:r>
        <w:rPr>
          <w:rFonts w:ascii="Times New Roman" w:hAnsi="Times New Roman"/>
          <w:iCs/>
          <w:sz w:val="24"/>
          <w:szCs w:val="24"/>
        </w:rPr>
        <w:t xml:space="preserve">6 </w:t>
      </w:r>
      <w:r w:rsidRPr="0024199E">
        <w:rPr>
          <w:rFonts w:ascii="Times New Roman" w:hAnsi="Times New Roman"/>
          <w:iCs/>
          <w:sz w:val="24"/>
          <w:szCs w:val="24"/>
        </w:rPr>
        <w:t xml:space="preserve">%, </w:t>
      </w:r>
      <w:r>
        <w:rPr>
          <w:rFonts w:ascii="Times New Roman" w:hAnsi="Times New Roman"/>
          <w:iCs/>
          <w:sz w:val="24"/>
          <w:szCs w:val="24"/>
        </w:rPr>
        <w:t xml:space="preserve">к 2018 году по </w:t>
      </w:r>
      <w:r w:rsidRPr="00C27901">
        <w:rPr>
          <w:rFonts w:ascii="Times New Roman" w:hAnsi="Times New Roman"/>
          <w:sz w:val="24"/>
          <w:szCs w:val="24"/>
        </w:rPr>
        <w:t xml:space="preserve">консервативному варианту, и увеличатся на 0,3 % и 6,3 % по базовому и целевому вариантах. 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канализационных сетей, очистных сооружений, </w:t>
      </w:r>
      <w:r>
        <w:rPr>
          <w:rFonts w:ascii="Times New Roman" w:hAnsi="Times New Roman"/>
          <w:sz w:val="24"/>
          <w:szCs w:val="24"/>
        </w:rPr>
        <w:t xml:space="preserve">а также </w:t>
      </w:r>
      <w:r w:rsidRPr="00C27901">
        <w:rPr>
          <w:rFonts w:ascii="Times New Roman" w:hAnsi="Times New Roman"/>
          <w:sz w:val="24"/>
          <w:szCs w:val="24"/>
        </w:rPr>
        <w:t xml:space="preserve">уровень объемов сбора и переработки отходов производства и потребления. </w:t>
      </w:r>
    </w:p>
    <w:p w:rsidR="005E379A" w:rsidRDefault="005E379A" w:rsidP="00E11BE7">
      <w:pPr>
        <w:spacing w:after="0"/>
        <w:ind w:firstLine="709"/>
        <w:jc w:val="both"/>
        <w:rPr>
          <w:rFonts w:ascii="Times New Roman" w:hAnsi="Times New Roman"/>
          <w:iCs/>
          <w:sz w:val="24"/>
          <w:szCs w:val="24"/>
        </w:rPr>
      </w:pPr>
      <w:r w:rsidRPr="00A435C0">
        <w:rPr>
          <w:rFonts w:ascii="Times New Roman" w:hAnsi="Times New Roman"/>
          <w:sz w:val="24"/>
          <w:szCs w:val="24"/>
        </w:rPr>
        <w:t>На динамику промышленного производства окажет влияние реализация инвестиционных проектов на территории Тольятти, в том числе в рамках созданной в конце 2016 года территории опережающего социально-экономического развития</w:t>
      </w:r>
      <w:r w:rsidRPr="008E44DE">
        <w:rPr>
          <w:rFonts w:ascii="Times New Roman" w:hAnsi="Times New Roman"/>
          <w:iCs/>
          <w:sz w:val="24"/>
          <w:szCs w:val="24"/>
        </w:rPr>
        <w:t xml:space="preserve">. </w:t>
      </w:r>
    </w:p>
    <w:p w:rsidR="005E379A" w:rsidRPr="008E44DE" w:rsidRDefault="00C125EA" w:rsidP="00E11BE7">
      <w:pPr>
        <w:spacing w:after="0"/>
        <w:ind w:firstLine="709"/>
        <w:jc w:val="both"/>
        <w:rPr>
          <w:rFonts w:ascii="Times New Roman" w:hAnsi="Times New Roman"/>
          <w:iCs/>
          <w:sz w:val="24"/>
          <w:szCs w:val="24"/>
        </w:rPr>
      </w:pPr>
      <w:r>
        <w:rPr>
          <w:rFonts w:ascii="Times New Roman" w:hAnsi="Times New Roman"/>
          <w:iCs/>
          <w:sz w:val="24"/>
          <w:szCs w:val="24"/>
        </w:rPr>
        <w:t>Б</w:t>
      </w:r>
      <w:r w:rsidR="00CB5B4C">
        <w:rPr>
          <w:rFonts w:ascii="Times New Roman" w:hAnsi="Times New Roman"/>
          <w:iCs/>
          <w:sz w:val="24"/>
          <w:szCs w:val="24"/>
        </w:rPr>
        <w:t>ольшинство</w:t>
      </w:r>
      <w:r w:rsidR="005E379A">
        <w:rPr>
          <w:rFonts w:ascii="Times New Roman" w:hAnsi="Times New Roman"/>
          <w:iCs/>
          <w:sz w:val="24"/>
          <w:szCs w:val="24"/>
        </w:rPr>
        <w:t xml:space="preserve"> резидентов ТОСЭР «Тольятти» уже приступили к реализации проектов в различных видах промышленной деятельности (</w:t>
      </w:r>
      <w:r>
        <w:rPr>
          <w:rFonts w:ascii="Times New Roman" w:hAnsi="Times New Roman"/>
          <w:iCs/>
          <w:sz w:val="24"/>
          <w:szCs w:val="24"/>
        </w:rPr>
        <w:t>производство пищевых продуктов, кожгалантерейных изделий, вентиляционного оборудования,</w:t>
      </w:r>
      <w:r w:rsidR="005E379A">
        <w:rPr>
          <w:rFonts w:ascii="Times New Roman" w:hAnsi="Times New Roman"/>
          <w:iCs/>
          <w:sz w:val="24"/>
          <w:szCs w:val="24"/>
        </w:rPr>
        <w:t xml:space="preserve"> </w:t>
      </w:r>
      <w:r>
        <w:rPr>
          <w:rFonts w:ascii="Times New Roman" w:hAnsi="Times New Roman"/>
          <w:iCs/>
          <w:sz w:val="24"/>
          <w:szCs w:val="24"/>
        </w:rPr>
        <w:t>светодиодного оборудования</w:t>
      </w:r>
      <w:r w:rsidR="005E379A">
        <w:rPr>
          <w:rFonts w:ascii="Times New Roman" w:hAnsi="Times New Roman"/>
          <w:iCs/>
          <w:sz w:val="24"/>
          <w:szCs w:val="24"/>
        </w:rPr>
        <w:t xml:space="preserve">, </w:t>
      </w:r>
      <w:r w:rsidR="005E379A" w:rsidRPr="008E44DE">
        <w:rPr>
          <w:rFonts w:ascii="Times New Roman" w:hAnsi="Times New Roman"/>
          <w:iCs/>
          <w:sz w:val="24"/>
          <w:szCs w:val="24"/>
        </w:rPr>
        <w:t>радиаторов отопления</w:t>
      </w:r>
      <w:r w:rsidR="005E379A">
        <w:rPr>
          <w:rFonts w:ascii="Times New Roman" w:hAnsi="Times New Roman"/>
          <w:iCs/>
          <w:sz w:val="24"/>
          <w:szCs w:val="24"/>
        </w:rPr>
        <w:t xml:space="preserve">, </w:t>
      </w:r>
      <w:r>
        <w:rPr>
          <w:rFonts w:ascii="Times New Roman" w:hAnsi="Times New Roman"/>
          <w:iCs/>
          <w:sz w:val="24"/>
          <w:szCs w:val="24"/>
        </w:rPr>
        <w:t>мебели и т.д.</w:t>
      </w:r>
      <w:r w:rsidR="005E379A">
        <w:rPr>
          <w:rFonts w:ascii="Times New Roman" w:hAnsi="Times New Roman"/>
          <w:iCs/>
          <w:sz w:val="24"/>
          <w:szCs w:val="24"/>
        </w:rPr>
        <w:t xml:space="preserve">), что будет способствовать </w:t>
      </w:r>
      <w:r w:rsidR="00CB5B4C">
        <w:rPr>
          <w:rFonts w:ascii="Times New Roman" w:hAnsi="Times New Roman"/>
          <w:iCs/>
          <w:sz w:val="24"/>
          <w:szCs w:val="24"/>
        </w:rPr>
        <w:t>росту объемов и разнообразию видов производимой в городе продукции.</w:t>
      </w:r>
    </w:p>
    <w:p w:rsidR="006C2640" w:rsidRPr="004272BD" w:rsidRDefault="006C2640" w:rsidP="004272BD">
      <w:pPr>
        <w:pStyle w:val="a8"/>
        <w:spacing w:line="276" w:lineRule="auto"/>
        <w:ind w:firstLine="709"/>
        <w:jc w:val="both"/>
        <w:rPr>
          <w:rFonts w:ascii="Times New Roman" w:hAnsi="Times New Roman" w:cs="Times New Roman"/>
          <w:b/>
          <w:sz w:val="24"/>
          <w:szCs w:val="24"/>
          <w:highlight w:val="yellow"/>
          <w:lang w:eastAsia="ru-RU"/>
        </w:rPr>
      </w:pPr>
    </w:p>
    <w:p w:rsidR="003D3198" w:rsidRPr="004272BD" w:rsidRDefault="003D3198" w:rsidP="004272BD">
      <w:pPr>
        <w:pStyle w:val="a8"/>
        <w:spacing w:line="276" w:lineRule="auto"/>
        <w:jc w:val="center"/>
        <w:rPr>
          <w:rFonts w:ascii="Times New Roman" w:hAnsi="Times New Roman" w:cs="Times New Roman"/>
          <w:b/>
          <w:sz w:val="24"/>
          <w:szCs w:val="24"/>
          <w:lang w:eastAsia="ru-RU"/>
        </w:rPr>
      </w:pPr>
      <w:r w:rsidRPr="004272BD">
        <w:rPr>
          <w:rFonts w:ascii="Times New Roman" w:hAnsi="Times New Roman" w:cs="Times New Roman"/>
          <w:b/>
          <w:sz w:val="24"/>
          <w:szCs w:val="24"/>
          <w:lang w:eastAsia="ru-RU"/>
        </w:rPr>
        <w:t>Малое и среднее предпринимательство</w:t>
      </w:r>
    </w:p>
    <w:p w:rsidR="003D3198" w:rsidRPr="004272BD" w:rsidRDefault="003D3198" w:rsidP="003B73CA">
      <w:pPr>
        <w:pStyle w:val="a8"/>
        <w:spacing w:line="276" w:lineRule="auto"/>
        <w:ind w:firstLine="709"/>
        <w:jc w:val="center"/>
        <w:rPr>
          <w:rFonts w:ascii="Times New Roman" w:hAnsi="Times New Roman" w:cs="Times New Roman"/>
          <w:b/>
          <w:sz w:val="24"/>
          <w:szCs w:val="24"/>
          <w:highlight w:val="yellow"/>
          <w:lang w:eastAsia="ru-RU"/>
        </w:rPr>
      </w:pPr>
    </w:p>
    <w:p w:rsidR="003D3198" w:rsidRPr="004272BD" w:rsidRDefault="003D3198" w:rsidP="00E11BE7">
      <w:pPr>
        <w:pStyle w:val="af6"/>
        <w:spacing w:before="0" w:line="276" w:lineRule="auto"/>
        <w:ind w:left="0" w:right="0" w:firstLine="709"/>
        <w:jc w:val="both"/>
        <w:rPr>
          <w:color w:val="1A1A1A"/>
          <w:sz w:val="24"/>
          <w:szCs w:val="24"/>
          <w:shd w:val="clear" w:color="auto" w:fill="FFFFFF"/>
        </w:rPr>
      </w:pPr>
      <w:r w:rsidRPr="004272BD">
        <w:rPr>
          <w:sz w:val="24"/>
          <w:szCs w:val="24"/>
        </w:rPr>
        <w:t>Прогноз развития малого и среднего предпринимательства по городскому округу Тольятти на 201</w:t>
      </w:r>
      <w:r w:rsidR="0024199E" w:rsidRPr="004272BD">
        <w:rPr>
          <w:sz w:val="24"/>
          <w:szCs w:val="24"/>
        </w:rPr>
        <w:t>9</w:t>
      </w:r>
      <w:r w:rsidRPr="004272BD">
        <w:rPr>
          <w:sz w:val="24"/>
          <w:szCs w:val="24"/>
        </w:rPr>
        <w:t>-202</w:t>
      </w:r>
      <w:r w:rsidR="0024199E" w:rsidRPr="004272BD">
        <w:rPr>
          <w:sz w:val="24"/>
          <w:szCs w:val="24"/>
        </w:rPr>
        <w:t>1</w:t>
      </w:r>
      <w:r w:rsidRPr="004272BD">
        <w:rPr>
          <w:sz w:val="24"/>
          <w:szCs w:val="24"/>
        </w:rPr>
        <w:t xml:space="preserve"> годы составлен н</w:t>
      </w:r>
      <w:r w:rsidRPr="004272BD">
        <w:rPr>
          <w:color w:val="1A1A1A"/>
          <w:sz w:val="24"/>
          <w:szCs w:val="24"/>
          <w:shd w:val="clear" w:color="auto" w:fill="FFFFFF"/>
        </w:rPr>
        <w:t xml:space="preserve">а основе сведений, содержащихся в Едином реестре субъектов малого и среднего предпринимательства, размещенном в свободном доступе на официальном сайте </w:t>
      </w:r>
      <w:r w:rsidR="00C125EA">
        <w:rPr>
          <w:color w:val="1A1A1A"/>
          <w:sz w:val="24"/>
          <w:szCs w:val="24"/>
          <w:shd w:val="clear" w:color="auto" w:fill="FFFFFF"/>
        </w:rPr>
        <w:t>Федеральной налоговой службы</w:t>
      </w:r>
      <w:r w:rsidRPr="004272BD">
        <w:rPr>
          <w:color w:val="1A1A1A"/>
          <w:sz w:val="24"/>
          <w:szCs w:val="24"/>
          <w:shd w:val="clear" w:color="auto" w:fill="FFFFFF"/>
        </w:rPr>
        <w:t>.</w:t>
      </w:r>
    </w:p>
    <w:p w:rsidR="003D3198" w:rsidRPr="004272BD" w:rsidRDefault="003D3198" w:rsidP="00E11BE7">
      <w:pPr>
        <w:pStyle w:val="a8"/>
        <w:spacing w:line="276" w:lineRule="auto"/>
        <w:ind w:firstLine="709"/>
        <w:jc w:val="both"/>
        <w:rPr>
          <w:rFonts w:ascii="Times New Roman" w:hAnsi="Times New Roman" w:cs="Times New Roman"/>
          <w:color w:val="000000"/>
          <w:sz w:val="24"/>
          <w:szCs w:val="24"/>
        </w:rPr>
      </w:pPr>
      <w:r w:rsidRPr="004272BD">
        <w:rPr>
          <w:rFonts w:ascii="Times New Roman" w:hAnsi="Times New Roman" w:cs="Times New Roman"/>
          <w:sz w:val="24"/>
          <w:szCs w:val="24"/>
        </w:rPr>
        <w:t xml:space="preserve">На основании имеющихся данных </w:t>
      </w:r>
      <w:r w:rsidRPr="004272BD">
        <w:rPr>
          <w:rFonts w:ascii="Times New Roman" w:hAnsi="Times New Roman" w:cs="Times New Roman"/>
          <w:color w:val="000000"/>
          <w:sz w:val="24"/>
          <w:szCs w:val="24"/>
          <w:shd w:val="clear" w:color="auto" w:fill="FFFFFF"/>
        </w:rPr>
        <w:t>за</w:t>
      </w:r>
      <w:r w:rsidRPr="004272BD">
        <w:rPr>
          <w:rFonts w:ascii="Times New Roman" w:hAnsi="Times New Roman" w:cs="Times New Roman"/>
          <w:color w:val="000000"/>
          <w:sz w:val="24"/>
          <w:szCs w:val="24"/>
        </w:rPr>
        <w:t xml:space="preserve"> истекший период 201</w:t>
      </w:r>
      <w:r w:rsidR="0024199E" w:rsidRPr="004272BD">
        <w:rPr>
          <w:rFonts w:ascii="Times New Roman" w:hAnsi="Times New Roman" w:cs="Times New Roman"/>
          <w:color w:val="000000"/>
          <w:sz w:val="24"/>
          <w:szCs w:val="24"/>
        </w:rPr>
        <w:t>8</w:t>
      </w:r>
      <w:r w:rsidRPr="004272BD">
        <w:rPr>
          <w:rFonts w:ascii="Times New Roman" w:hAnsi="Times New Roman" w:cs="Times New Roman"/>
          <w:color w:val="000000"/>
          <w:sz w:val="24"/>
          <w:szCs w:val="24"/>
        </w:rPr>
        <w:t xml:space="preserve"> года прогнозируется положительная динамика количества субъектов малого и среднего предпринимательства (далее </w:t>
      </w:r>
      <w:r w:rsidR="0024199E" w:rsidRPr="004272BD">
        <w:rPr>
          <w:rFonts w:ascii="Times New Roman" w:hAnsi="Times New Roman" w:cs="Times New Roman"/>
          <w:color w:val="000000"/>
          <w:sz w:val="24"/>
          <w:szCs w:val="24"/>
        </w:rPr>
        <w:t xml:space="preserve">по разделу </w:t>
      </w:r>
      <w:r w:rsidRPr="004272BD">
        <w:rPr>
          <w:rFonts w:ascii="Times New Roman" w:hAnsi="Times New Roman" w:cs="Times New Roman"/>
          <w:color w:val="000000"/>
          <w:sz w:val="24"/>
          <w:szCs w:val="24"/>
        </w:rPr>
        <w:t xml:space="preserve">– СМСП) по </w:t>
      </w:r>
      <w:r w:rsidR="0024199E" w:rsidRPr="004272BD">
        <w:rPr>
          <w:rFonts w:ascii="Times New Roman" w:hAnsi="Times New Roman" w:cs="Times New Roman"/>
          <w:color w:val="000000"/>
          <w:sz w:val="24"/>
          <w:szCs w:val="24"/>
        </w:rPr>
        <w:t>всем</w:t>
      </w:r>
      <w:r w:rsidRPr="004272BD">
        <w:rPr>
          <w:rFonts w:ascii="Times New Roman" w:hAnsi="Times New Roman" w:cs="Times New Roman"/>
          <w:color w:val="000000"/>
          <w:sz w:val="24"/>
          <w:szCs w:val="24"/>
        </w:rPr>
        <w:t xml:space="preserve"> вариант</w:t>
      </w:r>
      <w:r w:rsidR="0024199E" w:rsidRPr="004272BD">
        <w:rPr>
          <w:rFonts w:ascii="Times New Roman" w:hAnsi="Times New Roman" w:cs="Times New Roman"/>
          <w:color w:val="000000"/>
          <w:sz w:val="24"/>
          <w:szCs w:val="24"/>
        </w:rPr>
        <w:t>ам</w:t>
      </w:r>
      <w:r w:rsidRPr="004272BD">
        <w:rPr>
          <w:rFonts w:ascii="Times New Roman" w:hAnsi="Times New Roman" w:cs="Times New Roman"/>
          <w:color w:val="000000"/>
          <w:sz w:val="24"/>
          <w:szCs w:val="24"/>
        </w:rPr>
        <w:t xml:space="preserve"> прогноза. </w:t>
      </w:r>
    </w:p>
    <w:p w:rsidR="003D3198" w:rsidRPr="004272BD" w:rsidRDefault="003D3198" w:rsidP="00E11BE7">
      <w:pPr>
        <w:pStyle w:val="a8"/>
        <w:spacing w:line="276" w:lineRule="auto"/>
        <w:ind w:firstLine="709"/>
        <w:jc w:val="both"/>
        <w:rPr>
          <w:rFonts w:ascii="Times New Roman" w:hAnsi="Times New Roman" w:cs="Times New Roman"/>
          <w:color w:val="000000"/>
          <w:sz w:val="24"/>
          <w:szCs w:val="24"/>
        </w:rPr>
      </w:pPr>
      <w:r w:rsidRPr="004272BD">
        <w:rPr>
          <w:rFonts w:ascii="Times New Roman" w:hAnsi="Times New Roman" w:cs="Times New Roman"/>
          <w:color w:val="000000"/>
          <w:sz w:val="24"/>
          <w:szCs w:val="24"/>
        </w:rPr>
        <w:t xml:space="preserve">По первому варианту прогноза количество СМСП в городском округе </w:t>
      </w:r>
      <w:r w:rsidR="00C125EA">
        <w:rPr>
          <w:rFonts w:ascii="Times New Roman" w:hAnsi="Times New Roman" w:cs="Times New Roman"/>
          <w:color w:val="000000"/>
          <w:sz w:val="24"/>
          <w:szCs w:val="24"/>
        </w:rPr>
        <w:t xml:space="preserve">Тольятти за три года </w:t>
      </w:r>
      <w:r w:rsidR="0024199E" w:rsidRPr="004272BD">
        <w:rPr>
          <w:rFonts w:ascii="Times New Roman" w:hAnsi="Times New Roman" w:cs="Times New Roman"/>
          <w:color w:val="000000"/>
          <w:sz w:val="24"/>
          <w:szCs w:val="24"/>
        </w:rPr>
        <w:t xml:space="preserve">увеличиться на </w:t>
      </w:r>
      <w:r w:rsidR="00C125EA">
        <w:rPr>
          <w:rFonts w:ascii="Times New Roman" w:hAnsi="Times New Roman" w:cs="Times New Roman"/>
          <w:color w:val="000000"/>
          <w:sz w:val="24"/>
          <w:szCs w:val="24"/>
        </w:rPr>
        <w:t>6</w:t>
      </w:r>
      <w:r w:rsidR="0024199E" w:rsidRPr="004272BD">
        <w:rPr>
          <w:rFonts w:ascii="Times New Roman" w:hAnsi="Times New Roman" w:cs="Times New Roman"/>
          <w:color w:val="000000"/>
          <w:sz w:val="24"/>
          <w:szCs w:val="24"/>
        </w:rPr>
        <w:t xml:space="preserve">00 единиц и к концу 2021 года составит 33,8 </w:t>
      </w:r>
      <w:r w:rsidR="00C125EA">
        <w:rPr>
          <w:rFonts w:ascii="Times New Roman" w:hAnsi="Times New Roman" w:cs="Times New Roman"/>
          <w:color w:val="000000"/>
          <w:sz w:val="24"/>
          <w:szCs w:val="24"/>
        </w:rPr>
        <w:t xml:space="preserve">тыс. </w:t>
      </w:r>
      <w:r w:rsidR="0024199E" w:rsidRPr="004272BD">
        <w:rPr>
          <w:rFonts w:ascii="Times New Roman" w:hAnsi="Times New Roman" w:cs="Times New Roman"/>
          <w:color w:val="000000"/>
          <w:sz w:val="24"/>
          <w:szCs w:val="24"/>
        </w:rPr>
        <w:t>единиц</w:t>
      </w:r>
      <w:r w:rsidR="00C125EA">
        <w:rPr>
          <w:rFonts w:ascii="Times New Roman" w:hAnsi="Times New Roman" w:cs="Times New Roman"/>
          <w:color w:val="000000"/>
          <w:sz w:val="24"/>
          <w:szCs w:val="24"/>
        </w:rPr>
        <w:t xml:space="preserve"> (на</w:t>
      </w:r>
      <w:r w:rsidR="0024199E" w:rsidRPr="004272BD">
        <w:rPr>
          <w:rFonts w:ascii="Times New Roman" w:hAnsi="Times New Roman" w:cs="Times New Roman"/>
          <w:color w:val="000000"/>
          <w:sz w:val="24"/>
          <w:szCs w:val="24"/>
        </w:rPr>
        <w:t>1,8</w:t>
      </w:r>
      <w:r w:rsidRPr="004272BD">
        <w:rPr>
          <w:rFonts w:ascii="Times New Roman" w:hAnsi="Times New Roman" w:cs="Times New Roman"/>
          <w:color w:val="000000"/>
          <w:sz w:val="24"/>
          <w:szCs w:val="24"/>
        </w:rPr>
        <w:t xml:space="preserve"> %</w:t>
      </w:r>
      <w:r w:rsidR="00C125EA">
        <w:rPr>
          <w:rFonts w:ascii="Times New Roman" w:hAnsi="Times New Roman" w:cs="Times New Roman"/>
          <w:color w:val="000000"/>
          <w:sz w:val="24"/>
          <w:szCs w:val="24"/>
        </w:rPr>
        <w:t>)</w:t>
      </w:r>
      <w:r w:rsidRPr="004272BD">
        <w:rPr>
          <w:rFonts w:ascii="Times New Roman" w:hAnsi="Times New Roman" w:cs="Times New Roman"/>
          <w:color w:val="000000"/>
          <w:sz w:val="24"/>
          <w:szCs w:val="24"/>
        </w:rPr>
        <w:t xml:space="preserve">. </w:t>
      </w:r>
    </w:p>
    <w:p w:rsidR="003D3198" w:rsidRPr="004272BD" w:rsidRDefault="003D3198" w:rsidP="00E11BE7">
      <w:pPr>
        <w:pStyle w:val="a8"/>
        <w:spacing w:line="276" w:lineRule="auto"/>
        <w:ind w:firstLine="709"/>
        <w:jc w:val="both"/>
        <w:rPr>
          <w:rFonts w:ascii="Times New Roman" w:hAnsi="Times New Roman" w:cs="Times New Roman"/>
          <w:color w:val="000000"/>
          <w:sz w:val="24"/>
          <w:szCs w:val="24"/>
        </w:rPr>
      </w:pPr>
      <w:r w:rsidRPr="004272BD">
        <w:rPr>
          <w:rFonts w:ascii="Times New Roman" w:hAnsi="Times New Roman" w:cs="Times New Roman"/>
          <w:color w:val="000000"/>
          <w:sz w:val="24"/>
          <w:szCs w:val="24"/>
        </w:rPr>
        <w:t xml:space="preserve">По второму </w:t>
      </w:r>
      <w:r w:rsidR="0024199E" w:rsidRPr="004272BD">
        <w:rPr>
          <w:rFonts w:ascii="Times New Roman" w:hAnsi="Times New Roman" w:cs="Times New Roman"/>
          <w:color w:val="000000"/>
          <w:sz w:val="24"/>
          <w:szCs w:val="24"/>
        </w:rPr>
        <w:t xml:space="preserve">и третьему вариантах </w:t>
      </w:r>
      <w:r w:rsidRPr="004272BD">
        <w:rPr>
          <w:rFonts w:ascii="Times New Roman" w:hAnsi="Times New Roman" w:cs="Times New Roman"/>
          <w:color w:val="000000"/>
          <w:sz w:val="24"/>
          <w:szCs w:val="24"/>
        </w:rPr>
        <w:t xml:space="preserve">прогноза количество СМСП </w:t>
      </w:r>
      <w:r w:rsidR="0024199E" w:rsidRPr="004272BD">
        <w:rPr>
          <w:rFonts w:ascii="Times New Roman" w:hAnsi="Times New Roman" w:cs="Times New Roman"/>
          <w:color w:val="000000"/>
          <w:sz w:val="24"/>
          <w:szCs w:val="24"/>
        </w:rPr>
        <w:t>будет увеличиваться более высокими темпами и к концу прогнозного периода достигнет:</w:t>
      </w:r>
      <w:r w:rsidRPr="004272BD">
        <w:rPr>
          <w:rFonts w:ascii="Times New Roman" w:hAnsi="Times New Roman" w:cs="Times New Roman"/>
          <w:color w:val="000000"/>
          <w:sz w:val="24"/>
          <w:szCs w:val="24"/>
        </w:rPr>
        <w:t xml:space="preserve"> </w:t>
      </w:r>
      <w:r w:rsidR="0024199E" w:rsidRPr="004272BD">
        <w:rPr>
          <w:rFonts w:ascii="Times New Roman" w:hAnsi="Times New Roman" w:cs="Times New Roman"/>
          <w:color w:val="000000"/>
          <w:sz w:val="24"/>
          <w:szCs w:val="24"/>
        </w:rPr>
        <w:t xml:space="preserve">по </w:t>
      </w:r>
      <w:r w:rsidR="002C6EFA">
        <w:rPr>
          <w:rFonts w:ascii="Times New Roman" w:hAnsi="Times New Roman" w:cs="Times New Roman"/>
          <w:color w:val="000000"/>
          <w:sz w:val="24"/>
          <w:szCs w:val="24"/>
        </w:rPr>
        <w:t>базовому</w:t>
      </w:r>
      <w:r w:rsidR="0024199E" w:rsidRPr="004272BD">
        <w:rPr>
          <w:rFonts w:ascii="Times New Roman" w:hAnsi="Times New Roman" w:cs="Times New Roman"/>
          <w:color w:val="000000"/>
          <w:sz w:val="24"/>
          <w:szCs w:val="24"/>
        </w:rPr>
        <w:t xml:space="preserve"> варианту – </w:t>
      </w:r>
      <w:r w:rsidR="00627E6E">
        <w:rPr>
          <w:rFonts w:ascii="Times New Roman" w:hAnsi="Times New Roman" w:cs="Times New Roman"/>
          <w:color w:val="000000"/>
          <w:sz w:val="24"/>
          <w:szCs w:val="24"/>
        </w:rPr>
        <w:t>35,0 тыс.</w:t>
      </w:r>
      <w:r w:rsidR="0024199E" w:rsidRPr="004272BD">
        <w:rPr>
          <w:rFonts w:ascii="Times New Roman" w:hAnsi="Times New Roman" w:cs="Times New Roman"/>
          <w:color w:val="000000"/>
          <w:sz w:val="24"/>
          <w:szCs w:val="24"/>
        </w:rPr>
        <w:t xml:space="preserve"> единиц (темп роста в 2021 году к 2018 году – 10</w:t>
      </w:r>
      <w:r w:rsidR="00627E6E">
        <w:rPr>
          <w:rFonts w:ascii="Times New Roman" w:hAnsi="Times New Roman" w:cs="Times New Roman"/>
          <w:color w:val="000000"/>
          <w:sz w:val="24"/>
          <w:szCs w:val="24"/>
        </w:rPr>
        <w:t>5</w:t>
      </w:r>
      <w:r w:rsidR="0024199E" w:rsidRPr="004272BD">
        <w:rPr>
          <w:rFonts w:ascii="Times New Roman" w:hAnsi="Times New Roman" w:cs="Times New Roman"/>
          <w:color w:val="000000"/>
          <w:sz w:val="24"/>
          <w:szCs w:val="24"/>
        </w:rPr>
        <w:t>,</w:t>
      </w:r>
      <w:r w:rsidR="00627E6E">
        <w:rPr>
          <w:rFonts w:ascii="Times New Roman" w:hAnsi="Times New Roman" w:cs="Times New Roman"/>
          <w:color w:val="000000"/>
          <w:sz w:val="24"/>
          <w:szCs w:val="24"/>
        </w:rPr>
        <w:t>4</w:t>
      </w:r>
      <w:r w:rsidR="0024199E" w:rsidRPr="004272BD">
        <w:rPr>
          <w:rFonts w:ascii="Times New Roman" w:hAnsi="Times New Roman" w:cs="Times New Roman"/>
          <w:color w:val="000000"/>
          <w:sz w:val="24"/>
          <w:szCs w:val="24"/>
        </w:rPr>
        <w:t xml:space="preserve"> %), по </w:t>
      </w:r>
      <w:r w:rsidR="002C6EFA">
        <w:rPr>
          <w:rFonts w:ascii="Times New Roman" w:hAnsi="Times New Roman" w:cs="Times New Roman"/>
          <w:color w:val="000000"/>
          <w:sz w:val="24"/>
          <w:szCs w:val="24"/>
        </w:rPr>
        <w:t>целевому</w:t>
      </w:r>
      <w:r w:rsidR="0024199E" w:rsidRPr="004272BD">
        <w:rPr>
          <w:rFonts w:ascii="Times New Roman" w:hAnsi="Times New Roman" w:cs="Times New Roman"/>
          <w:color w:val="000000"/>
          <w:sz w:val="24"/>
          <w:szCs w:val="24"/>
        </w:rPr>
        <w:t xml:space="preserve"> варианту – 36,0 </w:t>
      </w:r>
      <w:r w:rsidR="00627E6E">
        <w:rPr>
          <w:rFonts w:ascii="Times New Roman" w:hAnsi="Times New Roman" w:cs="Times New Roman"/>
          <w:color w:val="000000"/>
          <w:sz w:val="24"/>
          <w:szCs w:val="24"/>
        </w:rPr>
        <w:t>тыс.</w:t>
      </w:r>
      <w:r w:rsidR="0024199E" w:rsidRPr="004272BD">
        <w:rPr>
          <w:rFonts w:ascii="Times New Roman" w:hAnsi="Times New Roman" w:cs="Times New Roman"/>
          <w:color w:val="000000"/>
          <w:sz w:val="24"/>
          <w:szCs w:val="24"/>
        </w:rPr>
        <w:t>единиц (108,4 %).</w:t>
      </w:r>
    </w:p>
    <w:p w:rsidR="00937E5F" w:rsidRPr="004272BD" w:rsidRDefault="00A21870" w:rsidP="00E11BE7">
      <w:pPr>
        <w:pStyle w:val="a8"/>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Увеличению количества СМСП будет способствовать:</w:t>
      </w:r>
    </w:p>
    <w:p w:rsidR="00937E5F" w:rsidRPr="004272BD" w:rsidRDefault="00A21870" w:rsidP="00E11BE7">
      <w:pPr>
        <w:pStyle w:val="a8"/>
        <w:suppressAutoHyphens w:val="0"/>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р</w:t>
      </w:r>
      <w:r w:rsidR="00937E5F" w:rsidRPr="004272BD">
        <w:rPr>
          <w:rFonts w:ascii="Times New Roman" w:hAnsi="Times New Roman" w:cs="Times New Roman"/>
          <w:color w:val="000000"/>
          <w:sz w:val="24"/>
          <w:szCs w:val="24"/>
          <w:lang w:eastAsia="ru-RU"/>
        </w:rPr>
        <w:t>еализаци</w:t>
      </w:r>
      <w:r>
        <w:rPr>
          <w:rFonts w:ascii="Times New Roman" w:hAnsi="Times New Roman" w:cs="Times New Roman"/>
          <w:color w:val="000000"/>
          <w:sz w:val="24"/>
          <w:szCs w:val="24"/>
          <w:lang w:eastAsia="ru-RU"/>
        </w:rPr>
        <w:t>я</w:t>
      </w:r>
      <w:r w:rsidR="00937E5F" w:rsidRPr="004272BD">
        <w:rPr>
          <w:rFonts w:ascii="Times New Roman" w:hAnsi="Times New Roman" w:cs="Times New Roman"/>
          <w:color w:val="000000"/>
          <w:sz w:val="24"/>
          <w:szCs w:val="24"/>
          <w:lang w:eastAsia="ru-RU"/>
        </w:rPr>
        <w:t xml:space="preserve"> мероприятий муниципальной программы городского округа Тольятти «Развитие малого и среднего предпринимательства городского окр</w:t>
      </w:r>
      <w:r>
        <w:rPr>
          <w:rFonts w:ascii="Times New Roman" w:hAnsi="Times New Roman" w:cs="Times New Roman"/>
          <w:color w:val="000000"/>
          <w:sz w:val="24"/>
          <w:szCs w:val="24"/>
          <w:lang w:eastAsia="ru-RU"/>
        </w:rPr>
        <w:t>уга Тольятти на 2018-2022 годы»</w:t>
      </w:r>
      <w:r w:rsidR="00321233">
        <w:rPr>
          <w:rFonts w:ascii="Times New Roman" w:hAnsi="Times New Roman" w:cs="Times New Roman"/>
          <w:color w:val="000000"/>
          <w:sz w:val="24"/>
          <w:szCs w:val="24"/>
          <w:lang w:eastAsia="ru-RU"/>
        </w:rPr>
        <w:t xml:space="preserve"> (далее по разделу – Программа)</w:t>
      </w:r>
      <w:r>
        <w:rPr>
          <w:rFonts w:ascii="Times New Roman" w:hAnsi="Times New Roman" w:cs="Times New Roman"/>
          <w:color w:val="000000"/>
          <w:sz w:val="24"/>
          <w:szCs w:val="24"/>
          <w:lang w:eastAsia="ru-RU"/>
        </w:rPr>
        <w:t>.</w:t>
      </w:r>
    </w:p>
    <w:p w:rsidR="00937E5F" w:rsidRPr="004272BD" w:rsidRDefault="00937E5F" w:rsidP="00E11BE7">
      <w:pPr>
        <w:pStyle w:val="af"/>
        <w:autoSpaceDE w:val="0"/>
        <w:autoSpaceDN w:val="0"/>
        <w:spacing w:line="276" w:lineRule="auto"/>
        <w:ind w:left="0" w:firstLine="709"/>
        <w:jc w:val="both"/>
        <w:rPr>
          <w:color w:val="000000"/>
          <w:sz w:val="24"/>
          <w:szCs w:val="24"/>
        </w:rPr>
      </w:pPr>
      <w:proofErr w:type="gramStart"/>
      <w:r w:rsidRPr="004272BD">
        <w:rPr>
          <w:color w:val="000000"/>
          <w:sz w:val="24"/>
          <w:szCs w:val="24"/>
        </w:rPr>
        <w:t xml:space="preserve">Общий объем финансирования </w:t>
      </w:r>
      <w:r w:rsidR="00321233">
        <w:rPr>
          <w:color w:val="000000"/>
          <w:sz w:val="24"/>
          <w:szCs w:val="24"/>
        </w:rPr>
        <w:t>П</w:t>
      </w:r>
      <w:r w:rsidRPr="004272BD">
        <w:rPr>
          <w:color w:val="000000"/>
          <w:sz w:val="24"/>
          <w:szCs w:val="24"/>
        </w:rPr>
        <w:t xml:space="preserve">рограммы </w:t>
      </w:r>
      <w:r w:rsidRPr="00056809">
        <w:rPr>
          <w:color w:val="000000"/>
          <w:sz w:val="24"/>
          <w:szCs w:val="24"/>
        </w:rPr>
        <w:t xml:space="preserve">составит 160 336,9 тыс. </w:t>
      </w:r>
      <w:r w:rsidR="00BF0444" w:rsidRPr="00056809">
        <w:rPr>
          <w:color w:val="000000"/>
          <w:sz w:val="24"/>
          <w:szCs w:val="24"/>
        </w:rPr>
        <w:t>рублей</w:t>
      </w:r>
      <w:r w:rsidRPr="00056809">
        <w:rPr>
          <w:color w:val="000000"/>
          <w:sz w:val="24"/>
          <w:szCs w:val="24"/>
        </w:rPr>
        <w:t xml:space="preserve">, в том числе: в 2018 году – 89 023,5 тыс. </w:t>
      </w:r>
      <w:r w:rsidR="00BF0444" w:rsidRPr="00056809">
        <w:rPr>
          <w:color w:val="000000"/>
          <w:sz w:val="24"/>
          <w:szCs w:val="24"/>
        </w:rPr>
        <w:t>рублей</w:t>
      </w:r>
      <w:r w:rsidRPr="00056809">
        <w:rPr>
          <w:color w:val="000000"/>
          <w:sz w:val="24"/>
          <w:szCs w:val="24"/>
        </w:rPr>
        <w:t>, в 2019 году – 1</w:t>
      </w:r>
      <w:r w:rsidRPr="004272BD">
        <w:rPr>
          <w:color w:val="000000"/>
          <w:sz w:val="24"/>
          <w:szCs w:val="24"/>
        </w:rPr>
        <w:t xml:space="preserve">5 926,0 тыс. </w:t>
      </w:r>
      <w:r w:rsidR="00BF0444" w:rsidRPr="004272BD">
        <w:rPr>
          <w:color w:val="000000"/>
          <w:sz w:val="24"/>
          <w:szCs w:val="24"/>
        </w:rPr>
        <w:t>рублей</w:t>
      </w:r>
      <w:r w:rsidRPr="004272BD">
        <w:rPr>
          <w:color w:val="000000"/>
          <w:sz w:val="24"/>
          <w:szCs w:val="24"/>
        </w:rPr>
        <w:t xml:space="preserve">, в 2020 году – 16 418,0 тыс. </w:t>
      </w:r>
      <w:r w:rsidR="00BF0444" w:rsidRPr="004272BD">
        <w:rPr>
          <w:color w:val="000000"/>
          <w:sz w:val="24"/>
          <w:szCs w:val="24"/>
        </w:rPr>
        <w:t>рублей</w:t>
      </w:r>
      <w:r w:rsidRPr="004272BD">
        <w:rPr>
          <w:color w:val="000000"/>
          <w:sz w:val="24"/>
          <w:szCs w:val="24"/>
        </w:rPr>
        <w:t xml:space="preserve">, в 2021-2022 годах  – по 19 484,7 тыс. </w:t>
      </w:r>
      <w:r w:rsidR="00BF0444" w:rsidRPr="004272BD">
        <w:rPr>
          <w:color w:val="000000"/>
          <w:sz w:val="24"/>
          <w:szCs w:val="24"/>
        </w:rPr>
        <w:t>рублей</w:t>
      </w:r>
      <w:r w:rsidR="00627E6E">
        <w:rPr>
          <w:color w:val="000000"/>
          <w:sz w:val="24"/>
          <w:szCs w:val="24"/>
        </w:rPr>
        <w:t>.</w:t>
      </w:r>
      <w:proofErr w:type="gramEnd"/>
      <w:r w:rsidRPr="004272BD">
        <w:rPr>
          <w:color w:val="000000"/>
          <w:sz w:val="24"/>
          <w:szCs w:val="24"/>
        </w:rPr>
        <w:t xml:space="preserve"> Источники финансирования - бюджет городского округа Тольятти, региональный бюджет</w:t>
      </w:r>
      <w:r w:rsidR="00627E6E">
        <w:rPr>
          <w:color w:val="000000"/>
          <w:sz w:val="24"/>
          <w:szCs w:val="24"/>
        </w:rPr>
        <w:t>;</w:t>
      </w:r>
    </w:p>
    <w:p w:rsidR="00937E5F" w:rsidRPr="004272BD" w:rsidRDefault="00A21870" w:rsidP="00E11BE7">
      <w:pPr>
        <w:pStyle w:val="af"/>
        <w:autoSpaceDE w:val="0"/>
        <w:autoSpaceDN w:val="0"/>
        <w:spacing w:line="276" w:lineRule="auto"/>
        <w:ind w:left="0" w:firstLine="709"/>
        <w:jc w:val="both"/>
        <w:rPr>
          <w:color w:val="000000"/>
          <w:sz w:val="24"/>
          <w:szCs w:val="24"/>
        </w:rPr>
      </w:pPr>
      <w:r>
        <w:rPr>
          <w:color w:val="000000"/>
          <w:sz w:val="24"/>
          <w:szCs w:val="24"/>
        </w:rPr>
        <w:t>-</w:t>
      </w:r>
      <w:r w:rsidR="00937E5F" w:rsidRPr="004272BD">
        <w:rPr>
          <w:color w:val="000000"/>
          <w:sz w:val="24"/>
          <w:szCs w:val="24"/>
        </w:rPr>
        <w:t xml:space="preserve"> </w:t>
      </w:r>
      <w:r>
        <w:rPr>
          <w:color w:val="000000"/>
          <w:sz w:val="24"/>
          <w:szCs w:val="24"/>
        </w:rPr>
        <w:t>р</w:t>
      </w:r>
      <w:r w:rsidR="00937E5F" w:rsidRPr="004272BD">
        <w:rPr>
          <w:color w:val="000000"/>
          <w:sz w:val="24"/>
          <w:szCs w:val="24"/>
        </w:rPr>
        <w:t xml:space="preserve">еализации мероприятий государственной программы Самарской области </w:t>
      </w:r>
      <w:r>
        <w:rPr>
          <w:color w:val="000000"/>
          <w:sz w:val="24"/>
          <w:szCs w:val="24"/>
        </w:rPr>
        <w:t>«</w:t>
      </w:r>
      <w:r w:rsidR="00937E5F" w:rsidRPr="004272BD">
        <w:rPr>
          <w:color w:val="000000"/>
          <w:sz w:val="24"/>
          <w:szCs w:val="24"/>
        </w:rPr>
        <w:t>Развитие предпринимательства, торговли и туризма в Самарской области</w:t>
      </w:r>
      <w:r w:rsidR="00627E6E">
        <w:rPr>
          <w:color w:val="000000"/>
          <w:sz w:val="24"/>
          <w:szCs w:val="24"/>
        </w:rPr>
        <w:t>» на 2014 - 2030 годы;</w:t>
      </w:r>
    </w:p>
    <w:p w:rsidR="00937E5F" w:rsidRPr="004272BD" w:rsidRDefault="00A21870" w:rsidP="00E11BE7">
      <w:pPr>
        <w:pStyle w:val="af"/>
        <w:autoSpaceDE w:val="0"/>
        <w:autoSpaceDN w:val="0"/>
        <w:spacing w:line="276" w:lineRule="auto"/>
        <w:ind w:left="0" w:firstLine="709"/>
        <w:jc w:val="both"/>
        <w:rPr>
          <w:color w:val="000000"/>
          <w:sz w:val="24"/>
          <w:szCs w:val="24"/>
        </w:rPr>
      </w:pPr>
      <w:r>
        <w:rPr>
          <w:color w:val="000000"/>
          <w:sz w:val="24"/>
          <w:szCs w:val="24"/>
        </w:rPr>
        <w:t>- р</w:t>
      </w:r>
      <w:r w:rsidR="00937E5F" w:rsidRPr="004272BD">
        <w:rPr>
          <w:color w:val="000000"/>
          <w:sz w:val="24"/>
          <w:szCs w:val="24"/>
        </w:rPr>
        <w:t xml:space="preserve">азвития </w:t>
      </w:r>
      <w:r w:rsidR="00627E6E">
        <w:rPr>
          <w:color w:val="000000"/>
          <w:sz w:val="24"/>
          <w:szCs w:val="24"/>
        </w:rPr>
        <w:t>ТОСЭР</w:t>
      </w:r>
      <w:r w:rsidR="00937E5F" w:rsidRPr="004272BD">
        <w:rPr>
          <w:color w:val="000000"/>
          <w:sz w:val="24"/>
          <w:szCs w:val="24"/>
        </w:rPr>
        <w:t xml:space="preserve"> «Тольятти», позволяющей создавать новые рабочие места</w:t>
      </w:r>
      <w:r>
        <w:rPr>
          <w:color w:val="000000"/>
          <w:sz w:val="24"/>
          <w:szCs w:val="24"/>
        </w:rPr>
        <w:t xml:space="preserve"> и инвестиции в основной капитал</w:t>
      </w:r>
      <w:r w:rsidR="00937E5F" w:rsidRPr="004272BD">
        <w:rPr>
          <w:color w:val="000000"/>
          <w:sz w:val="24"/>
          <w:szCs w:val="24"/>
        </w:rPr>
        <w:t xml:space="preserve">, </w:t>
      </w:r>
      <w:r w:rsidRPr="00A21870">
        <w:rPr>
          <w:color w:val="000000"/>
          <w:sz w:val="24"/>
          <w:szCs w:val="24"/>
        </w:rPr>
        <w:t>в основном, в малом бизнесе</w:t>
      </w:r>
      <w:r w:rsidR="00321233">
        <w:rPr>
          <w:color w:val="000000"/>
          <w:sz w:val="24"/>
          <w:szCs w:val="24"/>
        </w:rPr>
        <w:t>;</w:t>
      </w:r>
    </w:p>
    <w:p w:rsidR="00937E5F" w:rsidRPr="004272BD" w:rsidRDefault="00A21870" w:rsidP="00E11BE7">
      <w:pPr>
        <w:pStyle w:val="af"/>
        <w:autoSpaceDE w:val="0"/>
        <w:autoSpaceDN w:val="0"/>
        <w:spacing w:line="276" w:lineRule="auto"/>
        <w:ind w:left="0" w:firstLine="709"/>
        <w:jc w:val="both"/>
        <w:rPr>
          <w:color w:val="000000"/>
          <w:sz w:val="24"/>
          <w:szCs w:val="24"/>
        </w:rPr>
      </w:pPr>
      <w:r>
        <w:rPr>
          <w:color w:val="000000"/>
          <w:sz w:val="24"/>
          <w:szCs w:val="24"/>
        </w:rPr>
        <w:t>- ф</w:t>
      </w:r>
      <w:r w:rsidR="00937E5F" w:rsidRPr="004272BD">
        <w:rPr>
          <w:color w:val="000000"/>
          <w:sz w:val="24"/>
          <w:szCs w:val="24"/>
        </w:rPr>
        <w:t>ункционировани</w:t>
      </w:r>
      <w:r>
        <w:rPr>
          <w:color w:val="000000"/>
          <w:sz w:val="24"/>
          <w:szCs w:val="24"/>
        </w:rPr>
        <w:t>е</w:t>
      </w:r>
      <w:r w:rsidR="00937E5F" w:rsidRPr="004272BD">
        <w:rPr>
          <w:color w:val="000000"/>
          <w:sz w:val="24"/>
          <w:szCs w:val="24"/>
        </w:rPr>
        <w:t xml:space="preserve"> развитой инфраструктуры поддержки </w:t>
      </w:r>
      <w:r>
        <w:rPr>
          <w:color w:val="000000"/>
          <w:sz w:val="24"/>
          <w:szCs w:val="24"/>
        </w:rPr>
        <w:t>СМСП</w:t>
      </w:r>
      <w:r w:rsidR="00937E5F" w:rsidRPr="004272BD">
        <w:rPr>
          <w:color w:val="000000"/>
          <w:sz w:val="24"/>
          <w:szCs w:val="24"/>
        </w:rPr>
        <w:t xml:space="preserve">, которая представлена такими организациями как: Муниципальный фонд поддержки и развития субъектов малого и среднего предпринимательства микрокредитная компания городского округа Тольятти; Муниципальное автономное учреждение городского округа Тольятти «Агентство экономического развития»; Филиал Самарский областной Фонд </w:t>
      </w:r>
      <w:proofErr w:type="spellStart"/>
      <w:r w:rsidR="00937E5F" w:rsidRPr="004272BD">
        <w:rPr>
          <w:color w:val="000000"/>
          <w:sz w:val="24"/>
          <w:szCs w:val="24"/>
        </w:rPr>
        <w:t>микрофинансирования</w:t>
      </w:r>
      <w:proofErr w:type="spellEnd"/>
      <w:r w:rsidR="00937E5F" w:rsidRPr="004272BD">
        <w:rPr>
          <w:color w:val="000000"/>
          <w:sz w:val="24"/>
          <w:szCs w:val="24"/>
        </w:rPr>
        <w:t xml:space="preserve"> («</w:t>
      </w:r>
      <w:proofErr w:type="spellStart"/>
      <w:r w:rsidR="00937E5F" w:rsidRPr="004272BD">
        <w:rPr>
          <w:color w:val="000000"/>
          <w:sz w:val="24"/>
          <w:szCs w:val="24"/>
        </w:rPr>
        <w:t>МикроФин</w:t>
      </w:r>
      <w:proofErr w:type="spellEnd"/>
      <w:r w:rsidR="00937E5F" w:rsidRPr="004272BD">
        <w:rPr>
          <w:color w:val="000000"/>
          <w:sz w:val="24"/>
          <w:szCs w:val="24"/>
        </w:rPr>
        <w:t xml:space="preserve">»); Акционерное общество </w:t>
      </w:r>
      <w:proofErr w:type="spellStart"/>
      <w:r w:rsidR="00937E5F" w:rsidRPr="004272BD">
        <w:rPr>
          <w:color w:val="000000"/>
          <w:sz w:val="24"/>
          <w:szCs w:val="24"/>
        </w:rPr>
        <w:t>Микрокредитная</w:t>
      </w:r>
      <w:proofErr w:type="spellEnd"/>
      <w:r w:rsidR="00937E5F" w:rsidRPr="004272BD">
        <w:rPr>
          <w:color w:val="000000"/>
          <w:sz w:val="24"/>
          <w:szCs w:val="24"/>
        </w:rPr>
        <w:t xml:space="preserve"> компания «Гарантийный фонд Самарской области» (АО «ГФСО»); Акционерное общество «Самарская областная лизинговая компания для малого и среднего бизнеса» (АО «СОЛК МСБ»);  Общественная приемная института Уполномоченного при Президенте </w:t>
      </w:r>
      <w:r w:rsidR="00144879">
        <w:rPr>
          <w:color w:val="000000"/>
          <w:sz w:val="24"/>
          <w:szCs w:val="24"/>
        </w:rPr>
        <w:t>Российской Федерации</w:t>
      </w:r>
      <w:r w:rsidR="00937E5F" w:rsidRPr="004272BD">
        <w:rPr>
          <w:color w:val="000000"/>
          <w:sz w:val="24"/>
          <w:szCs w:val="24"/>
        </w:rPr>
        <w:t xml:space="preserve"> по защите прав предпринимателей в г. Тольятти Самарской области.</w:t>
      </w:r>
    </w:p>
    <w:p w:rsidR="00937E5F" w:rsidRPr="004272BD" w:rsidRDefault="00937E5F" w:rsidP="00E11BE7">
      <w:pPr>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По предварительным данным, предоставленным Муниципальным фондом поддержки и развития субъектов малого и среднего предпринимательства микрокредитная компания городского округа Тольятти, ожидаемые показатели по количеству выданных займов</w:t>
      </w:r>
      <w:r w:rsidR="00044618">
        <w:rPr>
          <w:rFonts w:ascii="Times New Roman" w:hAnsi="Times New Roman"/>
          <w:color w:val="000000"/>
          <w:sz w:val="24"/>
          <w:szCs w:val="24"/>
        </w:rPr>
        <w:t xml:space="preserve"> составляют</w:t>
      </w:r>
      <w:r w:rsidRPr="004272BD">
        <w:rPr>
          <w:rFonts w:ascii="Times New Roman" w:hAnsi="Times New Roman"/>
          <w:color w:val="000000"/>
          <w:sz w:val="24"/>
          <w:szCs w:val="24"/>
        </w:rPr>
        <w:t xml:space="preserve">: в 2019 году – 69 займов на сумму 69 000 тыс. рублей, в 2020 году – 75 займов на сумму 75 000 тыс. рублей. </w:t>
      </w:r>
    </w:p>
    <w:p w:rsidR="00F74D4F" w:rsidRPr="004272BD" w:rsidRDefault="00937E5F" w:rsidP="004272BD">
      <w:pPr>
        <w:pStyle w:val="a8"/>
        <w:spacing w:line="276" w:lineRule="auto"/>
        <w:ind w:firstLine="709"/>
        <w:jc w:val="both"/>
        <w:rPr>
          <w:rFonts w:ascii="Times New Roman" w:hAnsi="Times New Roman" w:cs="Times New Roman"/>
          <w:color w:val="000000"/>
          <w:sz w:val="24"/>
          <w:szCs w:val="24"/>
          <w:lang w:eastAsia="ru-RU"/>
        </w:rPr>
      </w:pPr>
      <w:r w:rsidRPr="004272BD">
        <w:rPr>
          <w:rFonts w:ascii="Times New Roman" w:hAnsi="Times New Roman" w:cs="Times New Roman"/>
          <w:color w:val="000000"/>
          <w:sz w:val="24"/>
          <w:szCs w:val="24"/>
          <w:lang w:eastAsia="ru-RU"/>
        </w:rPr>
        <w:t>         </w:t>
      </w:r>
    </w:p>
    <w:p w:rsidR="0024525F" w:rsidRDefault="0024525F" w:rsidP="004272BD">
      <w:pPr>
        <w:pStyle w:val="a8"/>
        <w:spacing w:line="276" w:lineRule="auto"/>
        <w:jc w:val="center"/>
        <w:rPr>
          <w:rFonts w:ascii="Times New Roman" w:hAnsi="Times New Roman" w:cs="Times New Roman"/>
          <w:b/>
          <w:sz w:val="24"/>
          <w:szCs w:val="24"/>
        </w:rPr>
      </w:pPr>
      <w:r w:rsidRPr="004272BD">
        <w:rPr>
          <w:rFonts w:ascii="Times New Roman" w:hAnsi="Times New Roman" w:cs="Times New Roman"/>
          <w:b/>
          <w:sz w:val="24"/>
          <w:szCs w:val="24"/>
        </w:rPr>
        <w:t>Инвестиции в основной капитал</w:t>
      </w:r>
    </w:p>
    <w:p w:rsidR="00044618" w:rsidRPr="004272BD" w:rsidRDefault="00044618" w:rsidP="004272BD">
      <w:pPr>
        <w:pStyle w:val="a8"/>
        <w:spacing w:line="276" w:lineRule="auto"/>
        <w:jc w:val="center"/>
        <w:rPr>
          <w:rFonts w:ascii="Times New Roman" w:hAnsi="Times New Roman" w:cs="Times New Roman"/>
          <w:b/>
          <w:sz w:val="24"/>
          <w:szCs w:val="24"/>
        </w:rPr>
      </w:pPr>
    </w:p>
    <w:p w:rsidR="00C77C58" w:rsidRDefault="00C77C58" w:rsidP="00E11BE7">
      <w:pPr>
        <w:pStyle w:val="a8"/>
        <w:spacing w:line="276"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консервативному варианту прогноза ожидается, что</w:t>
      </w:r>
      <w:r w:rsidRPr="00C77C58">
        <w:rPr>
          <w:rFonts w:ascii="Times New Roman" w:hAnsi="Times New Roman" w:cs="Times New Roman"/>
          <w:color w:val="000000"/>
          <w:sz w:val="24"/>
          <w:szCs w:val="24"/>
          <w:lang w:eastAsia="ru-RU"/>
        </w:rPr>
        <w:t xml:space="preserve"> сохранение геополитической напряженности, продолжение и возможное дальнейшее расширение санкций в отношении Российской Федерации будут оказывать негативное воздействие на инвестиционную деятельность. Ограничения в привлечении как зарубежных банковских кредитов, так и прямых инвестиций иностранных компаний будут сдерживать темпы инвестиционного роста. </w:t>
      </w:r>
    </w:p>
    <w:p w:rsidR="00771B85" w:rsidRPr="00C77C58" w:rsidRDefault="00C77C58" w:rsidP="00E11BE7">
      <w:pPr>
        <w:pStyle w:val="a8"/>
        <w:spacing w:line="276" w:lineRule="auto"/>
        <w:ind w:firstLine="709"/>
        <w:jc w:val="both"/>
        <w:rPr>
          <w:rFonts w:ascii="Times New Roman" w:hAnsi="Times New Roman" w:cs="Times New Roman"/>
          <w:color w:val="000000"/>
          <w:sz w:val="24"/>
          <w:szCs w:val="24"/>
          <w:lang w:eastAsia="ru-RU"/>
        </w:rPr>
      </w:pPr>
      <w:r w:rsidRPr="00C77C58">
        <w:rPr>
          <w:rFonts w:ascii="Times New Roman" w:hAnsi="Times New Roman" w:cs="Times New Roman"/>
          <w:color w:val="000000"/>
          <w:sz w:val="24"/>
          <w:szCs w:val="24"/>
          <w:lang w:eastAsia="ru-RU"/>
        </w:rPr>
        <w:t xml:space="preserve">В </w:t>
      </w:r>
      <w:r w:rsidR="002C6EFA">
        <w:rPr>
          <w:rFonts w:ascii="Times New Roman" w:hAnsi="Times New Roman" w:cs="Times New Roman"/>
          <w:color w:val="000000"/>
          <w:sz w:val="24"/>
          <w:szCs w:val="24"/>
          <w:lang w:eastAsia="ru-RU"/>
        </w:rPr>
        <w:t>итоге</w:t>
      </w:r>
      <w:r w:rsidRPr="00C77C58">
        <w:rPr>
          <w:rFonts w:ascii="Times New Roman" w:hAnsi="Times New Roman" w:cs="Times New Roman"/>
          <w:color w:val="000000"/>
          <w:sz w:val="24"/>
          <w:szCs w:val="24"/>
          <w:lang w:eastAsia="ru-RU"/>
        </w:rPr>
        <w:t xml:space="preserve"> в 2019 году </w:t>
      </w:r>
      <w:r w:rsidR="00771B85">
        <w:rPr>
          <w:rFonts w:ascii="Times New Roman" w:hAnsi="Times New Roman" w:cs="Times New Roman"/>
          <w:color w:val="000000"/>
          <w:sz w:val="24"/>
          <w:szCs w:val="24"/>
          <w:lang w:eastAsia="ru-RU"/>
        </w:rPr>
        <w:t>п</w:t>
      </w:r>
      <w:r w:rsidR="00771B85" w:rsidRPr="00771B85">
        <w:rPr>
          <w:rFonts w:ascii="Times New Roman" w:hAnsi="Times New Roman" w:cs="Times New Roman"/>
          <w:color w:val="000000"/>
          <w:sz w:val="24"/>
          <w:szCs w:val="24"/>
          <w:lang w:eastAsia="ru-RU"/>
        </w:rPr>
        <w:t>о консервативному варианту прогноза, под влиянием неблагоприятных внешних социально-экономических факторов, прогнозируется невысокие темпы роста объемов инвестиций в основной капитал. Общий объем инвестиций в 2019 году сохранится на уровне прошлого года</w:t>
      </w:r>
      <w:r w:rsidR="00771B85">
        <w:rPr>
          <w:rFonts w:ascii="Times New Roman" w:hAnsi="Times New Roman" w:cs="Times New Roman"/>
          <w:color w:val="000000"/>
          <w:sz w:val="24"/>
          <w:szCs w:val="24"/>
          <w:lang w:eastAsia="ru-RU"/>
        </w:rPr>
        <w:t xml:space="preserve"> </w:t>
      </w:r>
      <w:r w:rsidR="00771B85" w:rsidRPr="00C77C58">
        <w:rPr>
          <w:rFonts w:ascii="Times New Roman" w:hAnsi="Times New Roman" w:cs="Times New Roman"/>
          <w:color w:val="000000"/>
          <w:sz w:val="24"/>
          <w:szCs w:val="24"/>
          <w:lang w:eastAsia="ru-RU"/>
        </w:rPr>
        <w:t>в сопоставимых ценах</w:t>
      </w:r>
      <w:r w:rsidR="00771B85" w:rsidRPr="00771B85">
        <w:rPr>
          <w:rFonts w:ascii="Times New Roman" w:hAnsi="Times New Roman" w:cs="Times New Roman"/>
          <w:color w:val="000000"/>
          <w:sz w:val="24"/>
          <w:szCs w:val="24"/>
          <w:lang w:eastAsia="ru-RU"/>
        </w:rPr>
        <w:t>, в 2020</w:t>
      </w:r>
      <w:r w:rsidR="002C6EFA">
        <w:rPr>
          <w:rFonts w:ascii="Times New Roman" w:hAnsi="Times New Roman" w:cs="Times New Roman"/>
          <w:color w:val="000000"/>
          <w:sz w:val="24"/>
          <w:szCs w:val="24"/>
          <w:lang w:eastAsia="ru-RU"/>
        </w:rPr>
        <w:t xml:space="preserve"> - 2021 </w:t>
      </w:r>
      <w:r w:rsidR="00771B85" w:rsidRPr="00771B85">
        <w:rPr>
          <w:rFonts w:ascii="Times New Roman" w:hAnsi="Times New Roman" w:cs="Times New Roman"/>
          <w:color w:val="000000"/>
          <w:sz w:val="24"/>
          <w:szCs w:val="24"/>
          <w:lang w:eastAsia="ru-RU"/>
        </w:rPr>
        <w:t>год</w:t>
      </w:r>
      <w:r w:rsidR="002C6EFA">
        <w:rPr>
          <w:rFonts w:ascii="Times New Roman" w:hAnsi="Times New Roman" w:cs="Times New Roman"/>
          <w:color w:val="000000"/>
          <w:sz w:val="24"/>
          <w:szCs w:val="24"/>
          <w:lang w:eastAsia="ru-RU"/>
        </w:rPr>
        <w:t>ах</w:t>
      </w:r>
      <w:r w:rsidR="00771B85" w:rsidRPr="00771B85">
        <w:rPr>
          <w:rFonts w:ascii="Times New Roman" w:hAnsi="Times New Roman" w:cs="Times New Roman"/>
          <w:color w:val="000000"/>
          <w:sz w:val="24"/>
          <w:szCs w:val="24"/>
          <w:lang w:eastAsia="ru-RU"/>
        </w:rPr>
        <w:t xml:space="preserve"> </w:t>
      </w:r>
      <w:r w:rsidR="002C6EFA">
        <w:rPr>
          <w:rFonts w:ascii="Times New Roman" w:hAnsi="Times New Roman" w:cs="Times New Roman"/>
          <w:color w:val="000000"/>
          <w:sz w:val="24"/>
          <w:szCs w:val="24"/>
          <w:lang w:eastAsia="ru-RU"/>
        </w:rPr>
        <w:t xml:space="preserve">инвестиции вырастут </w:t>
      </w:r>
      <w:r w:rsidR="00771B85" w:rsidRPr="00771B85">
        <w:rPr>
          <w:rFonts w:ascii="Times New Roman" w:hAnsi="Times New Roman" w:cs="Times New Roman"/>
          <w:color w:val="000000"/>
          <w:sz w:val="24"/>
          <w:szCs w:val="24"/>
          <w:lang w:eastAsia="ru-RU"/>
        </w:rPr>
        <w:t>на 1,0 %</w:t>
      </w:r>
      <w:r w:rsidR="002C6EFA">
        <w:rPr>
          <w:rFonts w:ascii="Times New Roman" w:hAnsi="Times New Roman" w:cs="Times New Roman"/>
          <w:color w:val="000000"/>
          <w:sz w:val="24"/>
          <w:szCs w:val="24"/>
          <w:lang w:eastAsia="ru-RU"/>
        </w:rPr>
        <w:t xml:space="preserve"> и 1,6 % </w:t>
      </w:r>
      <w:r w:rsidR="00771B85" w:rsidRPr="00771B85">
        <w:rPr>
          <w:rFonts w:ascii="Times New Roman" w:hAnsi="Times New Roman" w:cs="Times New Roman"/>
          <w:color w:val="000000"/>
          <w:sz w:val="24"/>
          <w:szCs w:val="24"/>
          <w:lang w:eastAsia="ru-RU"/>
        </w:rPr>
        <w:t xml:space="preserve"> </w:t>
      </w:r>
      <w:r w:rsidR="002C6EFA">
        <w:rPr>
          <w:rFonts w:ascii="Times New Roman" w:hAnsi="Times New Roman" w:cs="Times New Roman"/>
          <w:color w:val="000000"/>
          <w:sz w:val="24"/>
          <w:szCs w:val="24"/>
          <w:lang w:eastAsia="ru-RU"/>
        </w:rPr>
        <w:t>к уровню предыдущего года соответственно.</w:t>
      </w:r>
      <w:r w:rsidR="00771B85" w:rsidRPr="00771B85">
        <w:rPr>
          <w:rFonts w:ascii="Times New Roman" w:hAnsi="Times New Roman" w:cs="Times New Roman"/>
          <w:color w:val="000000"/>
          <w:sz w:val="24"/>
          <w:szCs w:val="24"/>
          <w:lang w:eastAsia="ru-RU"/>
        </w:rPr>
        <w:t xml:space="preserve"> </w:t>
      </w:r>
    </w:p>
    <w:p w:rsidR="0014149C"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Прогноз развития инвестиционной деятельности в городском округе Тольятти </w:t>
      </w:r>
      <w:r w:rsidR="00C77C58">
        <w:rPr>
          <w:rFonts w:ascii="Times New Roman" w:hAnsi="Times New Roman"/>
          <w:color w:val="000000"/>
          <w:sz w:val="24"/>
          <w:szCs w:val="24"/>
        </w:rPr>
        <w:t xml:space="preserve">по базовому варианту прогноза </w:t>
      </w:r>
      <w:r w:rsidRPr="004272BD">
        <w:rPr>
          <w:rFonts w:ascii="Times New Roman" w:hAnsi="Times New Roman"/>
          <w:color w:val="000000"/>
          <w:sz w:val="24"/>
          <w:szCs w:val="24"/>
        </w:rPr>
        <w:t xml:space="preserve">основан на постепенном ускорении темпов роста экономики, </w:t>
      </w:r>
      <w:r w:rsidRPr="004272BD">
        <w:rPr>
          <w:rFonts w:ascii="Times New Roman" w:hAnsi="Times New Roman"/>
          <w:color w:val="000000"/>
          <w:sz w:val="24"/>
          <w:szCs w:val="24"/>
        </w:rPr>
        <w:lastRenderedPageBreak/>
        <w:t xml:space="preserve">ее адаптации к действию финансовых и экономических санкций. Прогнозируется улучшение условий банковского кредитования бизнеса, снижение процентных ставок ипотечного кредитования. </w:t>
      </w:r>
      <w:r w:rsidR="00BF0444" w:rsidRPr="004272BD">
        <w:rPr>
          <w:rFonts w:ascii="Times New Roman" w:hAnsi="Times New Roman"/>
          <w:color w:val="000000"/>
          <w:sz w:val="24"/>
          <w:szCs w:val="24"/>
        </w:rPr>
        <w:t xml:space="preserve">Предполагается сохранение ограничения государственных инвестиционных расходов. </w:t>
      </w:r>
      <w:r w:rsidRPr="004272BD">
        <w:rPr>
          <w:rFonts w:ascii="Times New Roman" w:hAnsi="Times New Roman"/>
          <w:color w:val="000000"/>
          <w:sz w:val="24"/>
          <w:szCs w:val="24"/>
        </w:rPr>
        <w:t xml:space="preserve">В результате в прогнозном периоде в городском округе Тольятти, как и в целом по Самарской области, будут отмечаться положительная динамика инвестиций с умеренными темпам роста. </w:t>
      </w:r>
    </w:p>
    <w:p w:rsidR="00771B85" w:rsidRDefault="00771B85"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771B85">
        <w:rPr>
          <w:rFonts w:ascii="Times New Roman" w:hAnsi="Times New Roman"/>
          <w:color w:val="000000"/>
          <w:sz w:val="24"/>
          <w:szCs w:val="24"/>
        </w:rPr>
        <w:t xml:space="preserve">В </w:t>
      </w:r>
      <w:r>
        <w:rPr>
          <w:rFonts w:ascii="Times New Roman" w:hAnsi="Times New Roman"/>
          <w:color w:val="000000"/>
          <w:sz w:val="24"/>
          <w:szCs w:val="24"/>
        </w:rPr>
        <w:t>2021</w:t>
      </w:r>
      <w:r w:rsidRPr="00771B85">
        <w:rPr>
          <w:rFonts w:ascii="Times New Roman" w:hAnsi="Times New Roman"/>
          <w:color w:val="000000"/>
          <w:sz w:val="24"/>
          <w:szCs w:val="24"/>
        </w:rPr>
        <w:t xml:space="preserve"> году общий объем инвестиций по базовому варианту прогноза составит </w:t>
      </w:r>
      <w:r w:rsidR="002C6EFA">
        <w:rPr>
          <w:rFonts w:ascii="Times New Roman" w:hAnsi="Times New Roman"/>
          <w:color w:val="000000"/>
          <w:sz w:val="24"/>
          <w:szCs w:val="24"/>
        </w:rPr>
        <w:t>35,1</w:t>
      </w:r>
      <w:r w:rsidRPr="00771B85">
        <w:rPr>
          <w:rFonts w:ascii="Times New Roman" w:hAnsi="Times New Roman"/>
          <w:color w:val="000000"/>
          <w:sz w:val="24"/>
          <w:szCs w:val="24"/>
        </w:rPr>
        <w:t xml:space="preserve"> млрд.</w:t>
      </w:r>
      <w:r w:rsidR="002C6EFA">
        <w:rPr>
          <w:rFonts w:ascii="Times New Roman" w:hAnsi="Times New Roman"/>
          <w:color w:val="000000"/>
          <w:sz w:val="24"/>
          <w:szCs w:val="24"/>
        </w:rPr>
        <w:t xml:space="preserve"> </w:t>
      </w:r>
      <w:r w:rsidRPr="00771B85">
        <w:rPr>
          <w:rFonts w:ascii="Times New Roman" w:hAnsi="Times New Roman"/>
          <w:color w:val="000000"/>
          <w:sz w:val="24"/>
          <w:szCs w:val="24"/>
        </w:rPr>
        <w:t xml:space="preserve">рублей, что на </w:t>
      </w:r>
      <w:r w:rsidR="002C6EFA">
        <w:rPr>
          <w:rFonts w:ascii="Times New Roman" w:hAnsi="Times New Roman"/>
          <w:color w:val="000000"/>
          <w:sz w:val="24"/>
          <w:szCs w:val="24"/>
        </w:rPr>
        <w:t>33,6</w:t>
      </w:r>
      <w:r w:rsidRPr="00771B85">
        <w:rPr>
          <w:rFonts w:ascii="Times New Roman" w:hAnsi="Times New Roman"/>
          <w:color w:val="000000"/>
          <w:sz w:val="24"/>
          <w:szCs w:val="24"/>
        </w:rPr>
        <w:t xml:space="preserve"> % выше уровня </w:t>
      </w:r>
      <w:r w:rsidR="002C6EFA">
        <w:rPr>
          <w:rFonts w:ascii="Times New Roman" w:hAnsi="Times New Roman"/>
          <w:color w:val="000000"/>
          <w:sz w:val="24"/>
          <w:szCs w:val="24"/>
        </w:rPr>
        <w:t>2018 года</w:t>
      </w:r>
      <w:r w:rsidRPr="00771B85">
        <w:rPr>
          <w:rFonts w:ascii="Times New Roman" w:hAnsi="Times New Roman"/>
          <w:color w:val="000000"/>
          <w:sz w:val="24"/>
          <w:szCs w:val="24"/>
        </w:rPr>
        <w:t xml:space="preserve"> </w:t>
      </w:r>
      <w:r w:rsidR="002C6EFA">
        <w:rPr>
          <w:rFonts w:ascii="Times New Roman" w:hAnsi="Times New Roman"/>
          <w:color w:val="000000"/>
          <w:sz w:val="24"/>
          <w:szCs w:val="24"/>
        </w:rPr>
        <w:t xml:space="preserve">(на 17 % </w:t>
      </w:r>
      <w:r w:rsidRPr="00771B85">
        <w:rPr>
          <w:rFonts w:ascii="Times New Roman" w:hAnsi="Times New Roman"/>
          <w:color w:val="000000"/>
          <w:sz w:val="24"/>
          <w:szCs w:val="24"/>
        </w:rPr>
        <w:t>в сопоставимых ценах</w:t>
      </w:r>
      <w:r w:rsidR="002C6EFA">
        <w:rPr>
          <w:rFonts w:ascii="Times New Roman" w:hAnsi="Times New Roman"/>
          <w:color w:val="000000"/>
          <w:sz w:val="24"/>
          <w:szCs w:val="24"/>
        </w:rPr>
        <w:t>)</w:t>
      </w:r>
      <w:r w:rsidRPr="00771B85">
        <w:rPr>
          <w:rFonts w:ascii="Times New Roman" w:hAnsi="Times New Roman"/>
          <w:color w:val="000000"/>
          <w:sz w:val="24"/>
          <w:szCs w:val="24"/>
        </w:rPr>
        <w:t>.</w:t>
      </w:r>
    </w:p>
    <w:p w:rsidR="00771B85" w:rsidRPr="00771B85" w:rsidRDefault="00771B85"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771B85">
        <w:rPr>
          <w:rFonts w:ascii="Times New Roman" w:hAnsi="Times New Roman"/>
          <w:color w:val="000000"/>
          <w:sz w:val="24"/>
          <w:szCs w:val="24"/>
        </w:rPr>
        <w:t>По целевому варианту прогнозируются более динамичный рост инвестиций в основной капитал, в том числе в результате успешного развития ТОСЭР «Тольятти», развития крупных инвестиционных площадок, увеличения бюджетных инвестиций. Предполагается существенное улучшение условий долгосрочного кредитования, развитие рынка облигационных займов для финансирования инвестиционных проектов, введение нового механизма инфраструктурной ипотеки, активное развитие государственно-частного партнерства.</w:t>
      </w:r>
    </w:p>
    <w:p w:rsidR="00771B85" w:rsidRPr="00771B85" w:rsidRDefault="00771B85"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771B85">
        <w:rPr>
          <w:rFonts w:ascii="Times New Roman" w:hAnsi="Times New Roman"/>
          <w:color w:val="000000"/>
          <w:sz w:val="24"/>
          <w:szCs w:val="24"/>
        </w:rPr>
        <w:t>В результате</w:t>
      </w:r>
      <w:r w:rsidR="000B76AA">
        <w:rPr>
          <w:rFonts w:ascii="Times New Roman" w:hAnsi="Times New Roman"/>
          <w:color w:val="000000"/>
          <w:sz w:val="24"/>
          <w:szCs w:val="24"/>
        </w:rPr>
        <w:t>,</w:t>
      </w:r>
      <w:r w:rsidRPr="00771B85">
        <w:rPr>
          <w:rFonts w:ascii="Times New Roman" w:hAnsi="Times New Roman"/>
          <w:color w:val="000000"/>
          <w:sz w:val="24"/>
          <w:szCs w:val="24"/>
        </w:rPr>
        <w:t xml:space="preserve"> </w:t>
      </w:r>
      <w:r>
        <w:rPr>
          <w:rFonts w:ascii="Times New Roman" w:hAnsi="Times New Roman"/>
          <w:color w:val="000000"/>
          <w:sz w:val="24"/>
          <w:szCs w:val="24"/>
        </w:rPr>
        <w:t>по третьему варианту прогноза к</w:t>
      </w:r>
      <w:r w:rsidRPr="00771B85">
        <w:rPr>
          <w:rFonts w:ascii="Times New Roman" w:hAnsi="Times New Roman"/>
          <w:color w:val="000000"/>
          <w:sz w:val="24"/>
          <w:szCs w:val="24"/>
        </w:rPr>
        <w:t xml:space="preserve"> 2021 году </w:t>
      </w:r>
      <w:r>
        <w:rPr>
          <w:rFonts w:ascii="Times New Roman" w:hAnsi="Times New Roman"/>
          <w:color w:val="000000"/>
          <w:sz w:val="24"/>
          <w:szCs w:val="24"/>
        </w:rPr>
        <w:t>объем инвестиций увеличится до</w:t>
      </w:r>
      <w:r w:rsidRPr="00771B85">
        <w:rPr>
          <w:rFonts w:ascii="Times New Roman" w:hAnsi="Times New Roman"/>
          <w:color w:val="000000"/>
          <w:sz w:val="24"/>
          <w:szCs w:val="24"/>
        </w:rPr>
        <w:t xml:space="preserve"> 37,7 млрд.</w:t>
      </w:r>
      <w:r w:rsidR="002C6EFA">
        <w:rPr>
          <w:rFonts w:ascii="Times New Roman" w:hAnsi="Times New Roman"/>
          <w:color w:val="000000"/>
          <w:sz w:val="24"/>
          <w:szCs w:val="24"/>
        </w:rPr>
        <w:t xml:space="preserve"> </w:t>
      </w:r>
      <w:r w:rsidRPr="00771B85">
        <w:rPr>
          <w:rFonts w:ascii="Times New Roman" w:hAnsi="Times New Roman"/>
          <w:color w:val="000000"/>
          <w:sz w:val="24"/>
          <w:szCs w:val="24"/>
        </w:rPr>
        <w:t xml:space="preserve">рублей, что на </w:t>
      </w:r>
      <w:r>
        <w:rPr>
          <w:rFonts w:ascii="Times New Roman" w:hAnsi="Times New Roman"/>
          <w:color w:val="000000"/>
          <w:sz w:val="24"/>
          <w:szCs w:val="24"/>
        </w:rPr>
        <w:t>43,4</w:t>
      </w:r>
      <w:r w:rsidRPr="00771B85">
        <w:rPr>
          <w:rFonts w:ascii="Times New Roman" w:hAnsi="Times New Roman"/>
          <w:color w:val="000000"/>
          <w:sz w:val="24"/>
          <w:szCs w:val="24"/>
        </w:rPr>
        <w:t xml:space="preserve"> % выше уровня </w:t>
      </w:r>
      <w:r>
        <w:rPr>
          <w:rFonts w:ascii="Times New Roman" w:hAnsi="Times New Roman"/>
          <w:color w:val="000000"/>
          <w:sz w:val="24"/>
          <w:szCs w:val="24"/>
        </w:rPr>
        <w:t>2018 года (на 24,8 % в сопоставимых ценах)</w:t>
      </w:r>
      <w:r w:rsidRPr="00771B85">
        <w:rPr>
          <w:rFonts w:ascii="Times New Roman" w:hAnsi="Times New Roman"/>
          <w:color w:val="000000"/>
          <w:sz w:val="24"/>
          <w:szCs w:val="24"/>
        </w:rPr>
        <w:t>.</w:t>
      </w:r>
    </w:p>
    <w:p w:rsidR="0014149C"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Расчет прогноза инвестиций в основной капитал произведен на основании планов по реализации инвестиционных проектов ведущих предприятий города, а также проектов, финансируемых за сч</w:t>
      </w:r>
      <w:r w:rsidR="00BF0444" w:rsidRPr="004272BD">
        <w:rPr>
          <w:rFonts w:ascii="Times New Roman" w:hAnsi="Times New Roman"/>
          <w:color w:val="000000"/>
          <w:sz w:val="24"/>
          <w:szCs w:val="24"/>
        </w:rPr>
        <w:t>е</w:t>
      </w:r>
      <w:r w:rsidRPr="004272BD">
        <w:rPr>
          <w:rFonts w:ascii="Times New Roman" w:hAnsi="Times New Roman"/>
          <w:color w:val="000000"/>
          <w:sz w:val="24"/>
          <w:szCs w:val="24"/>
        </w:rPr>
        <w:t>т бюджетных средств.</w:t>
      </w:r>
    </w:p>
    <w:p w:rsidR="002C6EFA" w:rsidRPr="004272BD" w:rsidRDefault="002C6EFA"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2C6EFA">
        <w:rPr>
          <w:rFonts w:ascii="Times New Roman" w:hAnsi="Times New Roman"/>
          <w:color w:val="000000"/>
          <w:sz w:val="24"/>
          <w:szCs w:val="24"/>
        </w:rPr>
        <w:t>Основная часть инвестиций в городском округе Тольятти по-прежнему будет осуществляться ведущими предприятиями автомобильной и химической промышленности. Тем не менее, доля инвестиций в других секторах экономики будет постепенно увеличиваться.</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ПАО «АВТОВАЗ» продолжит разработку, модернизацию и постановку на производство новых автомобилей и силовых агрегатов. </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В прогнозном периоде предприятие продолжит производство новых автомобилей на платформе В0 (срок реализации инвестиционного проекта - 2008-2023 гг., общий объем инвестиций по проекту – 23,3 млрд.</w:t>
      </w:r>
      <w:r w:rsidR="00BF0444" w:rsidRPr="004272BD">
        <w:rPr>
          <w:rFonts w:ascii="Times New Roman" w:hAnsi="Times New Roman"/>
          <w:color w:val="000000"/>
          <w:sz w:val="24"/>
          <w:szCs w:val="24"/>
        </w:rPr>
        <w:t>рублей</w:t>
      </w:r>
      <w:r w:rsidRPr="004272BD">
        <w:rPr>
          <w:rFonts w:ascii="Times New Roman" w:hAnsi="Times New Roman"/>
          <w:color w:val="000000"/>
          <w:sz w:val="24"/>
          <w:szCs w:val="24"/>
        </w:rPr>
        <w:t>), на платформе В/С (срок реализации инвестиционного проекта - 2012-2022 гг., общий объем инвестиций по проекту – 32,4 млрд.</w:t>
      </w:r>
      <w:r w:rsidR="00BF0444" w:rsidRPr="004272BD">
        <w:rPr>
          <w:rFonts w:ascii="Times New Roman" w:hAnsi="Times New Roman"/>
          <w:color w:val="000000"/>
          <w:sz w:val="24"/>
          <w:szCs w:val="24"/>
        </w:rPr>
        <w:t>рублей</w:t>
      </w:r>
      <w:r w:rsidRPr="004272BD">
        <w:rPr>
          <w:rFonts w:ascii="Times New Roman" w:hAnsi="Times New Roman"/>
          <w:color w:val="000000"/>
          <w:sz w:val="24"/>
          <w:szCs w:val="24"/>
        </w:rPr>
        <w:t>), выпуск обновленных автомобилей LADA GRANTA и LADA KALINA  (срок реализации инвестиционного проекта - 2009-2020 гг., общий объем инвестиций по проекту – 11,0 млрд.</w:t>
      </w:r>
      <w:r w:rsidR="00BF0444" w:rsidRPr="004272BD">
        <w:rPr>
          <w:rFonts w:ascii="Times New Roman" w:hAnsi="Times New Roman"/>
          <w:color w:val="000000"/>
          <w:sz w:val="24"/>
          <w:szCs w:val="24"/>
        </w:rPr>
        <w:t>рублей</w:t>
      </w:r>
      <w:r w:rsidRPr="004272BD">
        <w:rPr>
          <w:rFonts w:ascii="Times New Roman" w:hAnsi="Times New Roman"/>
          <w:color w:val="000000"/>
          <w:sz w:val="24"/>
          <w:szCs w:val="24"/>
        </w:rPr>
        <w:t xml:space="preserve">); выпуск автомобилей </w:t>
      </w:r>
      <w:proofErr w:type="spellStart"/>
      <w:r w:rsidRPr="004272BD">
        <w:rPr>
          <w:rFonts w:ascii="Times New Roman" w:hAnsi="Times New Roman"/>
          <w:color w:val="000000"/>
          <w:sz w:val="24"/>
          <w:szCs w:val="24"/>
        </w:rPr>
        <w:t>LADA</w:t>
      </w:r>
      <w:proofErr w:type="spellEnd"/>
      <w:r w:rsidRPr="004272BD">
        <w:rPr>
          <w:rFonts w:ascii="Times New Roman" w:hAnsi="Times New Roman"/>
          <w:color w:val="000000"/>
          <w:sz w:val="24"/>
          <w:szCs w:val="24"/>
        </w:rPr>
        <w:t xml:space="preserve"> </w:t>
      </w:r>
      <w:proofErr w:type="spellStart"/>
      <w:r w:rsidRPr="004272BD">
        <w:rPr>
          <w:rFonts w:ascii="Times New Roman" w:hAnsi="Times New Roman"/>
          <w:color w:val="000000"/>
          <w:sz w:val="24"/>
          <w:szCs w:val="24"/>
        </w:rPr>
        <w:t>XRAY</w:t>
      </w:r>
      <w:proofErr w:type="spellEnd"/>
      <w:r w:rsidRPr="004272BD">
        <w:rPr>
          <w:rFonts w:ascii="Times New Roman" w:hAnsi="Times New Roman"/>
          <w:color w:val="000000"/>
          <w:sz w:val="24"/>
          <w:szCs w:val="24"/>
        </w:rPr>
        <w:t xml:space="preserve"> (срок реализации инвестиционного проекта - 2012-2023 гг., общий объем инвестиций по проекту – 14,8 млрд.</w:t>
      </w:r>
      <w:r w:rsidR="00BF0444" w:rsidRPr="004272BD">
        <w:rPr>
          <w:rFonts w:ascii="Times New Roman" w:hAnsi="Times New Roman"/>
          <w:color w:val="000000"/>
          <w:sz w:val="24"/>
          <w:szCs w:val="24"/>
        </w:rPr>
        <w:t>рублей</w:t>
      </w:r>
      <w:r w:rsidRPr="004272BD">
        <w:rPr>
          <w:rFonts w:ascii="Times New Roman" w:hAnsi="Times New Roman"/>
          <w:color w:val="000000"/>
          <w:sz w:val="24"/>
          <w:szCs w:val="24"/>
        </w:rPr>
        <w:t>).</w:t>
      </w:r>
    </w:p>
    <w:p w:rsidR="004F0A8C"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Продолжится реализация проектов по разработке новой модели </w:t>
      </w:r>
      <w:proofErr w:type="spellStart"/>
      <w:r w:rsidRPr="004272BD">
        <w:rPr>
          <w:rFonts w:ascii="Times New Roman" w:hAnsi="Times New Roman"/>
          <w:color w:val="000000"/>
          <w:sz w:val="24"/>
          <w:szCs w:val="24"/>
        </w:rPr>
        <w:t>Lada</w:t>
      </w:r>
      <w:proofErr w:type="spellEnd"/>
      <w:r w:rsidRPr="004272BD">
        <w:rPr>
          <w:rFonts w:ascii="Times New Roman" w:hAnsi="Times New Roman"/>
          <w:color w:val="000000"/>
          <w:sz w:val="24"/>
          <w:szCs w:val="24"/>
        </w:rPr>
        <w:t xml:space="preserve"> 4x4 </w:t>
      </w:r>
      <w:proofErr w:type="spellStart"/>
      <w:r w:rsidRPr="004272BD">
        <w:rPr>
          <w:rFonts w:ascii="Times New Roman" w:hAnsi="Times New Roman"/>
          <w:color w:val="000000"/>
          <w:sz w:val="24"/>
          <w:szCs w:val="24"/>
        </w:rPr>
        <w:t>NG</w:t>
      </w:r>
      <w:proofErr w:type="spellEnd"/>
      <w:r w:rsidRPr="004272BD">
        <w:rPr>
          <w:rFonts w:ascii="Times New Roman" w:hAnsi="Times New Roman"/>
          <w:color w:val="000000"/>
          <w:sz w:val="24"/>
          <w:szCs w:val="24"/>
        </w:rPr>
        <w:t xml:space="preserve"> (</w:t>
      </w:r>
      <w:proofErr w:type="spellStart"/>
      <w:r w:rsidRPr="004272BD">
        <w:rPr>
          <w:rFonts w:ascii="Times New Roman" w:hAnsi="Times New Roman"/>
          <w:color w:val="000000"/>
          <w:sz w:val="24"/>
          <w:szCs w:val="24"/>
        </w:rPr>
        <w:t>New</w:t>
      </w:r>
      <w:proofErr w:type="spellEnd"/>
      <w:r w:rsidRPr="004272BD">
        <w:rPr>
          <w:rFonts w:ascii="Times New Roman" w:hAnsi="Times New Roman"/>
          <w:color w:val="000000"/>
          <w:sz w:val="24"/>
          <w:szCs w:val="24"/>
        </w:rPr>
        <w:t xml:space="preserve"> </w:t>
      </w:r>
      <w:proofErr w:type="spellStart"/>
      <w:r w:rsidRPr="004272BD">
        <w:rPr>
          <w:rFonts w:ascii="Times New Roman" w:hAnsi="Times New Roman"/>
          <w:color w:val="000000"/>
          <w:sz w:val="24"/>
          <w:szCs w:val="24"/>
        </w:rPr>
        <w:t>Generation</w:t>
      </w:r>
      <w:proofErr w:type="spellEnd"/>
      <w:r w:rsidRPr="004272BD">
        <w:rPr>
          <w:rFonts w:ascii="Times New Roman" w:hAnsi="Times New Roman"/>
          <w:color w:val="000000"/>
          <w:sz w:val="24"/>
          <w:szCs w:val="24"/>
        </w:rPr>
        <w:t xml:space="preserve">) (срок реализации инвестиционного проекта 2014-2021 гг., общий объем инвестиций по проекту – 22,3 </w:t>
      </w:r>
      <w:r w:rsidR="00BF0444" w:rsidRPr="004272BD">
        <w:rPr>
          <w:rFonts w:ascii="Times New Roman" w:hAnsi="Times New Roman"/>
          <w:color w:val="000000"/>
          <w:sz w:val="24"/>
          <w:szCs w:val="24"/>
        </w:rPr>
        <w:t>млрд.рублей</w:t>
      </w:r>
      <w:r w:rsidRPr="004272BD">
        <w:rPr>
          <w:rFonts w:ascii="Times New Roman" w:hAnsi="Times New Roman"/>
          <w:color w:val="000000"/>
          <w:sz w:val="24"/>
          <w:szCs w:val="24"/>
        </w:rPr>
        <w:t xml:space="preserve">); по локализации двигателей Н4 (срок реализации инвестиционного проекта - 2012-2023 гг., общий объем инвестиций по проекту – 10,8 </w:t>
      </w:r>
      <w:r w:rsidR="00BF0444" w:rsidRPr="004272BD">
        <w:rPr>
          <w:rFonts w:ascii="Times New Roman" w:hAnsi="Times New Roman"/>
          <w:color w:val="000000"/>
          <w:sz w:val="24"/>
          <w:szCs w:val="24"/>
        </w:rPr>
        <w:t>млрд.рублей</w:t>
      </w:r>
      <w:r w:rsidRPr="004272BD">
        <w:rPr>
          <w:rFonts w:ascii="Times New Roman" w:hAnsi="Times New Roman"/>
          <w:color w:val="000000"/>
          <w:sz w:val="24"/>
          <w:szCs w:val="24"/>
        </w:rPr>
        <w:t xml:space="preserve">); по производству новых двигателей «АВТОВАЗ» (срок реализации инвестиционного проекта - 2010-2023 гг., общий объем инвестиций по проекту – 3,1 </w:t>
      </w:r>
      <w:r w:rsidR="00BF0444" w:rsidRPr="004272BD">
        <w:rPr>
          <w:rFonts w:ascii="Times New Roman" w:hAnsi="Times New Roman"/>
          <w:color w:val="000000"/>
          <w:sz w:val="24"/>
          <w:szCs w:val="24"/>
        </w:rPr>
        <w:t>млрд.рублей</w:t>
      </w:r>
      <w:r w:rsidRPr="004272BD">
        <w:rPr>
          <w:rFonts w:ascii="Times New Roman" w:hAnsi="Times New Roman"/>
          <w:color w:val="000000"/>
          <w:sz w:val="24"/>
          <w:szCs w:val="24"/>
        </w:rPr>
        <w:t xml:space="preserve">). </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В прогнозном периоде ЗАО «Джи-Эм АВТОВАЗ» продолжит освоение производства обновленной версии Шевроле НИВА с общим объемом инвестиций в </w:t>
      </w:r>
      <w:r w:rsidRPr="004272BD">
        <w:rPr>
          <w:rFonts w:ascii="Times New Roman" w:hAnsi="Times New Roman"/>
          <w:color w:val="000000"/>
          <w:sz w:val="24"/>
          <w:szCs w:val="24"/>
        </w:rPr>
        <w:lastRenderedPageBreak/>
        <w:t xml:space="preserve">основной капитал по проекту – 0,9 </w:t>
      </w:r>
      <w:r w:rsidR="00BF0444" w:rsidRPr="004272BD">
        <w:rPr>
          <w:rFonts w:ascii="Times New Roman" w:hAnsi="Times New Roman"/>
          <w:color w:val="000000"/>
          <w:sz w:val="24"/>
          <w:szCs w:val="24"/>
        </w:rPr>
        <w:t>млрд.рублей</w:t>
      </w:r>
      <w:r w:rsidRPr="004272BD">
        <w:rPr>
          <w:rFonts w:ascii="Times New Roman" w:hAnsi="Times New Roman"/>
          <w:color w:val="000000"/>
          <w:sz w:val="24"/>
          <w:szCs w:val="24"/>
        </w:rPr>
        <w:t xml:space="preserve"> (срок реализации проекта – 2021 г.).</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В химической отрасли планируется реализация инвестиционных проектов по реконструкции действующего производственного оборудования и строительство новых производств. </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На </w:t>
      </w:r>
      <w:proofErr w:type="spellStart"/>
      <w:r w:rsidRPr="004272BD">
        <w:rPr>
          <w:rFonts w:ascii="Times New Roman" w:hAnsi="Times New Roman"/>
          <w:color w:val="000000"/>
          <w:sz w:val="24"/>
          <w:szCs w:val="24"/>
        </w:rPr>
        <w:t>ПАО</w:t>
      </w:r>
      <w:proofErr w:type="spellEnd"/>
      <w:r w:rsidRPr="004272BD">
        <w:rPr>
          <w:rFonts w:ascii="Times New Roman" w:hAnsi="Times New Roman"/>
          <w:color w:val="000000"/>
          <w:sz w:val="24"/>
          <w:szCs w:val="24"/>
        </w:rPr>
        <w:t xml:space="preserve"> «</w:t>
      </w:r>
      <w:proofErr w:type="spellStart"/>
      <w:r w:rsidRPr="004272BD">
        <w:rPr>
          <w:rFonts w:ascii="Times New Roman" w:hAnsi="Times New Roman"/>
          <w:color w:val="000000"/>
          <w:sz w:val="24"/>
          <w:szCs w:val="24"/>
        </w:rPr>
        <w:t>КуйбышевАзот</w:t>
      </w:r>
      <w:proofErr w:type="spellEnd"/>
      <w:r w:rsidRPr="004272BD">
        <w:rPr>
          <w:rFonts w:ascii="Times New Roman" w:hAnsi="Times New Roman"/>
          <w:color w:val="000000"/>
          <w:sz w:val="24"/>
          <w:szCs w:val="24"/>
        </w:rPr>
        <w:t xml:space="preserve">» в прогнозном периоде продолжится реализация таких инвестиционных проектов, как: строительство установки гранулированного сульфат-нитрата аммония мощностью 1 100 т/сутки; строительство изотермического хранилища аммиака; строительство нового </w:t>
      </w:r>
      <w:proofErr w:type="spellStart"/>
      <w:r w:rsidRPr="004272BD">
        <w:rPr>
          <w:rFonts w:ascii="Times New Roman" w:hAnsi="Times New Roman"/>
          <w:color w:val="000000"/>
          <w:sz w:val="24"/>
          <w:szCs w:val="24"/>
        </w:rPr>
        <w:t>энергоэффективного</w:t>
      </w:r>
      <w:proofErr w:type="spellEnd"/>
      <w:r w:rsidRPr="004272BD">
        <w:rPr>
          <w:rFonts w:ascii="Times New Roman" w:hAnsi="Times New Roman"/>
          <w:color w:val="000000"/>
          <w:sz w:val="24"/>
          <w:szCs w:val="24"/>
        </w:rPr>
        <w:t xml:space="preserve"> агрегата карбамида мощностью 1500 т/сутки; расширение производства </w:t>
      </w:r>
      <w:proofErr w:type="spellStart"/>
      <w:r w:rsidRPr="004272BD">
        <w:rPr>
          <w:rFonts w:ascii="Times New Roman" w:hAnsi="Times New Roman"/>
          <w:color w:val="000000"/>
          <w:sz w:val="24"/>
          <w:szCs w:val="24"/>
        </w:rPr>
        <w:t>капролактама</w:t>
      </w:r>
      <w:proofErr w:type="spellEnd"/>
      <w:r w:rsidRPr="004272BD">
        <w:rPr>
          <w:rFonts w:ascii="Times New Roman" w:hAnsi="Times New Roman"/>
          <w:color w:val="000000"/>
          <w:sz w:val="24"/>
          <w:szCs w:val="24"/>
        </w:rPr>
        <w:t xml:space="preserve"> до 260 тыс.т/год; строительство агрегатов слабой азотной кислоты 1500 т/сутки и аммиачной селитры мощностью 2000 т/сутки и др</w:t>
      </w:r>
      <w:r w:rsidR="00144879">
        <w:rPr>
          <w:rFonts w:ascii="Times New Roman" w:hAnsi="Times New Roman"/>
          <w:color w:val="000000"/>
          <w:sz w:val="24"/>
          <w:szCs w:val="24"/>
        </w:rPr>
        <w:t>угое</w:t>
      </w:r>
      <w:r w:rsidRPr="004272BD">
        <w:rPr>
          <w:rFonts w:ascii="Times New Roman" w:hAnsi="Times New Roman"/>
          <w:color w:val="000000"/>
          <w:sz w:val="24"/>
          <w:szCs w:val="24"/>
        </w:rPr>
        <w:t>.</w:t>
      </w:r>
    </w:p>
    <w:p w:rsidR="002D4AD6" w:rsidRDefault="002D4AD6"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ПАО «Тольяттиазот» продолжит модернизировать установки производства аммиака, планирует провести реконструкцию биологических очистных сооружений, а также построить третий агрегат карбамида. </w:t>
      </w:r>
    </w:p>
    <w:p w:rsidR="004F0A8C" w:rsidRPr="004272BD" w:rsidRDefault="004F0A8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F0A8C">
        <w:rPr>
          <w:rFonts w:ascii="Times New Roman" w:hAnsi="Times New Roman"/>
          <w:color w:val="000000"/>
          <w:sz w:val="24"/>
          <w:szCs w:val="24"/>
        </w:rPr>
        <w:t>На ООО «СИБУР Тольятти» запланировано перевооружение производства метил-трет-бутилового эфира</w:t>
      </w:r>
      <w:r>
        <w:rPr>
          <w:rFonts w:ascii="Times New Roman" w:hAnsi="Times New Roman"/>
          <w:color w:val="000000"/>
          <w:sz w:val="24"/>
          <w:szCs w:val="24"/>
        </w:rPr>
        <w:t xml:space="preserve"> (срок реализации проекта – 2017-2019 годы).</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Продолжится реализации крупных инвестиционных проектов, такие как Технопарк в сфере высоких технологий «Жигулевская долина» (проект «Жигулевская долина-2»), Индустриальный парк «</w:t>
      </w:r>
      <w:proofErr w:type="spellStart"/>
      <w:r w:rsidRPr="004272BD">
        <w:rPr>
          <w:rFonts w:ascii="Times New Roman" w:hAnsi="Times New Roman"/>
          <w:color w:val="000000"/>
          <w:sz w:val="24"/>
          <w:szCs w:val="24"/>
        </w:rPr>
        <w:t>Тольяттисинтез</w:t>
      </w:r>
      <w:proofErr w:type="spellEnd"/>
      <w:r w:rsidRPr="004272BD">
        <w:rPr>
          <w:rFonts w:ascii="Times New Roman" w:hAnsi="Times New Roman"/>
          <w:color w:val="000000"/>
          <w:sz w:val="24"/>
          <w:szCs w:val="24"/>
        </w:rPr>
        <w:t xml:space="preserve">» (в прогнозном периоде резидентами Индустриального парка ожидается освоение инвестиций в объеме около 800 </w:t>
      </w:r>
      <w:r w:rsidR="00BF0444" w:rsidRPr="004272BD">
        <w:rPr>
          <w:rFonts w:ascii="Times New Roman" w:hAnsi="Times New Roman"/>
          <w:color w:val="000000"/>
          <w:sz w:val="24"/>
          <w:szCs w:val="24"/>
        </w:rPr>
        <w:t>млн.рублей</w:t>
      </w:r>
      <w:r w:rsidRPr="004272BD">
        <w:rPr>
          <w:rFonts w:ascii="Times New Roman" w:hAnsi="Times New Roman"/>
          <w:color w:val="000000"/>
          <w:sz w:val="24"/>
          <w:szCs w:val="24"/>
        </w:rPr>
        <w:t xml:space="preserve">). </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До конца 2019 года планируется запустить третью, последнюю очередь инфраструктуры </w:t>
      </w:r>
      <w:r w:rsidR="00BF0444" w:rsidRPr="004272BD">
        <w:rPr>
          <w:rFonts w:ascii="Times New Roman" w:hAnsi="Times New Roman"/>
          <w:color w:val="000000"/>
          <w:sz w:val="24"/>
          <w:szCs w:val="24"/>
        </w:rPr>
        <w:t xml:space="preserve">особой экономической зоны промышленно-производственного типа «Тольятти» на территории Ставропольского района Самарской области (далее по разделу - </w:t>
      </w:r>
      <w:r w:rsidRPr="004272BD">
        <w:rPr>
          <w:rFonts w:ascii="Times New Roman" w:hAnsi="Times New Roman"/>
          <w:color w:val="000000"/>
          <w:sz w:val="24"/>
          <w:szCs w:val="24"/>
        </w:rPr>
        <w:t>ОЭЗ «Тольятти»</w:t>
      </w:r>
      <w:r w:rsidR="00BF0444" w:rsidRPr="004272BD">
        <w:rPr>
          <w:rFonts w:ascii="Times New Roman" w:hAnsi="Times New Roman"/>
          <w:color w:val="000000"/>
          <w:sz w:val="24"/>
          <w:szCs w:val="24"/>
        </w:rPr>
        <w:t>)</w:t>
      </w:r>
      <w:r w:rsidRPr="004272BD">
        <w:rPr>
          <w:rFonts w:ascii="Times New Roman" w:hAnsi="Times New Roman"/>
          <w:color w:val="000000"/>
          <w:sz w:val="24"/>
          <w:szCs w:val="24"/>
        </w:rPr>
        <w:t xml:space="preserve"> площадью 233 га. К концу 2021 года количество резидентов ОЭЗ «Тольятти» может достигнуть 27</w:t>
      </w:r>
      <w:r w:rsidR="00627E6E">
        <w:rPr>
          <w:rFonts w:ascii="Times New Roman" w:hAnsi="Times New Roman"/>
          <w:color w:val="000000"/>
          <w:sz w:val="24"/>
          <w:szCs w:val="24"/>
        </w:rPr>
        <w:t xml:space="preserve"> единиц</w:t>
      </w:r>
      <w:r w:rsidRPr="004272BD">
        <w:rPr>
          <w:rFonts w:ascii="Times New Roman" w:hAnsi="Times New Roman"/>
          <w:color w:val="000000"/>
          <w:sz w:val="24"/>
          <w:szCs w:val="24"/>
        </w:rPr>
        <w:t xml:space="preserve">, объем вложенных ими инвестиций составить более 20 </w:t>
      </w:r>
      <w:r w:rsidR="00BF0444" w:rsidRPr="004272BD">
        <w:rPr>
          <w:rFonts w:ascii="Times New Roman" w:hAnsi="Times New Roman"/>
          <w:color w:val="000000"/>
          <w:sz w:val="24"/>
          <w:szCs w:val="24"/>
        </w:rPr>
        <w:t>млрд.рублей</w:t>
      </w:r>
      <w:r w:rsidRPr="004272BD">
        <w:rPr>
          <w:rFonts w:ascii="Times New Roman" w:hAnsi="Times New Roman"/>
          <w:color w:val="000000"/>
          <w:sz w:val="24"/>
          <w:szCs w:val="24"/>
        </w:rPr>
        <w:t xml:space="preserve">, а количество созданных ими рабочих мест – порядка 3,1 тысяч. На территории ОЭЗ «Тольятти» в прогнозном периоде будут введены в эксплуатацию два завода по производству </w:t>
      </w:r>
      <w:proofErr w:type="spellStart"/>
      <w:r w:rsidRPr="004272BD">
        <w:rPr>
          <w:rFonts w:ascii="Times New Roman" w:hAnsi="Times New Roman"/>
          <w:color w:val="000000"/>
          <w:sz w:val="24"/>
          <w:szCs w:val="24"/>
        </w:rPr>
        <w:t>автокомпонентов</w:t>
      </w:r>
      <w:proofErr w:type="spellEnd"/>
      <w:r w:rsidRPr="004272BD">
        <w:rPr>
          <w:rFonts w:ascii="Times New Roman" w:hAnsi="Times New Roman"/>
          <w:color w:val="000000"/>
          <w:sz w:val="24"/>
          <w:szCs w:val="24"/>
        </w:rPr>
        <w:t>.</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Функционирование ТОСЭР «Тольятти» в прогнозном периоде будет способствовать активному привлечению инвестиций в </w:t>
      </w:r>
      <w:r w:rsidR="00627E6E">
        <w:rPr>
          <w:rFonts w:ascii="Times New Roman" w:hAnsi="Times New Roman"/>
          <w:color w:val="000000"/>
          <w:sz w:val="24"/>
          <w:szCs w:val="24"/>
        </w:rPr>
        <w:t xml:space="preserve">сферы, </w:t>
      </w:r>
      <w:r w:rsidRPr="004272BD">
        <w:rPr>
          <w:rFonts w:ascii="Times New Roman" w:hAnsi="Times New Roman"/>
          <w:color w:val="000000"/>
          <w:sz w:val="24"/>
          <w:szCs w:val="24"/>
        </w:rPr>
        <w:t>не</w:t>
      </w:r>
      <w:r w:rsidR="00627E6E">
        <w:rPr>
          <w:rFonts w:ascii="Times New Roman" w:hAnsi="Times New Roman"/>
          <w:color w:val="000000"/>
          <w:sz w:val="24"/>
          <w:szCs w:val="24"/>
        </w:rPr>
        <w:t xml:space="preserve"> </w:t>
      </w:r>
      <w:r w:rsidRPr="004272BD">
        <w:rPr>
          <w:rFonts w:ascii="Times New Roman" w:hAnsi="Times New Roman"/>
          <w:color w:val="000000"/>
          <w:sz w:val="24"/>
          <w:szCs w:val="24"/>
        </w:rPr>
        <w:t xml:space="preserve">связанные с градообразующей отраслью, диверсификации экономики через развитие широкого спектра направлений экономической деятельности, созданию новых рабочих мест, снятию напряженности на рынке труда, росту реальных доходов и потребительской активности населения. </w:t>
      </w:r>
    </w:p>
    <w:p w:rsidR="0014149C" w:rsidRPr="004272BD" w:rsidRDefault="0014149C" w:rsidP="00E11BE7">
      <w:pPr>
        <w:widowControl w:val="0"/>
        <w:tabs>
          <w:tab w:val="num" w:pos="0"/>
        </w:tabs>
        <w:suppressAutoHyphens/>
        <w:autoSpaceDE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В прогнозном периоде (2019-2021 гг.) объем инвестиций резидентов ТОСЭР «Тольятти» предполагается в объеме около 1 206 </w:t>
      </w:r>
      <w:r w:rsidR="00BF0444" w:rsidRPr="004272BD">
        <w:rPr>
          <w:rFonts w:ascii="Times New Roman" w:hAnsi="Times New Roman"/>
          <w:color w:val="000000"/>
          <w:sz w:val="24"/>
          <w:szCs w:val="24"/>
        </w:rPr>
        <w:t>млн.рублей</w:t>
      </w:r>
      <w:r w:rsidR="000E5B3C" w:rsidRPr="004272BD">
        <w:rPr>
          <w:rFonts w:ascii="Times New Roman" w:hAnsi="Times New Roman"/>
          <w:color w:val="000000"/>
          <w:sz w:val="24"/>
          <w:szCs w:val="24"/>
        </w:rPr>
        <w:t xml:space="preserve"> (по действующим резидентам ТОСЭР «Тольятти»</w:t>
      </w:r>
      <w:r w:rsidR="000F536F" w:rsidRPr="004272BD">
        <w:rPr>
          <w:rFonts w:ascii="Times New Roman" w:hAnsi="Times New Roman"/>
          <w:color w:val="000000"/>
          <w:sz w:val="24"/>
          <w:szCs w:val="24"/>
        </w:rPr>
        <w:t>)</w:t>
      </w:r>
      <w:r w:rsidR="004B4442" w:rsidRPr="004272BD">
        <w:rPr>
          <w:rFonts w:ascii="Times New Roman" w:hAnsi="Times New Roman"/>
          <w:color w:val="000000"/>
          <w:sz w:val="24"/>
          <w:szCs w:val="24"/>
        </w:rPr>
        <w:t>.</w:t>
      </w:r>
    </w:p>
    <w:p w:rsidR="0014149C" w:rsidRPr="004272BD" w:rsidRDefault="00606B3B" w:rsidP="00E11BE7">
      <w:pPr>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 xml:space="preserve">В прогнозном периоде ожидается рост бюджетных инвестиций, в том числе в рамках реализации Плана основных мероприятий </w:t>
      </w:r>
      <w:r w:rsidRPr="00606B3B">
        <w:rPr>
          <w:rFonts w:ascii="Times New Roman" w:hAnsi="Times New Roman"/>
          <w:color w:val="000000"/>
          <w:sz w:val="24"/>
          <w:szCs w:val="24"/>
        </w:rPr>
        <w:t xml:space="preserve">по подготовке и проведению </w:t>
      </w:r>
      <w:r w:rsidRPr="00D953A8">
        <w:rPr>
          <w:rFonts w:ascii="Times New Roman" w:hAnsi="Times New Roman"/>
          <w:color w:val="000000"/>
          <w:sz w:val="24"/>
          <w:szCs w:val="24"/>
        </w:rPr>
        <w:t>празднования</w:t>
      </w:r>
      <w:r w:rsidRPr="00606B3B">
        <w:rPr>
          <w:rFonts w:ascii="Times New Roman" w:hAnsi="Times New Roman"/>
          <w:color w:val="000000"/>
          <w:sz w:val="24"/>
          <w:szCs w:val="24"/>
        </w:rPr>
        <w:t xml:space="preserve"> 50-летия </w:t>
      </w:r>
      <w:r w:rsidRPr="00D953A8">
        <w:rPr>
          <w:rFonts w:ascii="Times New Roman" w:hAnsi="Times New Roman"/>
          <w:color w:val="000000"/>
          <w:sz w:val="24"/>
          <w:szCs w:val="24"/>
        </w:rPr>
        <w:t>выпуска первого легкового автомобиля ВАЗ</w:t>
      </w:r>
      <w:r w:rsidRPr="00606B3B">
        <w:rPr>
          <w:rFonts w:ascii="Times New Roman" w:hAnsi="Times New Roman"/>
          <w:color w:val="000000"/>
          <w:sz w:val="24"/>
          <w:szCs w:val="24"/>
        </w:rPr>
        <w:t xml:space="preserve"> в </w:t>
      </w:r>
      <w:r>
        <w:rPr>
          <w:rFonts w:ascii="Times New Roman" w:hAnsi="Times New Roman"/>
          <w:color w:val="000000"/>
          <w:sz w:val="24"/>
          <w:szCs w:val="24"/>
        </w:rPr>
        <w:t xml:space="preserve">городском округе </w:t>
      </w:r>
      <w:r w:rsidRPr="00606B3B">
        <w:rPr>
          <w:rFonts w:ascii="Times New Roman" w:hAnsi="Times New Roman"/>
          <w:color w:val="000000"/>
          <w:sz w:val="24"/>
          <w:szCs w:val="24"/>
        </w:rPr>
        <w:t>Тольятти</w:t>
      </w:r>
      <w:r w:rsidRPr="004272BD">
        <w:rPr>
          <w:rFonts w:ascii="Times New Roman" w:hAnsi="Times New Roman"/>
          <w:color w:val="000000"/>
          <w:sz w:val="24"/>
          <w:szCs w:val="24"/>
        </w:rPr>
        <w:t>. </w:t>
      </w:r>
      <w:r>
        <w:rPr>
          <w:rFonts w:ascii="Times New Roman" w:hAnsi="Times New Roman"/>
          <w:color w:val="000000"/>
          <w:sz w:val="24"/>
          <w:szCs w:val="24"/>
        </w:rPr>
        <w:t>Будет продолжено</w:t>
      </w:r>
      <w:r w:rsidRPr="004272BD">
        <w:rPr>
          <w:rFonts w:ascii="Times New Roman" w:hAnsi="Times New Roman"/>
          <w:color w:val="000000"/>
          <w:sz w:val="24"/>
          <w:szCs w:val="24"/>
        </w:rPr>
        <w:t xml:space="preserve"> строительство двух поликлиник</w:t>
      </w:r>
      <w:r>
        <w:rPr>
          <w:rFonts w:ascii="Times New Roman" w:hAnsi="Times New Roman"/>
          <w:color w:val="000000"/>
          <w:sz w:val="24"/>
          <w:szCs w:val="24"/>
        </w:rPr>
        <w:t xml:space="preserve"> и </w:t>
      </w:r>
      <w:r w:rsidRPr="00F23A89">
        <w:rPr>
          <w:rFonts w:ascii="Times New Roman" w:hAnsi="Times New Roman"/>
          <w:color w:val="000000"/>
          <w:sz w:val="24"/>
          <w:szCs w:val="24"/>
        </w:rPr>
        <w:t>физкультурно-спортивного комплекса</w:t>
      </w:r>
      <w:r>
        <w:rPr>
          <w:rFonts w:ascii="Times New Roman" w:hAnsi="Times New Roman"/>
          <w:color w:val="000000"/>
          <w:sz w:val="24"/>
          <w:szCs w:val="24"/>
        </w:rPr>
        <w:t xml:space="preserve"> на </w:t>
      </w:r>
      <w:r w:rsidRPr="00F23A89">
        <w:rPr>
          <w:rFonts w:ascii="Times New Roman" w:hAnsi="Times New Roman"/>
          <w:color w:val="000000"/>
          <w:sz w:val="24"/>
          <w:szCs w:val="24"/>
        </w:rPr>
        <w:t>площадк</w:t>
      </w:r>
      <w:r>
        <w:rPr>
          <w:rFonts w:ascii="Times New Roman" w:hAnsi="Times New Roman"/>
          <w:color w:val="000000"/>
          <w:sz w:val="24"/>
          <w:szCs w:val="24"/>
        </w:rPr>
        <w:t>е</w:t>
      </w:r>
      <w:r w:rsidRPr="00F23A89">
        <w:rPr>
          <w:rFonts w:ascii="Times New Roman" w:hAnsi="Times New Roman"/>
          <w:color w:val="000000"/>
          <w:sz w:val="24"/>
          <w:szCs w:val="24"/>
        </w:rPr>
        <w:t xml:space="preserve"> «Певческое поле»</w:t>
      </w:r>
      <w:r w:rsidRPr="004272BD">
        <w:rPr>
          <w:rFonts w:ascii="Times New Roman" w:hAnsi="Times New Roman"/>
          <w:color w:val="000000"/>
          <w:sz w:val="24"/>
          <w:szCs w:val="24"/>
        </w:rPr>
        <w:t xml:space="preserve">, </w:t>
      </w:r>
      <w:r>
        <w:rPr>
          <w:rFonts w:ascii="Times New Roman" w:hAnsi="Times New Roman"/>
          <w:color w:val="000000"/>
          <w:sz w:val="24"/>
          <w:szCs w:val="24"/>
        </w:rPr>
        <w:t xml:space="preserve">запланировано строительство </w:t>
      </w:r>
      <w:r w:rsidRPr="004272BD">
        <w:rPr>
          <w:rFonts w:ascii="Times New Roman" w:hAnsi="Times New Roman"/>
          <w:color w:val="000000"/>
          <w:sz w:val="24"/>
          <w:szCs w:val="24"/>
        </w:rPr>
        <w:t xml:space="preserve">двух общеобразовательных школ - в 18-м квартале и в 20-м квартале, строительство </w:t>
      </w:r>
      <w:r>
        <w:rPr>
          <w:rFonts w:ascii="Times New Roman" w:hAnsi="Times New Roman"/>
          <w:color w:val="000000"/>
          <w:sz w:val="24"/>
          <w:szCs w:val="24"/>
        </w:rPr>
        <w:t>двух</w:t>
      </w:r>
      <w:r w:rsidRPr="004272BD">
        <w:rPr>
          <w:rFonts w:ascii="Times New Roman" w:hAnsi="Times New Roman"/>
          <w:color w:val="000000"/>
          <w:sz w:val="24"/>
          <w:szCs w:val="24"/>
        </w:rPr>
        <w:t xml:space="preserve"> физкультурно-оздоровительных комплексов, а также центра спортивной гимнастики «</w:t>
      </w:r>
      <w:proofErr w:type="spellStart"/>
      <w:r w:rsidRPr="004272BD">
        <w:rPr>
          <w:rFonts w:ascii="Times New Roman" w:hAnsi="Times New Roman"/>
          <w:color w:val="000000"/>
          <w:sz w:val="24"/>
          <w:szCs w:val="24"/>
        </w:rPr>
        <w:t>Немов-центр</w:t>
      </w:r>
      <w:proofErr w:type="spellEnd"/>
      <w:r w:rsidRPr="004272BD">
        <w:rPr>
          <w:rFonts w:ascii="Times New Roman" w:hAnsi="Times New Roman"/>
          <w:color w:val="000000"/>
          <w:sz w:val="24"/>
          <w:szCs w:val="24"/>
        </w:rPr>
        <w:t xml:space="preserve">». В Автозаводском районе рядом с парком Победы появится выставочный </w:t>
      </w:r>
      <w:r w:rsidRPr="004272BD">
        <w:rPr>
          <w:rFonts w:ascii="Times New Roman" w:hAnsi="Times New Roman"/>
          <w:color w:val="000000"/>
          <w:sz w:val="24"/>
          <w:szCs w:val="24"/>
        </w:rPr>
        <w:lastRenderedPageBreak/>
        <w:t>зал и сквер с игровыми площадками и фонтаном. Будет пров</w:t>
      </w:r>
      <w:r>
        <w:rPr>
          <w:rFonts w:ascii="Times New Roman" w:hAnsi="Times New Roman"/>
          <w:color w:val="000000"/>
          <w:sz w:val="24"/>
          <w:szCs w:val="24"/>
        </w:rPr>
        <w:t>одится</w:t>
      </w:r>
      <w:r w:rsidRPr="004272BD">
        <w:rPr>
          <w:rFonts w:ascii="Times New Roman" w:hAnsi="Times New Roman"/>
          <w:color w:val="000000"/>
          <w:sz w:val="24"/>
          <w:szCs w:val="24"/>
        </w:rPr>
        <w:t xml:space="preserve"> реконструкция автозаводской набережной. Продолжится строительство новых дорог и дорожных объектов, а также реконструкция существующих дорог.</w:t>
      </w:r>
      <w:r>
        <w:rPr>
          <w:rFonts w:ascii="Times New Roman" w:hAnsi="Times New Roman"/>
          <w:color w:val="000000"/>
          <w:sz w:val="24"/>
          <w:szCs w:val="24"/>
        </w:rPr>
        <w:t xml:space="preserve"> </w:t>
      </w:r>
      <w:r w:rsidR="0014149C" w:rsidRPr="006A09F2">
        <w:rPr>
          <w:rFonts w:ascii="Times New Roman" w:hAnsi="Times New Roman"/>
          <w:color w:val="000000"/>
          <w:sz w:val="24"/>
          <w:szCs w:val="24"/>
        </w:rPr>
        <w:t xml:space="preserve">Объем бюджетных инвестиций </w:t>
      </w:r>
      <w:r w:rsidR="004B2407" w:rsidRPr="006A09F2">
        <w:rPr>
          <w:rFonts w:ascii="Times New Roman" w:hAnsi="Times New Roman"/>
          <w:color w:val="000000"/>
          <w:sz w:val="24"/>
          <w:szCs w:val="24"/>
        </w:rPr>
        <w:t xml:space="preserve">за </w:t>
      </w:r>
      <w:r w:rsidR="003B73CA">
        <w:rPr>
          <w:rFonts w:ascii="Times New Roman" w:hAnsi="Times New Roman"/>
          <w:color w:val="000000"/>
          <w:sz w:val="24"/>
          <w:szCs w:val="24"/>
        </w:rPr>
        <w:t>три</w:t>
      </w:r>
      <w:r w:rsidR="004B2407" w:rsidRPr="006A09F2">
        <w:rPr>
          <w:rFonts w:ascii="Times New Roman" w:hAnsi="Times New Roman"/>
          <w:color w:val="000000"/>
          <w:sz w:val="24"/>
          <w:szCs w:val="24"/>
        </w:rPr>
        <w:t xml:space="preserve"> года</w:t>
      </w:r>
      <w:r w:rsidR="0014149C" w:rsidRPr="006A09F2">
        <w:rPr>
          <w:rFonts w:ascii="Times New Roman" w:hAnsi="Times New Roman"/>
          <w:color w:val="000000"/>
          <w:sz w:val="24"/>
          <w:szCs w:val="24"/>
        </w:rPr>
        <w:t xml:space="preserve"> по базовому варианту може</w:t>
      </w:r>
      <w:r w:rsidR="00780E67" w:rsidRPr="006A09F2">
        <w:rPr>
          <w:rFonts w:ascii="Times New Roman" w:hAnsi="Times New Roman"/>
          <w:color w:val="000000"/>
          <w:sz w:val="24"/>
          <w:szCs w:val="24"/>
        </w:rPr>
        <w:t xml:space="preserve">т составить </w:t>
      </w:r>
      <w:r w:rsidR="003B73CA">
        <w:rPr>
          <w:rFonts w:ascii="Times New Roman" w:hAnsi="Times New Roman"/>
          <w:color w:val="000000"/>
          <w:sz w:val="24"/>
          <w:szCs w:val="24"/>
        </w:rPr>
        <w:t>б</w:t>
      </w:r>
      <w:r w:rsidR="003B73CA" w:rsidRPr="003B73CA">
        <w:rPr>
          <w:rFonts w:ascii="Times New Roman" w:hAnsi="Times New Roman"/>
          <w:color w:val="000000"/>
          <w:sz w:val="24"/>
          <w:szCs w:val="24"/>
        </w:rPr>
        <w:t xml:space="preserve">олее </w:t>
      </w:r>
      <w:r w:rsidR="00FC4A7C" w:rsidRPr="003B73CA">
        <w:rPr>
          <w:rFonts w:ascii="Times New Roman" w:hAnsi="Times New Roman"/>
          <w:color w:val="000000"/>
          <w:sz w:val="24"/>
          <w:szCs w:val="24"/>
        </w:rPr>
        <w:t>5</w:t>
      </w:r>
      <w:r w:rsidR="00CB540F" w:rsidRPr="003B73CA">
        <w:rPr>
          <w:rFonts w:ascii="Times New Roman" w:hAnsi="Times New Roman"/>
          <w:color w:val="000000"/>
          <w:sz w:val="24"/>
          <w:szCs w:val="24"/>
        </w:rPr>
        <w:t>,</w:t>
      </w:r>
      <w:r w:rsidR="003B73CA" w:rsidRPr="003B73CA">
        <w:rPr>
          <w:rFonts w:ascii="Times New Roman" w:hAnsi="Times New Roman"/>
          <w:color w:val="000000"/>
          <w:sz w:val="24"/>
          <w:szCs w:val="24"/>
        </w:rPr>
        <w:t>0</w:t>
      </w:r>
      <w:r w:rsidR="0014149C" w:rsidRPr="003B73CA">
        <w:rPr>
          <w:rFonts w:ascii="Times New Roman" w:hAnsi="Times New Roman"/>
          <w:color w:val="000000"/>
          <w:sz w:val="24"/>
          <w:szCs w:val="24"/>
        </w:rPr>
        <w:t xml:space="preserve"> </w:t>
      </w:r>
      <w:r w:rsidR="00BF0444" w:rsidRPr="003B73CA">
        <w:rPr>
          <w:rFonts w:ascii="Times New Roman" w:hAnsi="Times New Roman"/>
          <w:color w:val="000000"/>
          <w:sz w:val="24"/>
          <w:szCs w:val="24"/>
        </w:rPr>
        <w:t>млрд.</w:t>
      </w:r>
      <w:r w:rsidR="003B73CA">
        <w:rPr>
          <w:rFonts w:ascii="Times New Roman" w:hAnsi="Times New Roman"/>
          <w:color w:val="000000"/>
          <w:sz w:val="24"/>
          <w:szCs w:val="24"/>
        </w:rPr>
        <w:t xml:space="preserve"> </w:t>
      </w:r>
      <w:r w:rsidR="00BF0444" w:rsidRPr="003B73CA">
        <w:rPr>
          <w:rFonts w:ascii="Times New Roman" w:hAnsi="Times New Roman"/>
          <w:color w:val="000000"/>
          <w:sz w:val="24"/>
          <w:szCs w:val="24"/>
        </w:rPr>
        <w:t>рублей</w:t>
      </w:r>
      <w:r w:rsidR="00627E6E" w:rsidRPr="003B73CA">
        <w:rPr>
          <w:rFonts w:ascii="Times New Roman" w:hAnsi="Times New Roman"/>
          <w:color w:val="000000"/>
          <w:sz w:val="24"/>
          <w:szCs w:val="24"/>
        </w:rPr>
        <w:t xml:space="preserve">, по целевому варианту – </w:t>
      </w:r>
      <w:r w:rsidR="003B73CA">
        <w:rPr>
          <w:rFonts w:ascii="Times New Roman" w:hAnsi="Times New Roman"/>
          <w:color w:val="000000"/>
          <w:sz w:val="24"/>
          <w:szCs w:val="24"/>
        </w:rPr>
        <w:t xml:space="preserve">более </w:t>
      </w:r>
      <w:r w:rsidR="00056809" w:rsidRPr="003B73CA">
        <w:rPr>
          <w:rFonts w:ascii="Times New Roman" w:hAnsi="Times New Roman"/>
          <w:color w:val="000000"/>
          <w:sz w:val="24"/>
          <w:szCs w:val="24"/>
        </w:rPr>
        <w:t>6,</w:t>
      </w:r>
      <w:r w:rsidR="003B73CA">
        <w:rPr>
          <w:rFonts w:ascii="Times New Roman" w:hAnsi="Times New Roman"/>
          <w:color w:val="000000"/>
          <w:sz w:val="24"/>
          <w:szCs w:val="24"/>
        </w:rPr>
        <w:t>5</w:t>
      </w:r>
      <w:r w:rsidR="00056809" w:rsidRPr="003B73CA">
        <w:rPr>
          <w:rFonts w:ascii="Times New Roman" w:hAnsi="Times New Roman"/>
          <w:color w:val="000000"/>
          <w:sz w:val="24"/>
          <w:szCs w:val="24"/>
        </w:rPr>
        <w:t xml:space="preserve"> </w:t>
      </w:r>
      <w:r w:rsidR="00627E6E" w:rsidRPr="003B73CA">
        <w:rPr>
          <w:rFonts w:ascii="Times New Roman" w:hAnsi="Times New Roman"/>
          <w:color w:val="000000"/>
          <w:sz w:val="24"/>
          <w:szCs w:val="24"/>
        </w:rPr>
        <w:t>млрд. руб</w:t>
      </w:r>
      <w:r w:rsidR="00E62254">
        <w:rPr>
          <w:rFonts w:ascii="Times New Roman" w:hAnsi="Times New Roman"/>
          <w:color w:val="000000"/>
          <w:sz w:val="24"/>
          <w:szCs w:val="24"/>
        </w:rPr>
        <w:t>лей</w:t>
      </w:r>
      <w:r w:rsidR="00627E6E" w:rsidRPr="003B73CA">
        <w:rPr>
          <w:rFonts w:ascii="Times New Roman" w:hAnsi="Times New Roman"/>
          <w:color w:val="000000"/>
          <w:sz w:val="24"/>
          <w:szCs w:val="24"/>
        </w:rPr>
        <w:t xml:space="preserve">. </w:t>
      </w:r>
    </w:p>
    <w:p w:rsidR="000E5B3C" w:rsidRPr="004272BD" w:rsidRDefault="000E5B3C" w:rsidP="00E11BE7">
      <w:pPr>
        <w:widowControl w:val="0"/>
        <w:spacing w:after="0"/>
        <w:ind w:firstLine="709"/>
        <w:jc w:val="both"/>
        <w:rPr>
          <w:rFonts w:ascii="Times New Roman" w:hAnsi="Times New Roman"/>
          <w:color w:val="000000"/>
          <w:sz w:val="24"/>
          <w:szCs w:val="24"/>
        </w:rPr>
      </w:pPr>
      <w:r w:rsidRPr="004272BD">
        <w:rPr>
          <w:rFonts w:ascii="Times New Roman" w:hAnsi="Times New Roman"/>
          <w:color w:val="000000"/>
          <w:sz w:val="24"/>
          <w:szCs w:val="24"/>
        </w:rPr>
        <w:t>Учтены возможные негативные факторы такие, как нехватка финансовых ресурсов, в том числе бюджетных, направляемых на инвестирование, административные барьеры в инвестиционно-строительной сфере, недостаточная инновационная активность, ограничения в привлечении как зарубежных банковских кредитов, так и прямых инвестиций иностранных компаний.</w:t>
      </w:r>
    </w:p>
    <w:p w:rsidR="0014149C" w:rsidRPr="004272BD" w:rsidRDefault="0014149C" w:rsidP="00E11BE7">
      <w:pPr>
        <w:spacing w:after="0"/>
        <w:ind w:firstLine="709"/>
        <w:jc w:val="both"/>
        <w:rPr>
          <w:rFonts w:ascii="Times New Roman" w:hAnsi="Times New Roman"/>
          <w:sz w:val="24"/>
          <w:szCs w:val="24"/>
        </w:rPr>
      </w:pPr>
      <w:r w:rsidRPr="004272BD">
        <w:rPr>
          <w:rFonts w:ascii="Times New Roman" w:hAnsi="Times New Roman"/>
          <w:color w:val="000000"/>
          <w:sz w:val="24"/>
          <w:szCs w:val="24"/>
        </w:rPr>
        <w:t xml:space="preserve">Корректировка показателя инвестиции в основной капитал по сравнению с прошлогодними параметрами произведена на основании фактически сложившихся значений </w:t>
      </w:r>
      <w:r w:rsidR="000E5B3C" w:rsidRPr="004272BD">
        <w:rPr>
          <w:rFonts w:ascii="Times New Roman" w:hAnsi="Times New Roman"/>
          <w:color w:val="000000"/>
          <w:sz w:val="24"/>
          <w:szCs w:val="24"/>
        </w:rPr>
        <w:t>с учетом</w:t>
      </w:r>
      <w:r w:rsidRPr="004272BD">
        <w:rPr>
          <w:rFonts w:ascii="Times New Roman" w:hAnsi="Times New Roman"/>
          <w:color w:val="000000"/>
          <w:sz w:val="24"/>
          <w:szCs w:val="24"/>
        </w:rPr>
        <w:t xml:space="preserve"> собственных прогнозов реализации инвестиционных проектов ведущих промышленных предприятий города, плановых сумм бюджетных инвестиций в реконструкцию и строительство объектов на территории города. Прогнозное значение показателя объема инвестиций в основной капитал скорректировано в сторону </w:t>
      </w:r>
      <w:r w:rsidRPr="004272BD">
        <w:rPr>
          <w:rFonts w:ascii="Times New Roman" w:hAnsi="Times New Roman"/>
          <w:sz w:val="24"/>
          <w:szCs w:val="24"/>
        </w:rPr>
        <w:t xml:space="preserve">снижения в </w:t>
      </w:r>
      <w:r w:rsidRPr="00816850">
        <w:rPr>
          <w:rFonts w:ascii="Times New Roman" w:hAnsi="Times New Roman"/>
          <w:sz w:val="24"/>
          <w:szCs w:val="24"/>
        </w:rPr>
        <w:t xml:space="preserve">среднем на </w:t>
      </w:r>
      <w:r w:rsidR="00816850" w:rsidRPr="00816850">
        <w:rPr>
          <w:rFonts w:ascii="Times New Roman" w:hAnsi="Times New Roman"/>
          <w:sz w:val="24"/>
          <w:szCs w:val="24"/>
        </w:rPr>
        <w:t>8,</w:t>
      </w:r>
      <w:r w:rsidR="0001569D">
        <w:rPr>
          <w:rFonts w:ascii="Times New Roman" w:hAnsi="Times New Roman"/>
          <w:sz w:val="24"/>
          <w:szCs w:val="24"/>
        </w:rPr>
        <w:t>0</w:t>
      </w:r>
      <w:r w:rsidRPr="00816850">
        <w:rPr>
          <w:rFonts w:ascii="Times New Roman" w:hAnsi="Times New Roman"/>
          <w:sz w:val="24"/>
          <w:szCs w:val="24"/>
        </w:rPr>
        <w:t xml:space="preserve"> </w:t>
      </w:r>
      <w:r w:rsidR="00BF0444" w:rsidRPr="00816850">
        <w:rPr>
          <w:rFonts w:ascii="Times New Roman" w:hAnsi="Times New Roman"/>
          <w:sz w:val="24"/>
          <w:szCs w:val="24"/>
        </w:rPr>
        <w:t>млрд</w:t>
      </w:r>
      <w:proofErr w:type="gramStart"/>
      <w:r w:rsidR="00BF0444" w:rsidRPr="00816850">
        <w:rPr>
          <w:rFonts w:ascii="Times New Roman" w:hAnsi="Times New Roman"/>
          <w:sz w:val="24"/>
          <w:szCs w:val="24"/>
        </w:rPr>
        <w:t>.р</w:t>
      </w:r>
      <w:proofErr w:type="gramEnd"/>
      <w:r w:rsidR="00BF0444" w:rsidRPr="00816850">
        <w:rPr>
          <w:rFonts w:ascii="Times New Roman" w:hAnsi="Times New Roman"/>
          <w:sz w:val="24"/>
          <w:szCs w:val="24"/>
        </w:rPr>
        <w:t>ублей</w:t>
      </w:r>
      <w:r w:rsidRPr="004272BD">
        <w:rPr>
          <w:rFonts w:ascii="Times New Roman" w:hAnsi="Times New Roman"/>
          <w:sz w:val="24"/>
          <w:szCs w:val="24"/>
        </w:rPr>
        <w:t xml:space="preserve"> ежегодно</w:t>
      </w:r>
      <w:r w:rsidR="000E5B3C" w:rsidRPr="004272BD">
        <w:rPr>
          <w:rFonts w:ascii="Times New Roman" w:hAnsi="Times New Roman"/>
          <w:sz w:val="24"/>
          <w:szCs w:val="24"/>
        </w:rPr>
        <w:t xml:space="preserve"> по причине низкой базы показателя, сложивше</w:t>
      </w:r>
      <w:r w:rsidR="004272BD" w:rsidRPr="004272BD">
        <w:rPr>
          <w:rFonts w:ascii="Times New Roman" w:hAnsi="Times New Roman"/>
          <w:sz w:val="24"/>
          <w:szCs w:val="24"/>
        </w:rPr>
        <w:t>гося</w:t>
      </w:r>
      <w:r w:rsidR="000E5B3C" w:rsidRPr="004272BD">
        <w:rPr>
          <w:rFonts w:ascii="Times New Roman" w:hAnsi="Times New Roman"/>
          <w:sz w:val="24"/>
          <w:szCs w:val="24"/>
        </w:rPr>
        <w:t xml:space="preserve"> в 2017</w:t>
      </w:r>
      <w:r w:rsidR="0001569D">
        <w:rPr>
          <w:rFonts w:ascii="Times New Roman" w:hAnsi="Times New Roman"/>
          <w:sz w:val="24"/>
          <w:szCs w:val="24"/>
        </w:rPr>
        <w:t xml:space="preserve">-2018 </w:t>
      </w:r>
      <w:r w:rsidR="000E5B3C" w:rsidRPr="004272BD">
        <w:rPr>
          <w:rFonts w:ascii="Times New Roman" w:hAnsi="Times New Roman"/>
          <w:sz w:val="24"/>
          <w:szCs w:val="24"/>
        </w:rPr>
        <w:t xml:space="preserve"> год</w:t>
      </w:r>
      <w:r w:rsidR="0001569D">
        <w:rPr>
          <w:rFonts w:ascii="Times New Roman" w:hAnsi="Times New Roman"/>
          <w:sz w:val="24"/>
          <w:szCs w:val="24"/>
        </w:rPr>
        <w:t>ах</w:t>
      </w:r>
      <w:r w:rsidR="000E5B3C" w:rsidRPr="004272BD">
        <w:rPr>
          <w:rFonts w:ascii="Times New Roman" w:hAnsi="Times New Roman"/>
          <w:sz w:val="24"/>
          <w:szCs w:val="24"/>
        </w:rPr>
        <w:t>.</w:t>
      </w:r>
    </w:p>
    <w:p w:rsidR="0014149C" w:rsidRDefault="0014149C"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Росту инвестиций в экономику городского округа </w:t>
      </w:r>
      <w:r w:rsidR="0001569D">
        <w:rPr>
          <w:rFonts w:ascii="Times New Roman" w:hAnsi="Times New Roman"/>
          <w:sz w:val="24"/>
          <w:szCs w:val="24"/>
        </w:rPr>
        <w:t xml:space="preserve">Тольятти </w:t>
      </w:r>
      <w:r w:rsidRPr="004272BD">
        <w:rPr>
          <w:rFonts w:ascii="Times New Roman" w:hAnsi="Times New Roman"/>
          <w:sz w:val="24"/>
          <w:szCs w:val="24"/>
        </w:rPr>
        <w:t xml:space="preserve">в 2019 – 2021 годы будет способствовать </w:t>
      </w:r>
      <w:r w:rsidR="0001569D">
        <w:rPr>
          <w:rFonts w:ascii="Times New Roman" w:hAnsi="Times New Roman"/>
          <w:sz w:val="24"/>
          <w:szCs w:val="24"/>
        </w:rPr>
        <w:t>работа</w:t>
      </w:r>
      <w:r w:rsidRPr="004272BD">
        <w:rPr>
          <w:rFonts w:ascii="Times New Roman" w:hAnsi="Times New Roman"/>
          <w:sz w:val="24"/>
          <w:szCs w:val="24"/>
        </w:rPr>
        <w:t xml:space="preserve"> по стратегическому планированию. В прогнозном </w:t>
      </w:r>
      <w:proofErr w:type="gramStart"/>
      <w:r w:rsidRPr="004272BD">
        <w:rPr>
          <w:rFonts w:ascii="Times New Roman" w:hAnsi="Times New Roman"/>
          <w:sz w:val="24"/>
          <w:szCs w:val="24"/>
        </w:rPr>
        <w:t>периоде</w:t>
      </w:r>
      <w:proofErr w:type="gramEnd"/>
      <w:r w:rsidRPr="004272BD">
        <w:rPr>
          <w:rFonts w:ascii="Times New Roman" w:hAnsi="Times New Roman"/>
          <w:sz w:val="24"/>
          <w:szCs w:val="24"/>
        </w:rPr>
        <w:t xml:space="preserve"> </w:t>
      </w:r>
      <w:r w:rsidR="0001569D">
        <w:rPr>
          <w:rFonts w:ascii="Times New Roman" w:hAnsi="Times New Roman"/>
          <w:sz w:val="24"/>
          <w:szCs w:val="24"/>
        </w:rPr>
        <w:t xml:space="preserve">  </w:t>
      </w:r>
      <w:r w:rsidRPr="004272BD">
        <w:rPr>
          <w:rFonts w:ascii="Times New Roman" w:hAnsi="Times New Roman"/>
          <w:sz w:val="24"/>
          <w:szCs w:val="24"/>
        </w:rPr>
        <w:t>(</w:t>
      </w:r>
      <w:r w:rsidR="004B2407">
        <w:rPr>
          <w:rFonts w:ascii="Times New Roman" w:hAnsi="Times New Roman"/>
          <w:sz w:val="24"/>
          <w:szCs w:val="24"/>
        </w:rPr>
        <w:t xml:space="preserve">в </w:t>
      </w:r>
      <w:r w:rsidRPr="004272BD">
        <w:rPr>
          <w:rFonts w:ascii="Times New Roman" w:hAnsi="Times New Roman"/>
          <w:sz w:val="24"/>
          <w:szCs w:val="24"/>
        </w:rPr>
        <w:t>2019 г</w:t>
      </w:r>
      <w:r w:rsidR="004B2407">
        <w:rPr>
          <w:rFonts w:ascii="Times New Roman" w:hAnsi="Times New Roman"/>
          <w:sz w:val="24"/>
          <w:szCs w:val="24"/>
        </w:rPr>
        <w:t>оду</w:t>
      </w:r>
      <w:r w:rsidRPr="004272BD">
        <w:rPr>
          <w:rFonts w:ascii="Times New Roman" w:hAnsi="Times New Roman"/>
          <w:sz w:val="24"/>
          <w:szCs w:val="24"/>
        </w:rPr>
        <w:t xml:space="preserve">) ожидается разработка и утверждение основополагающего документа города – Стратегии социально-экономического развития городского округа Тольятти на период до 2030 года. Стратегия выбирает сценарий развития города, благоприятный с точки зрения интересов городского сообщества, с учетом имеющихся у города ресурсов и возможностей. </w:t>
      </w:r>
    </w:p>
    <w:p w:rsidR="00370923" w:rsidRPr="004272BD" w:rsidRDefault="00A62352" w:rsidP="00E11BE7">
      <w:pPr>
        <w:pStyle w:val="aa"/>
        <w:widowControl w:val="0"/>
        <w:spacing w:before="0" w:after="0" w:line="276" w:lineRule="auto"/>
        <w:ind w:firstLine="709"/>
        <w:jc w:val="both"/>
      </w:pPr>
      <w:r w:rsidRPr="004272BD">
        <w:t xml:space="preserve">В сфере </w:t>
      </w:r>
      <w:r w:rsidRPr="004272BD">
        <w:rPr>
          <w:b/>
        </w:rPr>
        <w:t>жилищной политики</w:t>
      </w:r>
      <w:r w:rsidRPr="004272BD">
        <w:t xml:space="preserve"> на территории городского округа Тольятти </w:t>
      </w:r>
      <w:r w:rsidR="00370923" w:rsidRPr="004272BD">
        <w:t xml:space="preserve">по первому </w:t>
      </w:r>
      <w:r w:rsidR="009C4138" w:rsidRPr="004272BD">
        <w:t xml:space="preserve">(консервативному) </w:t>
      </w:r>
      <w:r w:rsidR="00370923" w:rsidRPr="004272BD">
        <w:t xml:space="preserve">варианту прогноза </w:t>
      </w:r>
      <w:r w:rsidR="009C4138" w:rsidRPr="004272BD">
        <w:t>в прогнозном периоде не ожидается увеличение объемов вводимого в действие жилья</w:t>
      </w:r>
      <w:r w:rsidR="00370923" w:rsidRPr="004272BD">
        <w:t>.</w:t>
      </w:r>
      <w:r w:rsidR="00370923" w:rsidRPr="004272BD">
        <w:rPr>
          <w:lang w:eastAsia="ru-RU"/>
        </w:rPr>
        <w:t xml:space="preserve"> </w:t>
      </w:r>
      <w:r w:rsidR="00370923" w:rsidRPr="004272BD">
        <w:t xml:space="preserve">Причинами этого являются: </w:t>
      </w:r>
      <w:r w:rsidR="00EF4E03" w:rsidRPr="004272BD">
        <w:t xml:space="preserve">невысокий спрос на приобретение жилья, а также </w:t>
      </w:r>
      <w:r w:rsidR="002B7CB9" w:rsidRPr="004272BD">
        <w:t>снижение численности постоянного населения города</w:t>
      </w:r>
      <w:r w:rsidR="00370923" w:rsidRPr="004272BD">
        <w:t xml:space="preserve">, повышение тарифов на </w:t>
      </w:r>
      <w:proofErr w:type="spellStart"/>
      <w:r w:rsidR="00370923" w:rsidRPr="004272BD">
        <w:t>техприсоединение</w:t>
      </w:r>
      <w:proofErr w:type="spellEnd"/>
      <w:r w:rsidR="00370923" w:rsidRPr="004272BD">
        <w:t xml:space="preserve"> объектов к системам коммунальной инфраструктуры.</w:t>
      </w:r>
      <w:r w:rsidR="002B7CB9" w:rsidRPr="004272BD">
        <w:t xml:space="preserve"> </w:t>
      </w:r>
    </w:p>
    <w:p w:rsidR="00370923" w:rsidRPr="004272BD" w:rsidRDefault="00370923" w:rsidP="00E11BE7">
      <w:pPr>
        <w:pStyle w:val="aa"/>
        <w:widowControl w:val="0"/>
        <w:spacing w:before="0" w:after="0" w:line="276" w:lineRule="auto"/>
        <w:ind w:firstLine="709"/>
        <w:jc w:val="both"/>
      </w:pPr>
      <w:r w:rsidRPr="004272BD">
        <w:t xml:space="preserve">В результате, </w:t>
      </w:r>
      <w:r w:rsidR="009C4138" w:rsidRPr="004272BD">
        <w:t>к</w:t>
      </w:r>
      <w:r w:rsidRPr="004272BD">
        <w:t xml:space="preserve"> 2021 год</w:t>
      </w:r>
      <w:r w:rsidR="009C4138" w:rsidRPr="004272BD">
        <w:t>у</w:t>
      </w:r>
      <w:r w:rsidRPr="004272BD">
        <w:t xml:space="preserve"> объем ввода в действие общей площади жилых домов (квартир) (с учетом индивидуальных построек) </w:t>
      </w:r>
      <w:r w:rsidR="009C4138" w:rsidRPr="004272BD">
        <w:t>останется на уровне 2018 года (</w:t>
      </w:r>
      <w:r w:rsidRPr="004272BD">
        <w:t>127,0 тыс. кв. м.</w:t>
      </w:r>
      <w:r w:rsidR="009C4138" w:rsidRPr="004272BD">
        <w:t>).</w:t>
      </w:r>
    </w:p>
    <w:p w:rsidR="00370923" w:rsidRPr="004272BD" w:rsidRDefault="00370923" w:rsidP="00E11BE7">
      <w:pPr>
        <w:pStyle w:val="aa"/>
        <w:widowControl w:val="0"/>
        <w:spacing w:before="0" w:after="0" w:line="276" w:lineRule="auto"/>
        <w:ind w:firstLine="709"/>
        <w:jc w:val="both"/>
      </w:pPr>
      <w:r w:rsidRPr="004272BD">
        <w:t xml:space="preserve">По второму варианту </w:t>
      </w:r>
      <w:r w:rsidR="009C4138" w:rsidRPr="004272BD">
        <w:t>прогноза</w:t>
      </w:r>
      <w:r w:rsidR="004B2407">
        <w:t>,</w:t>
      </w:r>
      <w:r w:rsidR="009C4138" w:rsidRPr="004272BD">
        <w:t xml:space="preserve"> исходя из оценочного значения показателя на 2018 год</w:t>
      </w:r>
      <w:r w:rsidR="004B2407">
        <w:t>,</w:t>
      </w:r>
      <w:r w:rsidR="009C4138" w:rsidRPr="004272BD">
        <w:t xml:space="preserve"> с учетом сроков действия разрешений на строительство </w:t>
      </w:r>
      <w:r w:rsidRPr="004272BD">
        <w:t xml:space="preserve">прогнозируется </w:t>
      </w:r>
      <w:r w:rsidR="009C4138" w:rsidRPr="004272BD">
        <w:t xml:space="preserve">незначительное </w:t>
      </w:r>
      <w:r w:rsidRPr="004272BD">
        <w:t xml:space="preserve">увеличение объема ввода в действие общей площади жилых домов (квартир) (с учетом индивидуальных построек): в 2019 году значение показателя составит 144,4 тыс. кв. м и останется на данном уровне до 2021 года. </w:t>
      </w:r>
    </w:p>
    <w:p w:rsidR="008B4686" w:rsidRPr="004272BD" w:rsidRDefault="00370923" w:rsidP="00E11BE7">
      <w:pPr>
        <w:pStyle w:val="aa"/>
        <w:widowControl w:val="0"/>
        <w:spacing w:before="0" w:after="0" w:line="276" w:lineRule="auto"/>
        <w:ind w:firstLine="709"/>
        <w:jc w:val="both"/>
      </w:pPr>
      <w:r w:rsidRPr="004272BD">
        <w:t xml:space="preserve">К концу 2021 года по второму варианту прогноза прирост вводимого объема жилья составит 13,7 % к 2018 году. </w:t>
      </w:r>
    </w:p>
    <w:p w:rsidR="00A62352" w:rsidRPr="004272BD" w:rsidRDefault="00A62352" w:rsidP="00E11BE7">
      <w:pPr>
        <w:pStyle w:val="aa"/>
        <w:widowControl w:val="0"/>
        <w:spacing w:before="0" w:after="0" w:line="276" w:lineRule="auto"/>
        <w:ind w:firstLine="709"/>
        <w:jc w:val="both"/>
      </w:pPr>
      <w:r w:rsidRPr="004272BD">
        <w:t xml:space="preserve">По третьему варианту прогнозные объемы </w:t>
      </w:r>
      <w:r w:rsidR="008B4686" w:rsidRPr="004272BD">
        <w:t xml:space="preserve">ввода жилья соответствуют значениям, установленным </w:t>
      </w:r>
      <w:r w:rsidRPr="004272BD">
        <w:t>государственной программой Самарской области «Развитие жилищного строительства в Самарской области до 2020 года»,</w:t>
      </w:r>
      <w:r w:rsidR="008B4686" w:rsidRPr="004272BD">
        <w:t xml:space="preserve"> </w:t>
      </w:r>
      <w:r w:rsidRPr="004272BD">
        <w:t>утвержденной постановлением Правительства Самарской области от 27.11.2013 № 684 (в ред</w:t>
      </w:r>
      <w:r w:rsidR="00D40CED" w:rsidRPr="004272BD">
        <w:t>акции</w:t>
      </w:r>
      <w:r w:rsidRPr="004272BD">
        <w:t xml:space="preserve"> от 28.06.2018 № 359).</w:t>
      </w:r>
    </w:p>
    <w:p w:rsidR="00A62352" w:rsidRPr="004272BD" w:rsidRDefault="00A62352" w:rsidP="00E11BE7">
      <w:pPr>
        <w:pStyle w:val="aa"/>
        <w:widowControl w:val="0"/>
        <w:spacing w:before="0" w:after="0" w:line="276" w:lineRule="auto"/>
        <w:ind w:firstLine="709"/>
        <w:jc w:val="both"/>
      </w:pPr>
      <w:r w:rsidRPr="004272BD">
        <w:lastRenderedPageBreak/>
        <w:t xml:space="preserve">Прогнозируется увеличение объема ввода в </w:t>
      </w:r>
      <w:r w:rsidR="00536DB9" w:rsidRPr="004272BD">
        <w:t>действие</w:t>
      </w:r>
      <w:r w:rsidRPr="004272BD">
        <w:t xml:space="preserve"> общей площади жилых домов (квартир) (с учетом индивидуальных построек): в 2019 году </w:t>
      </w:r>
      <w:r w:rsidR="003E72E8" w:rsidRPr="004272BD">
        <w:t>до</w:t>
      </w:r>
      <w:r w:rsidRPr="004272BD">
        <w:t xml:space="preserve"> 394,8 тыс. кв. м, в 2020</w:t>
      </w:r>
      <w:r w:rsidR="00741856" w:rsidRPr="004272BD">
        <w:t xml:space="preserve"> и 2021</w:t>
      </w:r>
      <w:r w:rsidRPr="004272BD">
        <w:t xml:space="preserve"> год</w:t>
      </w:r>
      <w:r w:rsidR="00741856" w:rsidRPr="004272BD">
        <w:t>ах на уровне</w:t>
      </w:r>
      <w:r w:rsidRPr="004272BD">
        <w:t xml:space="preserve"> 442,1 тыс. кв. м.</w:t>
      </w:r>
      <w:r w:rsidR="00D40CED" w:rsidRPr="004272BD">
        <w:t xml:space="preserve"> </w:t>
      </w:r>
    </w:p>
    <w:p w:rsidR="00DC4622" w:rsidRDefault="00DC4622" w:rsidP="00E11BE7">
      <w:pPr>
        <w:pStyle w:val="aa"/>
        <w:widowControl w:val="0"/>
        <w:spacing w:before="0" w:after="0" w:line="276" w:lineRule="auto"/>
        <w:ind w:firstLine="709"/>
        <w:jc w:val="both"/>
      </w:pPr>
      <w:r w:rsidRPr="004272BD">
        <w:t>Таким образом, объем ввода в действие жилых домов за счет всех источников финансирования по городскому округу Тольятти к 2021 году должен увеличится почти в 3,5 раза по третьему варианту прогноза.</w:t>
      </w:r>
    </w:p>
    <w:p w:rsidR="00FD5791" w:rsidRPr="004272BD" w:rsidRDefault="00FD5791" w:rsidP="00E11BE7">
      <w:pPr>
        <w:pStyle w:val="aa"/>
        <w:widowControl w:val="0"/>
        <w:spacing w:before="0" w:after="0" w:line="276" w:lineRule="auto"/>
        <w:ind w:firstLine="709"/>
        <w:jc w:val="both"/>
      </w:pPr>
      <w:r w:rsidRPr="00FD5791">
        <w:t>Уровень обеспеченности населения городского округа Тольятти жильем к 2021 году составит 23,53</w:t>
      </w:r>
      <w:r>
        <w:t xml:space="preserve">, </w:t>
      </w:r>
      <w:r w:rsidRPr="00FD5791">
        <w:t>2</w:t>
      </w:r>
      <w:r>
        <w:t>3,46</w:t>
      </w:r>
      <w:r w:rsidRPr="00FD5791">
        <w:t xml:space="preserve"> </w:t>
      </w:r>
      <w:r>
        <w:t>и 24,64 кв. м на человека по</w:t>
      </w:r>
      <w:r w:rsidRPr="00FD5791">
        <w:t xml:space="preserve"> к</w:t>
      </w:r>
      <w:r>
        <w:t>онсервативному</w:t>
      </w:r>
      <w:r w:rsidR="0001569D">
        <w:t>,</w:t>
      </w:r>
      <w:r>
        <w:t xml:space="preserve"> </w:t>
      </w:r>
      <w:r w:rsidR="0001569D" w:rsidRPr="0001569D">
        <w:t xml:space="preserve">базовому </w:t>
      </w:r>
      <w:r>
        <w:t xml:space="preserve">и </w:t>
      </w:r>
      <w:r w:rsidRPr="00FD5791">
        <w:t>целево</w:t>
      </w:r>
      <w:r>
        <w:t>му вариантам соответственно</w:t>
      </w:r>
      <w:r w:rsidRPr="00FD5791">
        <w:t>.</w:t>
      </w:r>
      <w:r w:rsidRPr="00FD5791">
        <w:tab/>
      </w:r>
    </w:p>
    <w:p w:rsidR="004D2E3C" w:rsidRPr="004272BD" w:rsidRDefault="008B4686" w:rsidP="00E11BE7">
      <w:pPr>
        <w:pStyle w:val="aa"/>
        <w:widowControl w:val="0"/>
        <w:spacing w:before="0" w:after="0" w:line="276" w:lineRule="auto"/>
        <w:ind w:firstLine="709"/>
        <w:jc w:val="both"/>
      </w:pPr>
      <w:r w:rsidRPr="004272BD">
        <w:t>Приоритетное направление в жилищной политике в прогнозном периоде - в</w:t>
      </w:r>
      <w:r w:rsidR="004D2E3C" w:rsidRPr="004272BD">
        <w:t>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w:t>
      </w:r>
    </w:p>
    <w:p w:rsidR="004D2E3C" w:rsidRPr="004272BD" w:rsidRDefault="004D2E3C" w:rsidP="00E11BE7">
      <w:pPr>
        <w:pStyle w:val="aa"/>
        <w:widowControl w:val="0"/>
        <w:spacing w:before="0" w:after="0" w:line="276" w:lineRule="auto"/>
        <w:ind w:firstLine="709"/>
        <w:jc w:val="both"/>
      </w:pPr>
      <w:r w:rsidRPr="004272BD">
        <w:t xml:space="preserve">Продолжится реализация жилищной политики в области обеспечения прав на улучшение жилищных условий льготных категорий граждан в рамках федеральной целевой программы «Жилище» на 2015-2020 годы. </w:t>
      </w:r>
    </w:p>
    <w:p w:rsidR="004D2E3C" w:rsidRPr="004272BD" w:rsidRDefault="004D2E3C" w:rsidP="00E11BE7">
      <w:pPr>
        <w:pStyle w:val="aa"/>
        <w:widowControl w:val="0"/>
        <w:spacing w:before="0" w:after="0" w:line="276" w:lineRule="auto"/>
        <w:ind w:firstLine="709"/>
        <w:jc w:val="both"/>
      </w:pPr>
      <w:r w:rsidRPr="004272BD">
        <w:t xml:space="preserve">В целях реализации жилищной политики в направлении обеспечения прав граждан на приобретение жилья экономического класса, строящегося или построенного на территории Самарской области, утверждено Постановление Правительства Самарской области от 10.07.2014 № 386 «Об обеспечении реализации на территории Самарской области программы «Жилье для российской семьи» в рамках государственной программы </w:t>
      </w:r>
      <w:r w:rsidR="00144879">
        <w:t>Российской Федерации</w:t>
      </w:r>
      <w:r w:rsidRPr="004272BD">
        <w:t xml:space="preserve"> «Обеспечение доступным и комфортным жильем и коммунальными услугами граждан Российской Федерации», утвержденной постановлением Правительства </w:t>
      </w:r>
      <w:r w:rsidR="00144879">
        <w:t>Российской Федерации</w:t>
      </w:r>
      <w:r w:rsidRPr="004272BD">
        <w:t xml:space="preserve"> от 15.04.2014 № 323».</w:t>
      </w:r>
    </w:p>
    <w:p w:rsidR="004D2E3C" w:rsidRPr="004272BD" w:rsidRDefault="004D2E3C" w:rsidP="00E11BE7">
      <w:pPr>
        <w:pStyle w:val="aa"/>
        <w:widowControl w:val="0"/>
        <w:spacing w:before="0" w:after="0" w:line="276" w:lineRule="auto"/>
        <w:ind w:firstLine="709"/>
        <w:jc w:val="both"/>
      </w:pPr>
      <w:r w:rsidRPr="004272BD">
        <w:t xml:space="preserve">Планируется продолжить мероприятия по завершению строительства и вводу в эксплуатацию проблемных объектов жилищного строительства. </w:t>
      </w:r>
    </w:p>
    <w:p w:rsidR="00381D2B" w:rsidRPr="004272BD" w:rsidRDefault="00381D2B" w:rsidP="004272BD">
      <w:pPr>
        <w:spacing w:after="0"/>
        <w:ind w:firstLine="709"/>
        <w:jc w:val="both"/>
        <w:rPr>
          <w:rFonts w:ascii="Times New Roman" w:hAnsi="Times New Roman"/>
          <w:b/>
          <w:sz w:val="24"/>
          <w:szCs w:val="24"/>
          <w:highlight w:val="yellow"/>
          <w:lang w:eastAsia="ar-SA"/>
        </w:rPr>
      </w:pPr>
    </w:p>
    <w:p w:rsidR="0024525F" w:rsidRPr="004272BD" w:rsidRDefault="002B4DA0" w:rsidP="004272BD">
      <w:pPr>
        <w:jc w:val="center"/>
        <w:rPr>
          <w:rFonts w:ascii="Times New Roman" w:hAnsi="Times New Roman"/>
          <w:b/>
          <w:sz w:val="24"/>
          <w:szCs w:val="24"/>
          <w:lang w:eastAsia="ar-SA"/>
        </w:rPr>
      </w:pPr>
      <w:r w:rsidRPr="004272BD">
        <w:rPr>
          <w:rFonts w:ascii="Times New Roman" w:hAnsi="Times New Roman"/>
          <w:b/>
          <w:sz w:val="24"/>
          <w:szCs w:val="24"/>
          <w:lang w:eastAsia="ar-SA"/>
        </w:rPr>
        <w:t>Финансы</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В прогнозном периоде по </w:t>
      </w:r>
      <w:r w:rsidR="00CB540F" w:rsidRPr="00CB540F">
        <w:t xml:space="preserve">консервативному и </w:t>
      </w:r>
      <w:r w:rsidRPr="00CB540F">
        <w:t>базовому</w:t>
      </w:r>
      <w:r w:rsidRPr="004272BD">
        <w:t xml:space="preserve"> варианту прогноза финансовая сфера городского округа Тольятти будет по-прежнему испытывать ограничения в бюджетной сфере, обусловленные необходимостью сокращения объема муниципального долга и медленным ростом доходов в местный бюджет, основным наполнением которого являются налог на доходы физических лиц (НДФЛ), динамика которого не будет расти интенсивно без соответствующего роста численности официально трудоустроенных работников и размеров заработной платы.</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Сальдированный финансовый результат</w:t>
      </w:r>
      <w:r w:rsidRPr="004272BD">
        <w:rPr>
          <w:rStyle w:val="afb"/>
        </w:rPr>
        <w:footnoteReference w:id="1"/>
      </w:r>
      <w:r w:rsidRPr="004272BD">
        <w:t xml:space="preserve"> деятельности организаций городского округа в прогнозном периоде будет находиться в положительной зоне, поддерживаемая ростом прибыли экспортно-ориентированных химических производств в условиях роста курса доллара и сокращением убытков ПАО «АВТОВАЗ» (по итогам 2021 года прогнозируется получение градообразующим предприятием прибыли до налогообложения (по РСБУ)).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Прибыль прибыльных организаций до налогообложения (по РСБУ) (далее по разделу – прибыль) </w:t>
      </w:r>
      <w:r w:rsidRPr="00CB540F">
        <w:t xml:space="preserve">организаций, не относящихся к субъектам малого </w:t>
      </w:r>
      <w:r w:rsidRPr="00CB540F">
        <w:lastRenderedPageBreak/>
        <w:t>предпринимательства, по консервативному варианту прогноза</w:t>
      </w:r>
      <w:r w:rsidRPr="004272BD">
        <w:t xml:space="preserve"> вырастет в 2019 году на 0,4 % относительно ожидаемого высокого роста (более 110 %) в 2018 году (эффект «высокой базы»).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По базовому и целевому варианту прогноза прирост прибыли экспортно-ориентированных организаций химического производства, доля которых в общем объеме прибыли крупных и средних предприятий составляет порядка 45 % - 50 %, будет поддержан ростом курса доллара США, а также ростом производства химических веществ.</w:t>
      </w:r>
    </w:p>
    <w:p w:rsidR="004837CC" w:rsidRPr="000C4A6D" w:rsidRDefault="004837CC" w:rsidP="00E11BE7">
      <w:pPr>
        <w:pStyle w:val="aa"/>
        <w:widowControl w:val="0"/>
        <w:numPr>
          <w:ilvl w:val="0"/>
          <w:numId w:val="2"/>
        </w:numPr>
        <w:tabs>
          <w:tab w:val="clear" w:pos="0"/>
          <w:tab w:val="num" w:pos="720"/>
        </w:tabs>
        <w:spacing w:before="0" w:after="0" w:line="276" w:lineRule="auto"/>
        <w:ind w:left="0" w:firstLine="720"/>
        <w:jc w:val="both"/>
      </w:pPr>
      <w:r w:rsidRPr="004272BD">
        <w:t xml:space="preserve">К концу прогнозного периода прибыль организаций городского округа </w:t>
      </w:r>
      <w:r w:rsidR="004B2407">
        <w:t xml:space="preserve">Тольятти </w:t>
      </w:r>
      <w:r w:rsidRPr="004272BD">
        <w:t xml:space="preserve">увеличится по сравнению с 2018 годом на 8,3 %, 16,8 % и 25,5 % по вариантам прогноза соответственно, в том числе по базовому варианту прогноза: в 2019 году – на 2,9 %, в 2020 году – 3,7 %, в 2021 году – на 9,5 %. На объем прибыли потребительского сектора в 2019 году может оказать негативное влияние рост ставки НДС на </w:t>
      </w:r>
      <w:r w:rsidRPr="000C4A6D">
        <w:t>2 %. В 2021 году учтено получение прибыли градообразующим предприятием до налогообложения (по РСБУ) согласно данным ПАО «АВТОВАЗ».</w:t>
      </w:r>
      <w:r w:rsidR="004B2407" w:rsidRPr="000C4A6D">
        <w:t xml:space="preserve"> </w:t>
      </w:r>
    </w:p>
    <w:p w:rsidR="00256164" w:rsidRDefault="00256164" w:rsidP="00E11BE7">
      <w:pPr>
        <w:pStyle w:val="aa"/>
        <w:widowControl w:val="0"/>
        <w:numPr>
          <w:ilvl w:val="0"/>
          <w:numId w:val="2"/>
        </w:numPr>
        <w:tabs>
          <w:tab w:val="clear" w:pos="0"/>
          <w:tab w:val="num" w:pos="720"/>
        </w:tabs>
        <w:spacing w:before="0" w:after="0" w:line="276" w:lineRule="auto"/>
        <w:ind w:left="0" w:firstLine="720"/>
        <w:jc w:val="both"/>
      </w:pPr>
      <w:r w:rsidRPr="000C4A6D">
        <w:t>Прогнозные значения прибыли прибыльных организаций д</w:t>
      </w:r>
      <w:r>
        <w:t xml:space="preserve">о налогообложения корректируются в сторону снижения </w:t>
      </w:r>
      <w:r w:rsidR="005B3E2C">
        <w:t xml:space="preserve">относительно прошлогоднего прогноза </w:t>
      </w:r>
      <w:r>
        <w:t>(</w:t>
      </w:r>
      <w:r w:rsidR="005B3E2C">
        <w:t>в</w:t>
      </w:r>
      <w:r>
        <w:t xml:space="preserve"> 2019 год</w:t>
      </w:r>
      <w:r w:rsidR="005B3E2C">
        <w:t>у</w:t>
      </w:r>
      <w:r>
        <w:t xml:space="preserve"> - на 2,4 млрд. рублей, </w:t>
      </w:r>
      <w:r w:rsidR="005B3E2C">
        <w:t>в</w:t>
      </w:r>
      <w:r>
        <w:t xml:space="preserve"> 2020 год</w:t>
      </w:r>
      <w:r w:rsidR="005B3E2C">
        <w:t>у</w:t>
      </w:r>
      <w:r>
        <w:t xml:space="preserve"> – на 3,2 млрд. рублей) с учётом фактических данных за 2017, сложившихся в размере ниже оценочных данных на этот же период.</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Амортизационные отчисления на полное восстановление основных средств организаций городского округа </w:t>
      </w:r>
      <w:r w:rsidR="005B3E2C">
        <w:t xml:space="preserve">Тольятти </w:t>
      </w:r>
      <w:r w:rsidRPr="004272BD">
        <w:t xml:space="preserve">в 2021 году вырастут по сравнению с 2018 годом на 19 %, 32,8 % и 39,8 % по вариантам прогноза соответственно, в том числе по базовому варианту прогноза: в 2019 году – на 8,6 %, в 2020 году – на 11,2 %, в 2021 году – на 10,0 %. Их рост будет обеспечиваться как инвестициями в основные средства действующих организаций, так и вновь вводимыми основными средствами резидентов ТОСЭР «Тольятти» и других вновь создающихся организаций.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Налоговые доходы с территории городского округа к концу 2021 года по сравнению с 2018 годом увеличатся на 13,3 % по консервативному варианту прогноза, на 20,4 % по базовому варианту прогноза, и 33,1 % по целевому варианту прогноза, в том числе по базовому варианту:</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rPr>
          <w:highlight w:val="yellow"/>
        </w:rPr>
      </w:pPr>
      <w:r w:rsidRPr="004272BD">
        <w:t>- налоги на прибыль, доходы: рост на 16,4 %, в том числе: за счёт роста на 16,8 % поступлений налога на прибыль организаций, рассчитанных с применением прогнозируемых темпов роста прибыли прибыльных организаций до налогообложения (по РСБУ), а также роста на 16,1 % поступлений НДФЛ, рассчитанных с применением прогнозируемых темпов роста фонда оплаты труда, исходя из численности занятых в экономике и размеров среднемесячной номинальной начисленной заработной платы работников организаций, не относящихся к субъектам малого предпринимательства, в том числе по базовому варианту прогноза по годам: в 2019 году –  104,1 %, в 2020 году – 105,2 %, в 2021 году – 106,0 %;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 налоги на товары (работы, услуги): рост на 31,0 % за счёт роста НДС на 29 % (при расчете НДС по годам учтено увеличение ставки НДС в 2019 году на 2 %, а также прогнозные индексы инфляции, индексы производства и индексы физического объема оборота розничной торговли по вариантам прогноза), а также за счёт акцизов, при расчёте которых учтены  объёмы  возмещения из бюджета акцизов на бензол, параксилол, ортоксилол и средние дистилляты, используемых в качестве сырья в химической </w:t>
      </w:r>
      <w:r w:rsidRPr="004272BD">
        <w:lastRenderedPageBreak/>
        <w:t>промышленности в прогнозируемых темпах роста производства химической продукции и индекса инфляции; поступления акцизов на автомобили учтены в темпах роста производства автомобилей; поступления акцизов на алкогольную продукцию и бензин - в темпах индекса инфляции;</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 налоги на имущество: рост на 16,7 %; при расчёте налога на имущество организаций не учтено снижение поступлений налога в связи с отсутствием на 01.10.2018 года утвержденного Правительством </w:t>
      </w:r>
      <w:r w:rsidR="005B3E2C">
        <w:t>Российской Федерации</w:t>
      </w:r>
      <w:r w:rsidRPr="004272BD">
        <w:t xml:space="preserve"> перечня движимого имущества, исключаемого из объектов налогообложения, а также решения о компенсации из федерального бюджета выпадающих доходов региональных бюджетов по налогу на имущество организаций за счёт других налоговых доходов;  в структуре балансовой стоимости основных средств крупных и средних организаций городского округа на долю движимого имущества на конец 2016 года приходилось порядка 53 %; в муниципальной сфере доля стоимости движимого имущества существенно ниже и объем выпадающих доходов в консолидированный  бюджет Самарской области в 2019 году составит более 16 млн. рублей; поступления  налога  на имущество физических лиц в 2019-2020 годах прогнозируются с ростом на 10 %, в 2021 году – на уровне 3 %;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налоги на совокупный доход: рост на 9,8 %, в основном, за счёт роста поступлений налога, взимаемого в связи с применением упрощенной системы налогообложения (УСН) (прогнозируется с применением индекса инфляции); отсутствия роста поступлений единого налога на вмененный доход в связи с наметившейся тенденцией перехода субъектов малого предпринимательства на другие специальные налоговые режимы; развития патентной системы налогообложения;</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 - налоги, сборы за пользование природными ресурсами (налог на добычу общераспространенных полезных ископаемых, водный налог) и прочие налоговые доходы (</w:t>
      </w:r>
      <w:r w:rsidR="00C35C80" w:rsidRPr="00415F67">
        <w:t>госпошлина, налог на игорный бизнес</w:t>
      </w:r>
      <w:r w:rsidR="00C35C80">
        <w:t xml:space="preserve">, </w:t>
      </w:r>
      <w:r w:rsidR="00C35C80" w:rsidRPr="00415F67">
        <w:t>поступления по отмененным налогам и сборам,</w:t>
      </w:r>
      <w:r w:rsidR="00C35C80">
        <w:t xml:space="preserve"> акцизы от </w:t>
      </w:r>
      <w:r w:rsidR="005B3E2C">
        <w:t>М</w:t>
      </w:r>
      <w:r w:rsidR="00C35C80">
        <w:t xml:space="preserve">инистерства управления финансами Самарской области по нормативам </w:t>
      </w:r>
      <w:r w:rsidR="00C35C80" w:rsidRPr="006F0BB5">
        <w:t>отчислений от акцизов на нефтепродукты в бюджеты</w:t>
      </w:r>
      <w:r w:rsidR="00C35C80">
        <w:t xml:space="preserve"> </w:t>
      </w:r>
      <w:r w:rsidR="00C35C80" w:rsidRPr="006F0BB5">
        <w:t xml:space="preserve">муниципальных образований </w:t>
      </w:r>
      <w:r w:rsidR="00C35C80">
        <w:t>С</w:t>
      </w:r>
      <w:r w:rsidR="00C35C80" w:rsidRPr="006F0BB5">
        <w:t>амарской области на 2018 год</w:t>
      </w:r>
      <w:r w:rsidRPr="004272BD">
        <w:t>): рост на 5,1 %.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За три года прогнозного периода в местный бюджет будет зачислено порядка 14 % от общего объёма налоговых доходов с территории городского округа. Налоговые доходы бюджета городского округа Тольятти за прогнозный период (2021/2018) вырастут по консервативному варианту на 10,5 %, по базовому варианту </w:t>
      </w:r>
      <w:r w:rsidR="005B3E2C">
        <w:t xml:space="preserve">- </w:t>
      </w:r>
      <w:r w:rsidRPr="004272BD">
        <w:t xml:space="preserve">на 13,4 %, по целевому варианту </w:t>
      </w:r>
      <w:r w:rsidR="005B3E2C">
        <w:t xml:space="preserve">- </w:t>
      </w:r>
      <w:r w:rsidRPr="004272BD">
        <w:t xml:space="preserve">на 18,1 %.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Неналоговые доходы местного бюджета к концу прогнозного периода могут сократиться на 6,3 %, в основном, за счет снижения доходов от продажи материальных и нематериальных активов и поступлений платы за негативное воздействие на окружающую среду (по данным администратора дохода).  </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Рост страховых взносов на социальные нужды в государственные внебюджетные фонды предусмотрен на уровне прогнозируемых темпов роста НДФЛ: 116,3 %, 119,2 % и 122,4 % (2021 / 2018) по вариантам прогноза соответственно.</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Расходы государственных внебюджетных фондов (по данным администраторов расходов) вырастут в 2021 году по сравнению с 2018 годом на 12,7 %, 12,9 % и 13,1 % соответственно по вариантам прогноза.</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Расходы за счет средств, остающихся в распоряжении организаций, формируются из прибыли (за вычетом налога на прибыль) и амортизационных отчислений. В 2021 году </w:t>
      </w:r>
      <w:r w:rsidRPr="004272BD">
        <w:lastRenderedPageBreak/>
        <w:t>данные расходы относительно 2018 года вырастут на 15,3 %, 27,3 % и 34,9 % по соответствующим вариантам прогноза.</w:t>
      </w:r>
    </w:p>
    <w:p w:rsidR="004837CC" w:rsidRPr="004272BD"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Бюджетная политика городского округа </w:t>
      </w:r>
      <w:r w:rsidR="005B3E2C">
        <w:t xml:space="preserve">Тольятти </w:t>
      </w:r>
      <w:r w:rsidRPr="004272BD">
        <w:t>в прогнозном периоде будет направлена на исполнение принятых социальных обязательств и дальнейшее усиление экономности и эффективности расходования бюджетных средств, сокращение муниципального долга и расходов на его обслуживание, активное участие в привлечении средств вышестоящих бюджетов на финансирование расходов на строительство новых объектов социальной инфраструктуры и дорог, благоустройство территории городского округа</w:t>
      </w:r>
      <w:r w:rsidR="005B3E2C">
        <w:t xml:space="preserve"> Тольятти</w:t>
      </w:r>
      <w:r w:rsidRPr="004272BD">
        <w:t>.</w:t>
      </w:r>
    </w:p>
    <w:p w:rsidR="004837CC" w:rsidRPr="005B3E2C" w:rsidRDefault="004837CC" w:rsidP="00E11BE7">
      <w:pPr>
        <w:pStyle w:val="aa"/>
        <w:widowControl w:val="0"/>
        <w:numPr>
          <w:ilvl w:val="0"/>
          <w:numId w:val="2"/>
        </w:numPr>
        <w:tabs>
          <w:tab w:val="clear" w:pos="0"/>
          <w:tab w:val="num" w:pos="720"/>
        </w:tabs>
        <w:spacing w:before="0" w:after="0" w:line="276" w:lineRule="auto"/>
        <w:ind w:left="0" w:firstLine="709"/>
        <w:jc w:val="both"/>
      </w:pPr>
      <w:r w:rsidRPr="004272BD">
        <w:t xml:space="preserve">Расходы за счёт средств местного бюджета (без средств вышестоящих бюджетов) к 2021 году по сравнению с 2018 годом вырастут на 0,4 %, 0,7 % и 1,1 %, и по базовому варианту учитывают расходы в рамках муниципальных программ (подробнее – в соответствующих разделах настоящего прогноза), по целевому варианту </w:t>
      </w:r>
      <w:r w:rsidRPr="005B3E2C">
        <w:t xml:space="preserve">дополнены расходами в рамках Плана основных мероприятий по подготовке и проведению празднования 50-летия выпуска первого легкового автомобиля ВАЗ в </w:t>
      </w:r>
      <w:r w:rsidR="005534EA">
        <w:t>г</w:t>
      </w:r>
      <w:r w:rsidR="00144879">
        <w:t>.о.</w:t>
      </w:r>
      <w:r w:rsidRPr="005B3E2C">
        <w:t xml:space="preserve"> Тольятти.</w:t>
      </w:r>
    </w:p>
    <w:p w:rsidR="00B3084C" w:rsidRPr="004272BD" w:rsidRDefault="00B3084C" w:rsidP="004272BD">
      <w:pPr>
        <w:pStyle w:val="aa"/>
        <w:widowControl w:val="0"/>
        <w:numPr>
          <w:ilvl w:val="0"/>
          <w:numId w:val="2"/>
        </w:numPr>
        <w:tabs>
          <w:tab w:val="clear" w:pos="0"/>
          <w:tab w:val="num" w:pos="709"/>
        </w:tabs>
        <w:spacing w:before="0" w:after="0" w:line="276" w:lineRule="auto"/>
        <w:ind w:left="0" w:firstLine="709"/>
        <w:jc w:val="both"/>
        <w:rPr>
          <w:b/>
          <w:highlight w:val="yellow"/>
        </w:rPr>
      </w:pPr>
    </w:p>
    <w:p w:rsidR="0024525F" w:rsidRPr="004272BD" w:rsidRDefault="0024525F" w:rsidP="004272BD">
      <w:pPr>
        <w:pStyle w:val="aa"/>
        <w:widowControl w:val="0"/>
        <w:numPr>
          <w:ilvl w:val="0"/>
          <w:numId w:val="2"/>
        </w:numPr>
        <w:tabs>
          <w:tab w:val="clear" w:pos="0"/>
          <w:tab w:val="num" w:pos="709"/>
        </w:tabs>
        <w:spacing w:before="0" w:after="0" w:line="276" w:lineRule="auto"/>
        <w:ind w:left="0" w:firstLine="0"/>
        <w:jc w:val="center"/>
        <w:rPr>
          <w:b/>
        </w:rPr>
      </w:pPr>
      <w:r w:rsidRPr="004272BD">
        <w:rPr>
          <w:b/>
        </w:rPr>
        <w:t>Демография и занятость населения</w:t>
      </w:r>
    </w:p>
    <w:p w:rsidR="0024525F" w:rsidRPr="004272BD" w:rsidRDefault="0024525F" w:rsidP="004272BD">
      <w:pPr>
        <w:pStyle w:val="af"/>
        <w:spacing w:line="276" w:lineRule="auto"/>
        <w:ind w:left="0" w:firstLine="709"/>
        <w:jc w:val="center"/>
        <w:rPr>
          <w:b/>
          <w:sz w:val="24"/>
          <w:szCs w:val="24"/>
          <w:highlight w:val="yellow"/>
        </w:rPr>
      </w:pPr>
    </w:p>
    <w:p w:rsidR="000E4D2C" w:rsidRPr="004272BD" w:rsidRDefault="000E4D2C" w:rsidP="00E11BE7">
      <w:pPr>
        <w:pStyle w:val="af"/>
        <w:numPr>
          <w:ilvl w:val="0"/>
          <w:numId w:val="2"/>
        </w:numPr>
        <w:spacing w:line="276" w:lineRule="auto"/>
        <w:ind w:left="0" w:firstLine="709"/>
        <w:jc w:val="both"/>
        <w:rPr>
          <w:bCs/>
          <w:color w:val="000000"/>
          <w:spacing w:val="-2"/>
          <w:sz w:val="24"/>
          <w:szCs w:val="24"/>
        </w:rPr>
      </w:pPr>
      <w:proofErr w:type="gramStart"/>
      <w:r w:rsidRPr="004272BD">
        <w:rPr>
          <w:bCs/>
          <w:color w:val="000000"/>
          <w:spacing w:val="-2"/>
          <w:sz w:val="24"/>
          <w:szCs w:val="24"/>
        </w:rPr>
        <w:t xml:space="preserve">Прогноз демографических показателей учитывает реализацию мер в сфере народонаселения, в  том числе направленных на достижение национальных целей в сфере демографии, обозначенных в Указе Президента Российской Федерации от </w:t>
      </w:r>
      <w:r w:rsidR="005B3E2C">
        <w:rPr>
          <w:bCs/>
          <w:color w:val="000000"/>
          <w:spacing w:val="-2"/>
          <w:sz w:val="24"/>
          <w:szCs w:val="24"/>
        </w:rPr>
        <w:t xml:space="preserve">7 мая </w:t>
      </w:r>
      <w:r w:rsidRPr="004272BD">
        <w:rPr>
          <w:bCs/>
          <w:color w:val="000000"/>
          <w:spacing w:val="-2"/>
          <w:sz w:val="24"/>
          <w:szCs w:val="24"/>
        </w:rPr>
        <w:t>2018</w:t>
      </w:r>
      <w:r w:rsidR="005B3E2C">
        <w:rPr>
          <w:bCs/>
          <w:color w:val="000000"/>
          <w:spacing w:val="-2"/>
          <w:sz w:val="24"/>
          <w:szCs w:val="24"/>
        </w:rPr>
        <w:t xml:space="preserve"> года</w:t>
      </w:r>
      <w:r w:rsidRPr="004272BD">
        <w:rPr>
          <w:bCs/>
          <w:color w:val="000000"/>
          <w:spacing w:val="-2"/>
          <w:sz w:val="24"/>
          <w:szCs w:val="24"/>
        </w:rPr>
        <w:t>.</w:t>
      </w:r>
      <w:proofErr w:type="gramEnd"/>
    </w:p>
    <w:p w:rsidR="00B055C2" w:rsidRPr="004272BD" w:rsidRDefault="00B055C2" w:rsidP="00E11BE7">
      <w:pPr>
        <w:pStyle w:val="af"/>
        <w:numPr>
          <w:ilvl w:val="0"/>
          <w:numId w:val="2"/>
        </w:numPr>
        <w:spacing w:line="276" w:lineRule="auto"/>
        <w:ind w:left="0" w:firstLine="709"/>
        <w:jc w:val="both"/>
        <w:rPr>
          <w:bCs/>
          <w:color w:val="000000"/>
          <w:spacing w:val="-2"/>
          <w:sz w:val="24"/>
          <w:szCs w:val="24"/>
        </w:rPr>
      </w:pPr>
      <w:r w:rsidRPr="004272BD">
        <w:rPr>
          <w:bCs/>
          <w:color w:val="000000"/>
          <w:spacing w:val="-2"/>
          <w:sz w:val="24"/>
          <w:szCs w:val="24"/>
        </w:rPr>
        <w:t xml:space="preserve">На развитие ситуации в сфере </w:t>
      </w:r>
      <w:r w:rsidR="000E4D2C" w:rsidRPr="004272BD">
        <w:rPr>
          <w:bCs/>
          <w:color w:val="000000"/>
          <w:spacing w:val="-2"/>
          <w:sz w:val="24"/>
          <w:szCs w:val="24"/>
        </w:rPr>
        <w:t>демографии</w:t>
      </w:r>
      <w:r w:rsidRPr="004272BD">
        <w:rPr>
          <w:bCs/>
          <w:color w:val="000000"/>
          <w:spacing w:val="-2"/>
          <w:sz w:val="24"/>
          <w:szCs w:val="24"/>
        </w:rPr>
        <w:t xml:space="preserve"> </w:t>
      </w:r>
      <w:r w:rsidR="000E4D2C" w:rsidRPr="004272BD">
        <w:rPr>
          <w:bCs/>
          <w:color w:val="000000"/>
          <w:spacing w:val="-2"/>
          <w:sz w:val="24"/>
          <w:szCs w:val="24"/>
        </w:rPr>
        <w:t xml:space="preserve">в прогнозном периоде </w:t>
      </w:r>
      <w:r w:rsidRPr="004272BD">
        <w:rPr>
          <w:bCs/>
          <w:color w:val="000000"/>
          <w:spacing w:val="-2"/>
          <w:sz w:val="24"/>
          <w:szCs w:val="24"/>
        </w:rPr>
        <w:t>окажут влияние следующие основные факторы:</w:t>
      </w:r>
    </w:p>
    <w:p w:rsidR="00B055C2" w:rsidRPr="004272BD" w:rsidRDefault="00B055C2" w:rsidP="00E11BE7">
      <w:pPr>
        <w:pStyle w:val="af"/>
        <w:numPr>
          <w:ilvl w:val="0"/>
          <w:numId w:val="2"/>
        </w:numPr>
        <w:spacing w:line="276" w:lineRule="auto"/>
        <w:ind w:left="0" w:firstLine="709"/>
        <w:jc w:val="both"/>
        <w:rPr>
          <w:bCs/>
          <w:color w:val="000000"/>
          <w:spacing w:val="-2"/>
          <w:sz w:val="24"/>
          <w:szCs w:val="24"/>
        </w:rPr>
      </w:pPr>
      <w:r w:rsidRPr="004272BD">
        <w:rPr>
          <w:bCs/>
          <w:color w:val="000000"/>
          <w:spacing w:val="-2"/>
          <w:sz w:val="24"/>
          <w:szCs w:val="24"/>
        </w:rPr>
        <w:t xml:space="preserve">- вступление в репродуктивный возраст малочисленных поколений, рожденных  в  90-е годы (например, численность женщин в возрасте 20-29 лет за период 2019-2021 </w:t>
      </w:r>
      <w:r w:rsidR="000E4D2C" w:rsidRPr="004272BD">
        <w:rPr>
          <w:bCs/>
          <w:color w:val="000000"/>
          <w:spacing w:val="-2"/>
          <w:sz w:val="24"/>
          <w:szCs w:val="24"/>
        </w:rPr>
        <w:t xml:space="preserve">годов </w:t>
      </w:r>
      <w:r w:rsidRPr="004272BD">
        <w:rPr>
          <w:bCs/>
          <w:color w:val="000000"/>
          <w:spacing w:val="-2"/>
          <w:sz w:val="24"/>
          <w:szCs w:val="24"/>
        </w:rPr>
        <w:t xml:space="preserve">снизится на 15,0 %), что повлияет на сокращение рождения преимущественно первых детей. Также к концу прогнозного периода обозначится тенденция уменьшения численности женщин средних возрастов </w:t>
      </w:r>
      <w:r w:rsidR="000E4D2C" w:rsidRPr="004272BD">
        <w:rPr>
          <w:bCs/>
          <w:color w:val="000000"/>
          <w:spacing w:val="-2"/>
          <w:sz w:val="24"/>
          <w:szCs w:val="24"/>
        </w:rPr>
        <w:t xml:space="preserve">(30-39 лет) </w:t>
      </w:r>
      <w:r w:rsidRPr="004272BD">
        <w:rPr>
          <w:bCs/>
          <w:color w:val="000000"/>
          <w:spacing w:val="-2"/>
          <w:sz w:val="24"/>
          <w:szCs w:val="24"/>
        </w:rPr>
        <w:t>на 5,3</w:t>
      </w:r>
      <w:r w:rsidR="003B678F">
        <w:rPr>
          <w:bCs/>
          <w:color w:val="000000"/>
          <w:spacing w:val="-2"/>
          <w:sz w:val="24"/>
          <w:szCs w:val="24"/>
        </w:rPr>
        <w:t xml:space="preserve"> </w:t>
      </w:r>
      <w:r w:rsidRPr="004272BD">
        <w:rPr>
          <w:bCs/>
          <w:color w:val="000000"/>
          <w:spacing w:val="-2"/>
          <w:sz w:val="24"/>
          <w:szCs w:val="24"/>
        </w:rPr>
        <w:t>% в 2021 году по сравнению с 2019 годом. На данный возрастной период в основном приходится полная реализация репродуктивных планов;</w:t>
      </w:r>
    </w:p>
    <w:p w:rsidR="00B055C2" w:rsidRPr="004272BD" w:rsidRDefault="00B055C2" w:rsidP="00E11BE7">
      <w:pPr>
        <w:pStyle w:val="af"/>
        <w:numPr>
          <w:ilvl w:val="0"/>
          <w:numId w:val="2"/>
        </w:numPr>
        <w:spacing w:line="276" w:lineRule="auto"/>
        <w:ind w:left="0" w:firstLine="709"/>
        <w:jc w:val="both"/>
        <w:rPr>
          <w:bCs/>
          <w:color w:val="000000"/>
          <w:spacing w:val="-2"/>
          <w:sz w:val="24"/>
          <w:szCs w:val="24"/>
        </w:rPr>
      </w:pPr>
      <w:r w:rsidRPr="004272BD">
        <w:rPr>
          <w:bCs/>
          <w:color w:val="000000"/>
          <w:spacing w:val="-2"/>
          <w:sz w:val="24"/>
          <w:szCs w:val="24"/>
        </w:rPr>
        <w:t>- сохранение относительно высокой доли вторых и более рождений в семьях, на что окажет влияние предоставление мер материальной поддержки семьям с детьми на федеральном и региональном уровнях, в том числе единовременная денежная выплата (семейный капитал) при рождении (усыновлении) третьего или последующих детей, ежемесячные денежные выплаты семьям при рождении третьего и каждого последующего ребенка до достижения ими возраста трех лет, поддержка студенческих семей, имеющих детей, реализация льготных ипотечных программ;</w:t>
      </w:r>
    </w:p>
    <w:p w:rsidR="00B055C2" w:rsidRPr="004272BD" w:rsidRDefault="00B055C2" w:rsidP="00E11BE7">
      <w:pPr>
        <w:pStyle w:val="af"/>
        <w:numPr>
          <w:ilvl w:val="0"/>
          <w:numId w:val="2"/>
        </w:numPr>
        <w:spacing w:line="276" w:lineRule="auto"/>
        <w:ind w:left="0" w:firstLine="709"/>
        <w:jc w:val="both"/>
        <w:rPr>
          <w:sz w:val="24"/>
          <w:szCs w:val="24"/>
        </w:rPr>
      </w:pPr>
      <w:r w:rsidRPr="004272BD">
        <w:rPr>
          <w:sz w:val="24"/>
          <w:szCs w:val="24"/>
        </w:rPr>
        <w:t xml:space="preserve">- сохранение тенденции старения граждан и ухудшение возрастной структуры населения: продолжится увеличение численности граждан пожилых возрастов и сокращение численности населения трудоспособного возраста. При этом меры по сохранению здоровья и сокращению смертности, прежде всего, граждан трудоспособного возраста, а также младенческого и детских возрастов будут способствовать росту показателя ожидаемой продолжительности жизни граждан и сохранению общей смертности граждан; </w:t>
      </w:r>
    </w:p>
    <w:p w:rsidR="00B055C2" w:rsidRPr="004272BD" w:rsidRDefault="00B055C2" w:rsidP="00E11BE7">
      <w:pPr>
        <w:pStyle w:val="af"/>
        <w:numPr>
          <w:ilvl w:val="0"/>
          <w:numId w:val="2"/>
        </w:numPr>
        <w:spacing w:line="276" w:lineRule="auto"/>
        <w:ind w:left="0" w:firstLine="709"/>
        <w:jc w:val="both"/>
        <w:rPr>
          <w:sz w:val="24"/>
          <w:szCs w:val="24"/>
        </w:rPr>
      </w:pPr>
      <w:r w:rsidRPr="004272BD">
        <w:rPr>
          <w:sz w:val="24"/>
          <w:szCs w:val="24"/>
        </w:rPr>
        <w:lastRenderedPageBreak/>
        <w:t>- сокращение миграционной убыли и ожидание положительного сальдо миграции к 2021 году.</w:t>
      </w:r>
    </w:p>
    <w:p w:rsidR="00B055C2" w:rsidRPr="004272BD" w:rsidRDefault="00B055C2" w:rsidP="00E11BE7">
      <w:pPr>
        <w:pStyle w:val="Default"/>
        <w:widowControl w:val="0"/>
        <w:numPr>
          <w:ilvl w:val="0"/>
          <w:numId w:val="2"/>
        </w:numPr>
        <w:suppressAutoHyphens/>
        <w:spacing w:line="276" w:lineRule="auto"/>
        <w:ind w:left="0" w:firstLine="709"/>
        <w:jc w:val="both"/>
        <w:rPr>
          <w:bCs/>
          <w:spacing w:val="-2"/>
        </w:rPr>
      </w:pPr>
      <w:r w:rsidRPr="004272BD">
        <w:t xml:space="preserve">В результате действия этих факторов </w:t>
      </w:r>
      <w:r w:rsidRPr="004272BD">
        <w:rPr>
          <w:bCs/>
          <w:spacing w:val="-2"/>
        </w:rPr>
        <w:t xml:space="preserve">в 2021 году </w:t>
      </w:r>
      <w:r w:rsidRPr="004272BD">
        <w:t xml:space="preserve">прогнозируется сохранение </w:t>
      </w:r>
      <w:r w:rsidRPr="004272BD">
        <w:rPr>
          <w:bCs/>
          <w:spacing w:val="-2"/>
        </w:rPr>
        <w:t>естественной убыли населения на уровне (-2,4)</w:t>
      </w:r>
      <w:r w:rsidR="00404FEB" w:rsidRPr="004272BD">
        <w:rPr>
          <w:bCs/>
          <w:spacing w:val="-2"/>
        </w:rPr>
        <w:t xml:space="preserve"> по консервативному и базовому вариантам прогноза, </w:t>
      </w:r>
      <w:r w:rsidRPr="004272BD">
        <w:rPr>
          <w:bCs/>
          <w:spacing w:val="-2"/>
        </w:rPr>
        <w:t xml:space="preserve">(-2,1) тыс. </w:t>
      </w:r>
      <w:r w:rsidR="00BD29CE" w:rsidRPr="004272BD">
        <w:rPr>
          <w:bCs/>
          <w:spacing w:val="-2"/>
        </w:rPr>
        <w:t>человек</w:t>
      </w:r>
      <w:r w:rsidRPr="004272BD">
        <w:rPr>
          <w:bCs/>
          <w:spacing w:val="-2"/>
        </w:rPr>
        <w:t xml:space="preserve"> </w:t>
      </w:r>
      <w:r w:rsidR="00404FEB" w:rsidRPr="004272BD">
        <w:rPr>
          <w:bCs/>
          <w:spacing w:val="-2"/>
        </w:rPr>
        <w:t xml:space="preserve">- </w:t>
      </w:r>
      <w:r w:rsidRPr="004272BD">
        <w:rPr>
          <w:bCs/>
          <w:spacing w:val="-2"/>
        </w:rPr>
        <w:t xml:space="preserve">по </w:t>
      </w:r>
      <w:r w:rsidR="00404FEB" w:rsidRPr="004272BD">
        <w:rPr>
          <w:bCs/>
          <w:spacing w:val="-2"/>
        </w:rPr>
        <w:t>целевому.</w:t>
      </w:r>
      <w:r w:rsidRPr="004272BD">
        <w:rPr>
          <w:bCs/>
          <w:spacing w:val="-2"/>
        </w:rPr>
        <w:t xml:space="preserve"> </w:t>
      </w:r>
    </w:p>
    <w:p w:rsidR="00B055C2" w:rsidRPr="004272BD" w:rsidRDefault="00B055C2" w:rsidP="00E11BE7">
      <w:pPr>
        <w:pStyle w:val="af"/>
        <w:widowControl w:val="0"/>
        <w:numPr>
          <w:ilvl w:val="0"/>
          <w:numId w:val="2"/>
        </w:numPr>
        <w:shd w:val="clear" w:color="auto" w:fill="FFFFFF"/>
        <w:suppressAutoHyphens/>
        <w:spacing w:line="276" w:lineRule="auto"/>
        <w:ind w:left="0" w:firstLine="709"/>
        <w:jc w:val="both"/>
        <w:rPr>
          <w:bCs/>
          <w:color w:val="000000"/>
          <w:spacing w:val="-2"/>
          <w:sz w:val="24"/>
          <w:szCs w:val="24"/>
        </w:rPr>
      </w:pPr>
      <w:r w:rsidRPr="004272BD">
        <w:rPr>
          <w:bCs/>
          <w:color w:val="000000"/>
          <w:spacing w:val="-2"/>
          <w:sz w:val="24"/>
          <w:szCs w:val="24"/>
        </w:rPr>
        <w:t xml:space="preserve">На ситуацию миграционных процессов повлияет ожидаемое сокращение выбывающих граждан городского округа Тольятти, в том числе обучающейся молодежи, привлечение трудовых мигрантов в лице соотечественников, проживающих за рубежом, квалифицированных специалистов  на вновь открывающиеся рабочие места, в том числе в результате реализации инвестиционных проектов резидентами </w:t>
      </w:r>
      <w:r w:rsidR="003B678F">
        <w:rPr>
          <w:bCs/>
          <w:color w:val="000000"/>
          <w:spacing w:val="-2"/>
          <w:sz w:val="24"/>
          <w:szCs w:val="24"/>
        </w:rPr>
        <w:t>ТОСЭР</w:t>
      </w:r>
      <w:r w:rsidRPr="004272BD">
        <w:rPr>
          <w:bCs/>
          <w:color w:val="000000"/>
          <w:spacing w:val="-2"/>
          <w:sz w:val="24"/>
          <w:szCs w:val="24"/>
        </w:rPr>
        <w:t xml:space="preserve"> «Тольятти», индустриальных парков, а также в ходе строительства и реконструкции на территории города социальных и инфраструктурных объектов, что приведет к постепенному сокращению отрицательного сальдо миграции в 2019-2020 годы и ожидаемому к 2021 году возобновлению миграционного прироста по целевому варианту прогноза.</w:t>
      </w:r>
    </w:p>
    <w:p w:rsidR="00B055C2" w:rsidRPr="004272BD" w:rsidRDefault="00B055C2" w:rsidP="00E11BE7">
      <w:pPr>
        <w:pStyle w:val="af"/>
        <w:numPr>
          <w:ilvl w:val="0"/>
          <w:numId w:val="2"/>
        </w:numPr>
        <w:shd w:val="clear" w:color="auto" w:fill="FFFFFF"/>
        <w:spacing w:line="276" w:lineRule="auto"/>
        <w:ind w:left="0" w:firstLine="709"/>
        <w:jc w:val="both"/>
        <w:rPr>
          <w:bCs/>
          <w:color w:val="000000"/>
          <w:spacing w:val="-2"/>
          <w:sz w:val="24"/>
          <w:szCs w:val="24"/>
        </w:rPr>
      </w:pPr>
      <w:r w:rsidRPr="004272BD">
        <w:rPr>
          <w:bCs/>
          <w:color w:val="000000"/>
          <w:spacing w:val="-2"/>
          <w:sz w:val="24"/>
          <w:szCs w:val="24"/>
        </w:rPr>
        <w:t>Миграционная убыль в 2019 году может составить (-2,0)-(-1,0) тыс.</w:t>
      </w:r>
      <w:r w:rsidR="005B3E2C">
        <w:rPr>
          <w:bCs/>
          <w:color w:val="000000"/>
          <w:spacing w:val="-2"/>
          <w:sz w:val="24"/>
          <w:szCs w:val="24"/>
        </w:rPr>
        <w:t xml:space="preserve"> </w:t>
      </w:r>
      <w:r w:rsidRPr="004272BD">
        <w:rPr>
          <w:bCs/>
          <w:color w:val="000000"/>
          <w:spacing w:val="-2"/>
          <w:sz w:val="24"/>
          <w:szCs w:val="24"/>
        </w:rPr>
        <w:t>чел</w:t>
      </w:r>
      <w:r w:rsidR="00D641A7" w:rsidRPr="004272BD">
        <w:rPr>
          <w:bCs/>
          <w:color w:val="000000"/>
          <w:spacing w:val="-2"/>
          <w:sz w:val="24"/>
          <w:szCs w:val="24"/>
        </w:rPr>
        <w:t>овек</w:t>
      </w:r>
      <w:r w:rsidRPr="004272BD">
        <w:rPr>
          <w:bCs/>
          <w:color w:val="000000"/>
          <w:spacing w:val="-2"/>
          <w:sz w:val="24"/>
          <w:szCs w:val="24"/>
        </w:rPr>
        <w:t xml:space="preserve"> в зависимости от варианта, к 2021 году миграционный прирост по целевому варианту ожидается на уровне 0,5 тыс. чел</w:t>
      </w:r>
      <w:r w:rsidR="00D641A7" w:rsidRPr="004272BD">
        <w:rPr>
          <w:bCs/>
          <w:color w:val="000000"/>
          <w:spacing w:val="-2"/>
          <w:sz w:val="24"/>
          <w:szCs w:val="24"/>
        </w:rPr>
        <w:t>овек</w:t>
      </w:r>
      <w:r w:rsidRPr="004272BD">
        <w:rPr>
          <w:bCs/>
          <w:color w:val="000000"/>
          <w:spacing w:val="-2"/>
          <w:sz w:val="24"/>
          <w:szCs w:val="24"/>
        </w:rPr>
        <w:t>.</w:t>
      </w:r>
    </w:p>
    <w:p w:rsidR="00B055C2" w:rsidRPr="004272BD" w:rsidRDefault="00B055C2" w:rsidP="00E11BE7">
      <w:pPr>
        <w:pStyle w:val="2"/>
        <w:numPr>
          <w:ilvl w:val="0"/>
          <w:numId w:val="2"/>
        </w:numPr>
        <w:spacing w:after="0" w:line="276" w:lineRule="auto"/>
        <w:ind w:left="0" w:firstLine="709"/>
        <w:jc w:val="both"/>
        <w:rPr>
          <w:rFonts w:ascii="Times New Roman" w:hAnsi="Times New Roman"/>
          <w:bCs/>
          <w:color w:val="000000"/>
          <w:spacing w:val="-2"/>
          <w:sz w:val="24"/>
          <w:szCs w:val="24"/>
        </w:rPr>
      </w:pPr>
      <w:r w:rsidRPr="004272BD">
        <w:rPr>
          <w:rFonts w:ascii="Times New Roman" w:hAnsi="Times New Roman"/>
          <w:bCs/>
          <w:color w:val="000000"/>
          <w:spacing w:val="-2"/>
          <w:sz w:val="24"/>
          <w:szCs w:val="24"/>
        </w:rPr>
        <w:t>Таким образом, по всем вариантам прогноза ожидается снижение численности населения к уровню 2018 года. Так, к 2021 году численность населения в среднегодовом исчислении по консервативному и базовому вариантам составит 695,3 (на 1,4</w:t>
      </w:r>
      <w:r w:rsidR="000E4D2C" w:rsidRPr="004272BD">
        <w:rPr>
          <w:rFonts w:ascii="Times New Roman" w:hAnsi="Times New Roman"/>
          <w:bCs/>
          <w:color w:val="000000"/>
          <w:spacing w:val="-2"/>
          <w:sz w:val="24"/>
          <w:szCs w:val="24"/>
        </w:rPr>
        <w:t xml:space="preserve"> </w:t>
      </w:r>
      <w:r w:rsidRPr="004272BD">
        <w:rPr>
          <w:rFonts w:ascii="Times New Roman" w:hAnsi="Times New Roman"/>
          <w:bCs/>
          <w:color w:val="000000"/>
          <w:spacing w:val="-2"/>
          <w:sz w:val="24"/>
          <w:szCs w:val="24"/>
        </w:rPr>
        <w:t>% меньше, чем в 2018 году), по целевому – 698,3 тыс. чел</w:t>
      </w:r>
      <w:r w:rsidR="00BD29CE" w:rsidRPr="004272BD">
        <w:rPr>
          <w:rFonts w:ascii="Times New Roman" w:hAnsi="Times New Roman"/>
          <w:bCs/>
          <w:color w:val="000000"/>
          <w:spacing w:val="-2"/>
          <w:sz w:val="24"/>
          <w:szCs w:val="24"/>
        </w:rPr>
        <w:t>овек</w:t>
      </w:r>
      <w:r w:rsidRPr="004272BD">
        <w:rPr>
          <w:rFonts w:ascii="Times New Roman" w:hAnsi="Times New Roman"/>
          <w:bCs/>
          <w:color w:val="000000"/>
          <w:spacing w:val="-2"/>
          <w:sz w:val="24"/>
          <w:szCs w:val="24"/>
        </w:rPr>
        <w:t xml:space="preserve"> (на 1,0</w:t>
      </w:r>
      <w:r w:rsidR="00BD29CE" w:rsidRPr="004272BD">
        <w:rPr>
          <w:rFonts w:ascii="Times New Roman" w:hAnsi="Times New Roman"/>
          <w:bCs/>
          <w:color w:val="000000"/>
          <w:spacing w:val="-2"/>
          <w:sz w:val="24"/>
          <w:szCs w:val="24"/>
        </w:rPr>
        <w:t xml:space="preserve"> </w:t>
      </w:r>
      <w:r w:rsidRPr="004272BD">
        <w:rPr>
          <w:rFonts w:ascii="Times New Roman" w:hAnsi="Times New Roman"/>
          <w:bCs/>
          <w:color w:val="000000"/>
          <w:spacing w:val="-2"/>
          <w:sz w:val="24"/>
          <w:szCs w:val="24"/>
        </w:rPr>
        <w:t xml:space="preserve">% меньше, чем в 2018 году).  </w:t>
      </w:r>
    </w:p>
    <w:p w:rsidR="00200A87" w:rsidRPr="004272BD" w:rsidRDefault="00200A87" w:rsidP="00E11BE7">
      <w:pPr>
        <w:pStyle w:val="af"/>
        <w:spacing w:line="276" w:lineRule="auto"/>
        <w:ind w:left="0" w:firstLine="709"/>
        <w:jc w:val="both"/>
        <w:rPr>
          <w:sz w:val="24"/>
          <w:szCs w:val="24"/>
        </w:rPr>
      </w:pPr>
      <w:r w:rsidRPr="004272BD">
        <w:rPr>
          <w:sz w:val="24"/>
          <w:szCs w:val="24"/>
        </w:rPr>
        <w:t>В прогнозн</w:t>
      </w:r>
      <w:r w:rsidR="000B7455" w:rsidRPr="004272BD">
        <w:rPr>
          <w:sz w:val="24"/>
          <w:szCs w:val="24"/>
        </w:rPr>
        <w:t>ом</w:t>
      </w:r>
      <w:r w:rsidRPr="004272BD">
        <w:rPr>
          <w:sz w:val="24"/>
          <w:szCs w:val="24"/>
        </w:rPr>
        <w:t xml:space="preserve"> период</w:t>
      </w:r>
      <w:r w:rsidR="000B7455" w:rsidRPr="004272BD">
        <w:rPr>
          <w:sz w:val="24"/>
          <w:szCs w:val="24"/>
        </w:rPr>
        <w:t>е</w:t>
      </w:r>
      <w:r w:rsidRPr="004272BD">
        <w:rPr>
          <w:sz w:val="24"/>
          <w:szCs w:val="24"/>
        </w:rPr>
        <w:t xml:space="preserve"> в результате увеличения продолжительности здоровой жизни в совокупности с повышением пенсионного возраста ожидается рост </w:t>
      </w:r>
      <w:r w:rsidRPr="004272BD">
        <w:rPr>
          <w:b/>
          <w:sz w:val="24"/>
          <w:szCs w:val="24"/>
        </w:rPr>
        <w:t>уровня экономической активности населения</w:t>
      </w:r>
      <w:r w:rsidRPr="004272BD">
        <w:rPr>
          <w:sz w:val="24"/>
          <w:szCs w:val="24"/>
        </w:rPr>
        <w:t xml:space="preserve"> (в том числе в старших возрастах).</w:t>
      </w:r>
    </w:p>
    <w:p w:rsidR="00200A87" w:rsidRPr="004272BD" w:rsidRDefault="00200A87" w:rsidP="002F622E">
      <w:pPr>
        <w:pStyle w:val="af"/>
        <w:spacing w:line="276" w:lineRule="auto"/>
        <w:ind w:left="0" w:firstLine="709"/>
        <w:jc w:val="both"/>
        <w:rPr>
          <w:bCs/>
          <w:sz w:val="24"/>
          <w:szCs w:val="24"/>
        </w:rPr>
      </w:pPr>
      <w:r w:rsidRPr="004272BD">
        <w:rPr>
          <w:bCs/>
          <w:sz w:val="24"/>
          <w:szCs w:val="24"/>
        </w:rPr>
        <w:t>Численность населения в трудоспособном возрасте в 2019-2021 годы будет снижаться менее значительными темпами</w:t>
      </w:r>
      <w:r w:rsidR="00111B9D">
        <w:rPr>
          <w:bCs/>
          <w:sz w:val="24"/>
          <w:szCs w:val="24"/>
        </w:rPr>
        <w:t>, чем в предыдущих периодах</w:t>
      </w:r>
      <w:r w:rsidRPr="004272BD">
        <w:rPr>
          <w:bCs/>
          <w:sz w:val="24"/>
          <w:szCs w:val="24"/>
        </w:rPr>
        <w:t>. Так</w:t>
      </w:r>
      <w:r w:rsidR="00BD29CE" w:rsidRPr="004272BD">
        <w:rPr>
          <w:bCs/>
          <w:sz w:val="24"/>
          <w:szCs w:val="24"/>
        </w:rPr>
        <w:t>,</w:t>
      </w:r>
      <w:r w:rsidRPr="004272BD">
        <w:rPr>
          <w:bCs/>
          <w:sz w:val="24"/>
          <w:szCs w:val="24"/>
        </w:rPr>
        <w:t xml:space="preserve"> в 2021 году население трудоспособного возраста уменьшится к оценке 2018 года предположительно на 4,7 тыс. </w:t>
      </w:r>
      <w:r w:rsidR="00BD29CE" w:rsidRPr="004272BD">
        <w:rPr>
          <w:bCs/>
          <w:sz w:val="24"/>
          <w:szCs w:val="24"/>
        </w:rPr>
        <w:t>человек</w:t>
      </w:r>
      <w:r w:rsidRPr="004272BD">
        <w:rPr>
          <w:bCs/>
          <w:sz w:val="24"/>
          <w:szCs w:val="24"/>
        </w:rPr>
        <w:t xml:space="preserve"> (1,2 %) по консервативному и базовому вариантам, на 2,8 тыс. </w:t>
      </w:r>
      <w:r w:rsidR="00BD29CE" w:rsidRPr="004272BD">
        <w:rPr>
          <w:bCs/>
          <w:sz w:val="24"/>
          <w:szCs w:val="24"/>
        </w:rPr>
        <w:t>человек</w:t>
      </w:r>
      <w:r w:rsidRPr="004272BD">
        <w:rPr>
          <w:bCs/>
          <w:sz w:val="24"/>
          <w:szCs w:val="24"/>
        </w:rPr>
        <w:t xml:space="preserve"> (0,7 %) - по целевому.</w:t>
      </w:r>
    </w:p>
    <w:p w:rsidR="00200A87" w:rsidRPr="005534EA" w:rsidRDefault="00200A87" w:rsidP="002F622E">
      <w:pPr>
        <w:pStyle w:val="af"/>
        <w:numPr>
          <w:ilvl w:val="0"/>
          <w:numId w:val="2"/>
        </w:numPr>
        <w:spacing w:line="276" w:lineRule="auto"/>
        <w:ind w:left="0" w:firstLine="709"/>
        <w:jc w:val="both"/>
        <w:rPr>
          <w:bCs/>
          <w:sz w:val="24"/>
          <w:szCs w:val="24"/>
        </w:rPr>
      </w:pPr>
      <w:r w:rsidRPr="005534EA">
        <w:rPr>
          <w:bCs/>
          <w:sz w:val="24"/>
          <w:szCs w:val="24"/>
        </w:rPr>
        <w:t>Помимо этого, частично компенсировать процессы сферы занятости и рынка труда возможно за счет привлечения трудовых мигрантов (как за счет российских, так и иностранных граждан) в соответствии с потребностями рынка труда города.</w:t>
      </w:r>
    </w:p>
    <w:p w:rsidR="00200A87" w:rsidRPr="005534EA" w:rsidRDefault="00200A87" w:rsidP="002F622E">
      <w:pPr>
        <w:pStyle w:val="af"/>
        <w:numPr>
          <w:ilvl w:val="0"/>
          <w:numId w:val="2"/>
        </w:numPr>
        <w:spacing w:line="276" w:lineRule="auto"/>
        <w:ind w:left="0" w:firstLine="709"/>
        <w:jc w:val="both"/>
        <w:rPr>
          <w:bCs/>
          <w:sz w:val="24"/>
          <w:szCs w:val="24"/>
        </w:rPr>
      </w:pPr>
      <w:r w:rsidRPr="005534EA">
        <w:rPr>
          <w:bCs/>
          <w:sz w:val="24"/>
          <w:szCs w:val="24"/>
        </w:rPr>
        <w:t>Уменьшение численности трудовых ресурсов к 2021 году относительно 2018 года предположительно составит 2,2</w:t>
      </w:r>
      <w:r w:rsidR="000E4D2C" w:rsidRPr="005534EA">
        <w:rPr>
          <w:bCs/>
          <w:sz w:val="24"/>
          <w:szCs w:val="24"/>
        </w:rPr>
        <w:t xml:space="preserve"> </w:t>
      </w:r>
      <w:r w:rsidR="00BD29CE" w:rsidRPr="005534EA">
        <w:rPr>
          <w:bCs/>
          <w:sz w:val="24"/>
          <w:szCs w:val="24"/>
        </w:rPr>
        <w:t>%</w:t>
      </w:r>
      <w:r w:rsidR="000E4D2C" w:rsidRPr="005534EA">
        <w:rPr>
          <w:bCs/>
          <w:sz w:val="24"/>
          <w:szCs w:val="24"/>
        </w:rPr>
        <w:t xml:space="preserve"> </w:t>
      </w:r>
      <w:r w:rsidRPr="005534EA">
        <w:rPr>
          <w:bCs/>
          <w:sz w:val="24"/>
          <w:szCs w:val="24"/>
        </w:rPr>
        <w:t>-</w:t>
      </w:r>
      <w:r w:rsidR="000E4D2C" w:rsidRPr="005534EA">
        <w:rPr>
          <w:bCs/>
          <w:sz w:val="24"/>
          <w:szCs w:val="24"/>
        </w:rPr>
        <w:t xml:space="preserve"> </w:t>
      </w:r>
      <w:r w:rsidRPr="005534EA">
        <w:rPr>
          <w:bCs/>
          <w:sz w:val="24"/>
          <w:szCs w:val="24"/>
        </w:rPr>
        <w:t>1,6 % по вариантам прогноза соответственно.</w:t>
      </w:r>
    </w:p>
    <w:p w:rsidR="00200A87" w:rsidRPr="004272BD" w:rsidRDefault="00200A87" w:rsidP="002F622E">
      <w:pPr>
        <w:pStyle w:val="af"/>
        <w:numPr>
          <w:ilvl w:val="0"/>
          <w:numId w:val="2"/>
        </w:numPr>
        <w:spacing w:line="276" w:lineRule="auto"/>
        <w:ind w:left="0" w:firstLine="709"/>
        <w:jc w:val="both"/>
        <w:rPr>
          <w:bCs/>
          <w:sz w:val="24"/>
          <w:szCs w:val="24"/>
        </w:rPr>
      </w:pPr>
      <w:r w:rsidRPr="004272BD">
        <w:rPr>
          <w:bCs/>
          <w:sz w:val="24"/>
          <w:szCs w:val="24"/>
        </w:rPr>
        <w:t xml:space="preserve">Кроме демографических процессов на ситуацию на рынке труда в городском округе будут оказывать влияние темпы экономического роста, необходимость повышения производительности труда, эффективность реализации мер по содействию занятости населения, динамика инвестиционной активности. </w:t>
      </w:r>
    </w:p>
    <w:p w:rsidR="00200A87" w:rsidRPr="004272BD" w:rsidRDefault="00200A87" w:rsidP="002F622E">
      <w:pPr>
        <w:pStyle w:val="af"/>
        <w:widowControl w:val="0"/>
        <w:numPr>
          <w:ilvl w:val="0"/>
          <w:numId w:val="2"/>
        </w:numPr>
        <w:suppressAutoHyphens/>
        <w:spacing w:line="276" w:lineRule="auto"/>
        <w:ind w:left="0" w:firstLine="709"/>
        <w:jc w:val="both"/>
        <w:rPr>
          <w:bCs/>
          <w:sz w:val="24"/>
          <w:szCs w:val="24"/>
        </w:rPr>
      </w:pPr>
      <w:r w:rsidRPr="004272BD">
        <w:rPr>
          <w:bCs/>
          <w:sz w:val="24"/>
          <w:szCs w:val="24"/>
        </w:rPr>
        <w:t xml:space="preserve">В 2019 – 2021 годах на развитие экономики городского округа Тольятти будут оказывать влияние следующие факторы: стимулирование спроса </w:t>
      </w:r>
      <w:r w:rsidR="005534EA">
        <w:rPr>
          <w:bCs/>
          <w:sz w:val="24"/>
          <w:szCs w:val="24"/>
        </w:rPr>
        <w:t>на продукцию автомобилестроения;</w:t>
      </w:r>
      <w:r w:rsidRPr="004272BD">
        <w:rPr>
          <w:bCs/>
          <w:sz w:val="24"/>
          <w:szCs w:val="24"/>
        </w:rPr>
        <w:t xml:space="preserve"> поддержка </w:t>
      </w:r>
      <w:r w:rsidRPr="00056809">
        <w:rPr>
          <w:bCs/>
          <w:sz w:val="24"/>
          <w:szCs w:val="24"/>
        </w:rPr>
        <w:t>импортозамещения</w:t>
      </w:r>
      <w:r w:rsidR="005534EA" w:rsidRPr="00056809">
        <w:rPr>
          <w:bCs/>
          <w:sz w:val="24"/>
          <w:szCs w:val="24"/>
        </w:rPr>
        <w:t>;</w:t>
      </w:r>
      <w:r w:rsidRPr="00056809">
        <w:rPr>
          <w:bCs/>
          <w:sz w:val="24"/>
          <w:szCs w:val="24"/>
        </w:rPr>
        <w:t xml:space="preserve"> реализация проектов на предприятиях химического комплекса (</w:t>
      </w:r>
      <w:proofErr w:type="spellStart"/>
      <w:r w:rsidRPr="00056809">
        <w:rPr>
          <w:bCs/>
          <w:sz w:val="24"/>
          <w:szCs w:val="24"/>
        </w:rPr>
        <w:t>ПАО</w:t>
      </w:r>
      <w:proofErr w:type="spellEnd"/>
      <w:r w:rsidRPr="00056809">
        <w:rPr>
          <w:bCs/>
          <w:sz w:val="24"/>
          <w:szCs w:val="24"/>
        </w:rPr>
        <w:t xml:space="preserve"> «</w:t>
      </w:r>
      <w:proofErr w:type="spellStart"/>
      <w:r w:rsidRPr="00056809">
        <w:rPr>
          <w:bCs/>
          <w:sz w:val="24"/>
          <w:szCs w:val="24"/>
        </w:rPr>
        <w:t>Куйбышев</w:t>
      </w:r>
      <w:r w:rsidR="00144879" w:rsidRPr="00056809">
        <w:rPr>
          <w:bCs/>
          <w:sz w:val="24"/>
          <w:szCs w:val="24"/>
        </w:rPr>
        <w:t>А</w:t>
      </w:r>
      <w:r w:rsidR="005B3E2C" w:rsidRPr="00056809">
        <w:rPr>
          <w:bCs/>
          <w:sz w:val="24"/>
          <w:szCs w:val="24"/>
        </w:rPr>
        <w:t>зот</w:t>
      </w:r>
      <w:proofErr w:type="spellEnd"/>
      <w:r w:rsidR="005B3E2C" w:rsidRPr="00056809">
        <w:rPr>
          <w:bCs/>
          <w:sz w:val="24"/>
          <w:szCs w:val="24"/>
        </w:rPr>
        <w:t xml:space="preserve">», </w:t>
      </w:r>
      <w:proofErr w:type="spellStart"/>
      <w:r w:rsidR="005B3E2C" w:rsidRPr="00056809">
        <w:rPr>
          <w:bCs/>
          <w:sz w:val="24"/>
          <w:szCs w:val="24"/>
        </w:rPr>
        <w:t>ПАО</w:t>
      </w:r>
      <w:proofErr w:type="spellEnd"/>
      <w:r w:rsidR="005B3E2C" w:rsidRPr="00056809">
        <w:rPr>
          <w:bCs/>
          <w:sz w:val="24"/>
          <w:szCs w:val="24"/>
        </w:rPr>
        <w:t xml:space="preserve"> «</w:t>
      </w:r>
      <w:proofErr w:type="spellStart"/>
      <w:r w:rsidR="005B3E2C" w:rsidRPr="00056809">
        <w:rPr>
          <w:bCs/>
          <w:sz w:val="24"/>
          <w:szCs w:val="24"/>
        </w:rPr>
        <w:t>Тольяттиазот</w:t>
      </w:r>
      <w:proofErr w:type="spellEnd"/>
      <w:r w:rsidR="005B3E2C" w:rsidRPr="00056809">
        <w:rPr>
          <w:bCs/>
          <w:sz w:val="24"/>
          <w:szCs w:val="24"/>
        </w:rPr>
        <w:t>»)</w:t>
      </w:r>
      <w:r w:rsidR="005534EA" w:rsidRPr="00056809">
        <w:rPr>
          <w:bCs/>
          <w:sz w:val="24"/>
          <w:szCs w:val="24"/>
        </w:rPr>
        <w:t>;</w:t>
      </w:r>
      <w:r w:rsidRPr="00056809">
        <w:rPr>
          <w:bCs/>
          <w:sz w:val="24"/>
          <w:szCs w:val="24"/>
        </w:rPr>
        <w:t xml:space="preserve"> </w:t>
      </w:r>
      <w:r w:rsidR="00567ABE" w:rsidRPr="00056809">
        <w:rPr>
          <w:bCs/>
          <w:sz w:val="24"/>
          <w:szCs w:val="24"/>
        </w:rPr>
        <w:t xml:space="preserve">успешное развитие </w:t>
      </w:r>
      <w:r w:rsidR="003B678F" w:rsidRPr="00056809">
        <w:rPr>
          <w:bCs/>
          <w:sz w:val="24"/>
          <w:szCs w:val="24"/>
        </w:rPr>
        <w:t>ТОСЭР</w:t>
      </w:r>
      <w:r w:rsidR="00567ABE" w:rsidRPr="00056809">
        <w:rPr>
          <w:bCs/>
          <w:sz w:val="24"/>
          <w:szCs w:val="24"/>
        </w:rPr>
        <w:t xml:space="preserve"> «Тольятти»</w:t>
      </w:r>
      <w:r w:rsidR="00567ABE" w:rsidRPr="00056809">
        <w:rPr>
          <w:sz w:val="24"/>
          <w:szCs w:val="24"/>
        </w:rPr>
        <w:t xml:space="preserve"> (за весь период реализации проектов </w:t>
      </w:r>
      <w:r w:rsidR="005534EA" w:rsidRPr="00056809">
        <w:rPr>
          <w:sz w:val="24"/>
          <w:szCs w:val="24"/>
        </w:rPr>
        <w:t xml:space="preserve">действующими резидентами </w:t>
      </w:r>
      <w:r w:rsidR="00567ABE" w:rsidRPr="00056809">
        <w:rPr>
          <w:sz w:val="24"/>
          <w:szCs w:val="24"/>
        </w:rPr>
        <w:t xml:space="preserve">планируется </w:t>
      </w:r>
      <w:r w:rsidR="00567ABE" w:rsidRPr="003B73CA">
        <w:rPr>
          <w:sz w:val="24"/>
          <w:szCs w:val="24"/>
        </w:rPr>
        <w:t>создание 4</w:t>
      </w:r>
      <w:r w:rsidR="005534EA" w:rsidRPr="003B73CA">
        <w:rPr>
          <w:sz w:val="24"/>
          <w:szCs w:val="24"/>
        </w:rPr>
        <w:t>,3 тыс</w:t>
      </w:r>
      <w:r w:rsidR="005534EA" w:rsidRPr="00056809">
        <w:rPr>
          <w:sz w:val="24"/>
          <w:szCs w:val="24"/>
        </w:rPr>
        <w:t>.</w:t>
      </w:r>
      <w:r w:rsidR="00567ABE" w:rsidRPr="00056809">
        <w:rPr>
          <w:sz w:val="24"/>
          <w:szCs w:val="24"/>
        </w:rPr>
        <w:t xml:space="preserve"> новых рабочих мест</w:t>
      </w:r>
      <w:r w:rsidR="00E62254">
        <w:rPr>
          <w:sz w:val="24"/>
          <w:szCs w:val="24"/>
        </w:rPr>
        <w:t>, в прогнозном периоде – 1,7 тыс. рабочих мест</w:t>
      </w:r>
      <w:r w:rsidR="00567ABE" w:rsidRPr="00056809">
        <w:rPr>
          <w:sz w:val="24"/>
          <w:szCs w:val="24"/>
        </w:rPr>
        <w:t>)</w:t>
      </w:r>
      <w:r w:rsidR="00567ABE" w:rsidRPr="00056809">
        <w:rPr>
          <w:bCs/>
          <w:sz w:val="24"/>
          <w:szCs w:val="24"/>
        </w:rPr>
        <w:t xml:space="preserve">; </w:t>
      </w:r>
      <w:r w:rsidRPr="00056809">
        <w:rPr>
          <w:bCs/>
          <w:sz w:val="24"/>
          <w:szCs w:val="24"/>
        </w:rPr>
        <w:t xml:space="preserve">запуск новых производств на </w:t>
      </w:r>
      <w:r w:rsidR="00567ABE" w:rsidRPr="00056809">
        <w:rPr>
          <w:bCs/>
          <w:sz w:val="24"/>
          <w:szCs w:val="24"/>
        </w:rPr>
        <w:t xml:space="preserve">крупных </w:t>
      </w:r>
      <w:r w:rsidR="00567ABE" w:rsidRPr="00056809">
        <w:rPr>
          <w:bCs/>
          <w:sz w:val="24"/>
          <w:szCs w:val="24"/>
        </w:rPr>
        <w:lastRenderedPageBreak/>
        <w:t>инвестиционных площадках, индустриальных парках</w:t>
      </w:r>
      <w:r w:rsidRPr="00056809">
        <w:rPr>
          <w:bCs/>
          <w:sz w:val="24"/>
          <w:szCs w:val="24"/>
        </w:rPr>
        <w:t>; привлечение средств некоммерческой организации</w:t>
      </w:r>
      <w:r w:rsidRPr="004272BD">
        <w:rPr>
          <w:bCs/>
          <w:sz w:val="24"/>
          <w:szCs w:val="24"/>
        </w:rPr>
        <w:t xml:space="preserve"> «Фонд развития моногородов» на реализацию инфраструктурных проектов; реализация мероприятий по развитию социальной и улично-дорожной инфраструктуры Тольятти в рамках подготовки и проведения празднования 50-летия выпуска первого легкового автомобиля ВАЗ в городе Тольятти. </w:t>
      </w:r>
    </w:p>
    <w:p w:rsidR="00200A87" w:rsidRPr="004272BD" w:rsidRDefault="00200A87" w:rsidP="002F622E">
      <w:pPr>
        <w:pStyle w:val="af"/>
        <w:numPr>
          <w:ilvl w:val="0"/>
          <w:numId w:val="2"/>
        </w:numPr>
        <w:spacing w:line="276" w:lineRule="auto"/>
        <w:ind w:left="0" w:firstLine="709"/>
        <w:jc w:val="both"/>
        <w:rPr>
          <w:bCs/>
          <w:sz w:val="24"/>
          <w:szCs w:val="24"/>
        </w:rPr>
      </w:pPr>
      <w:r w:rsidRPr="004272BD">
        <w:rPr>
          <w:bCs/>
          <w:sz w:val="24"/>
          <w:szCs w:val="24"/>
        </w:rPr>
        <w:t>Продолжится реализация государственных программ «Содействие занятости населения Самарской области на 2014</w:t>
      </w:r>
      <w:r w:rsidR="00BD29CE" w:rsidRPr="004272BD">
        <w:rPr>
          <w:bCs/>
          <w:sz w:val="24"/>
          <w:szCs w:val="24"/>
        </w:rPr>
        <w:t xml:space="preserve"> </w:t>
      </w:r>
      <w:r w:rsidRPr="004272BD">
        <w:rPr>
          <w:bCs/>
          <w:sz w:val="24"/>
          <w:szCs w:val="24"/>
        </w:rPr>
        <w:t>–</w:t>
      </w:r>
      <w:r w:rsidR="00BD29CE" w:rsidRPr="004272BD">
        <w:rPr>
          <w:bCs/>
          <w:sz w:val="24"/>
          <w:szCs w:val="24"/>
        </w:rPr>
        <w:t xml:space="preserve"> </w:t>
      </w:r>
      <w:r w:rsidRPr="004272BD">
        <w:rPr>
          <w:bCs/>
          <w:sz w:val="24"/>
          <w:szCs w:val="24"/>
        </w:rPr>
        <w:t>2020 годы», «Оказание содействия добровольному переселению в Самарскую область соотечественников, проживающих за рубежом» на 2014 – 2018 годы (планируется пролонгировать период ее действия), межведомственного Плана мероприятий по содействию занятости, в том числе в трудоустройстве, на рабочие места с гибкими формами занятости родителей, воспитывающих несовершеннолетних детей, включая лиц, находящихся в отпуске по уходу за ребенком до достижения им возраста трех лет, на 2018 – 2020 годы, Плана мероприятий по развитию в Самарской области движения «Молодые профессионалы» («</w:t>
      </w:r>
      <w:proofErr w:type="spellStart"/>
      <w:r w:rsidRPr="004272BD">
        <w:rPr>
          <w:bCs/>
          <w:sz w:val="24"/>
          <w:szCs w:val="24"/>
        </w:rPr>
        <w:t>Ворлдскиллс</w:t>
      </w:r>
      <w:proofErr w:type="spellEnd"/>
      <w:r w:rsidRPr="004272BD">
        <w:rPr>
          <w:bCs/>
          <w:sz w:val="24"/>
          <w:szCs w:val="24"/>
        </w:rPr>
        <w:t xml:space="preserve"> Россия»), </w:t>
      </w:r>
      <w:proofErr w:type="spellStart"/>
      <w:r w:rsidRPr="004272BD">
        <w:rPr>
          <w:bCs/>
          <w:sz w:val="24"/>
          <w:szCs w:val="24"/>
        </w:rPr>
        <w:t>JuniorSkills</w:t>
      </w:r>
      <w:proofErr w:type="spellEnd"/>
      <w:r w:rsidRPr="004272BD">
        <w:rPr>
          <w:bCs/>
          <w:sz w:val="24"/>
          <w:szCs w:val="24"/>
        </w:rPr>
        <w:t xml:space="preserve"> и «</w:t>
      </w:r>
      <w:proofErr w:type="spellStart"/>
      <w:r w:rsidRPr="004272BD">
        <w:rPr>
          <w:bCs/>
          <w:sz w:val="24"/>
          <w:szCs w:val="24"/>
        </w:rPr>
        <w:t>Абилимпикс</w:t>
      </w:r>
      <w:proofErr w:type="spellEnd"/>
      <w:r w:rsidRPr="004272BD">
        <w:rPr>
          <w:bCs/>
          <w:sz w:val="24"/>
          <w:szCs w:val="24"/>
        </w:rPr>
        <w:t>» на 2017 – 2020 годы, Плана мероприятий, направленных на создание условий для повышения удельного веса численности квалифицированных работников в Самарской области, на 2014 – 2020 годы, Плана мероприятий по развитию национальной системы профессиональных квалификаций в Самарской области на 2017 – 2020 годы.</w:t>
      </w:r>
    </w:p>
    <w:p w:rsidR="00200A87" w:rsidRPr="004272BD" w:rsidRDefault="00200A87" w:rsidP="002F622E">
      <w:pPr>
        <w:pStyle w:val="af"/>
        <w:numPr>
          <w:ilvl w:val="0"/>
          <w:numId w:val="2"/>
        </w:numPr>
        <w:spacing w:line="276" w:lineRule="auto"/>
        <w:ind w:left="0" w:firstLine="709"/>
        <w:jc w:val="both"/>
        <w:rPr>
          <w:bCs/>
          <w:sz w:val="24"/>
          <w:szCs w:val="24"/>
        </w:rPr>
      </w:pPr>
      <w:r w:rsidRPr="004272BD">
        <w:rPr>
          <w:bCs/>
          <w:sz w:val="24"/>
          <w:szCs w:val="24"/>
        </w:rPr>
        <w:t>Продолжится реализация государственной программы «Развитие предпринимательства, торговли и туризма в Самарской области» на 2014 – 2019 годы и муниципальной программы «Развитие малого и среднего предпринимательства городского окру</w:t>
      </w:r>
      <w:r w:rsidR="00567ABE" w:rsidRPr="004272BD">
        <w:rPr>
          <w:bCs/>
          <w:sz w:val="24"/>
          <w:szCs w:val="24"/>
        </w:rPr>
        <w:t>га Тольятти на 2018-2022 годы», которые будут способствовать созданию новых рабочих мест в малом бизнесе.</w:t>
      </w:r>
    </w:p>
    <w:p w:rsidR="00200A87" w:rsidRPr="004272BD" w:rsidRDefault="00200A87" w:rsidP="00E11BE7">
      <w:pPr>
        <w:pStyle w:val="af"/>
        <w:numPr>
          <w:ilvl w:val="0"/>
          <w:numId w:val="2"/>
        </w:numPr>
        <w:spacing w:line="276" w:lineRule="auto"/>
        <w:ind w:left="0" w:firstLine="709"/>
        <w:jc w:val="both"/>
        <w:rPr>
          <w:bCs/>
          <w:sz w:val="24"/>
          <w:szCs w:val="24"/>
        </w:rPr>
      </w:pPr>
      <w:r w:rsidRPr="004272BD">
        <w:rPr>
          <w:bCs/>
          <w:sz w:val="24"/>
          <w:szCs w:val="24"/>
        </w:rPr>
        <w:t xml:space="preserve">Рисками ухудшения ситуации на рынке труда являются размеры накопленной неэффективной занятости </w:t>
      </w:r>
      <w:r w:rsidR="00567ABE" w:rsidRPr="004272BD">
        <w:rPr>
          <w:bCs/>
          <w:sz w:val="24"/>
          <w:szCs w:val="24"/>
        </w:rPr>
        <w:t>(</w:t>
      </w:r>
      <w:bookmarkStart w:id="0" w:name="826"/>
      <w:r w:rsidR="008A758B" w:rsidRPr="004272BD">
        <w:rPr>
          <w:bCs/>
          <w:sz w:val="24"/>
          <w:szCs w:val="24"/>
        </w:rPr>
        <w:t>невысокий уровень производительности труда, скрытая безработица, сохранение неполной занятости, значительное количество работников, получающих заработную плату ниже прожиточного минимума)</w:t>
      </w:r>
      <w:bookmarkEnd w:id="0"/>
      <w:r w:rsidR="00567ABE" w:rsidRPr="004272BD">
        <w:rPr>
          <w:bCs/>
          <w:sz w:val="24"/>
          <w:szCs w:val="24"/>
        </w:rPr>
        <w:t xml:space="preserve"> </w:t>
      </w:r>
      <w:r w:rsidRPr="004272BD">
        <w:rPr>
          <w:bCs/>
          <w:sz w:val="24"/>
          <w:szCs w:val="24"/>
        </w:rPr>
        <w:t>и необходимость дальнейшей оптимизации численности персонала предприятий, ситуация на ПАО «АВТОВАЗ», которая во многом определяет положение и пред</w:t>
      </w:r>
      <w:r w:rsidR="00FD5791">
        <w:rPr>
          <w:bCs/>
          <w:sz w:val="24"/>
          <w:szCs w:val="24"/>
        </w:rPr>
        <w:t>п</w:t>
      </w:r>
      <w:r w:rsidRPr="004272BD">
        <w:rPr>
          <w:bCs/>
          <w:sz w:val="24"/>
          <w:szCs w:val="24"/>
        </w:rPr>
        <w:t>риятий-смежников.</w:t>
      </w:r>
    </w:p>
    <w:p w:rsidR="00200A87" w:rsidRPr="004272BD" w:rsidRDefault="00200A87" w:rsidP="00E11BE7">
      <w:pPr>
        <w:pStyle w:val="af"/>
        <w:numPr>
          <w:ilvl w:val="0"/>
          <w:numId w:val="2"/>
        </w:numPr>
        <w:autoSpaceDE w:val="0"/>
        <w:autoSpaceDN w:val="0"/>
        <w:adjustRightInd w:val="0"/>
        <w:spacing w:line="276" w:lineRule="auto"/>
        <w:ind w:left="0" w:firstLine="709"/>
        <w:jc w:val="both"/>
        <w:rPr>
          <w:spacing w:val="-2"/>
          <w:sz w:val="24"/>
          <w:szCs w:val="24"/>
        </w:rPr>
      </w:pPr>
      <w:r w:rsidRPr="004272BD">
        <w:rPr>
          <w:spacing w:val="-2"/>
          <w:sz w:val="24"/>
          <w:szCs w:val="24"/>
        </w:rPr>
        <w:t>С учетом изложенных факторов и заданного макроэкономического сценария на протяжении всего предстоящего периода в городском округе Тольятти  прогнозируются следующие тенденции:</w:t>
      </w:r>
    </w:p>
    <w:p w:rsidR="00200A87" w:rsidRPr="00E837D2" w:rsidRDefault="00200A87" w:rsidP="00E11BE7">
      <w:pPr>
        <w:pStyle w:val="af"/>
        <w:numPr>
          <w:ilvl w:val="0"/>
          <w:numId w:val="2"/>
        </w:numPr>
        <w:spacing w:line="276" w:lineRule="auto"/>
        <w:ind w:left="0" w:firstLine="709"/>
        <w:jc w:val="both"/>
        <w:rPr>
          <w:bCs/>
          <w:sz w:val="24"/>
          <w:szCs w:val="24"/>
        </w:rPr>
      </w:pPr>
      <w:proofErr w:type="gramStart"/>
      <w:r w:rsidRPr="00E837D2">
        <w:rPr>
          <w:spacing w:val="-2"/>
          <w:sz w:val="24"/>
          <w:szCs w:val="24"/>
        </w:rPr>
        <w:t>- сокращение численности занятых в экономике в 2019 году по сравнению с оценкой предыдущего года на 1,4 % по консервативному и базовому вариантам прогноза, на 0,5 % – по целевому</w:t>
      </w:r>
      <w:r w:rsidR="00E837D2">
        <w:rPr>
          <w:spacing w:val="-2"/>
          <w:sz w:val="24"/>
          <w:szCs w:val="24"/>
        </w:rPr>
        <w:t>;</w:t>
      </w:r>
      <w:r w:rsidRPr="00E837D2">
        <w:rPr>
          <w:spacing w:val="-2"/>
          <w:sz w:val="24"/>
          <w:szCs w:val="24"/>
        </w:rPr>
        <w:t xml:space="preserve"> за весь прогнозный период (2021 год к 2018 году) </w:t>
      </w:r>
      <w:r w:rsidRPr="00E837D2">
        <w:rPr>
          <w:bCs/>
          <w:color w:val="000000"/>
          <w:sz w:val="24"/>
          <w:szCs w:val="24"/>
        </w:rPr>
        <w:t>ожидается</w:t>
      </w:r>
      <w:r w:rsidRPr="00E837D2">
        <w:rPr>
          <w:spacing w:val="-2"/>
          <w:sz w:val="24"/>
          <w:szCs w:val="24"/>
        </w:rPr>
        <w:t xml:space="preserve"> снижение численности занятых в экономике на 2,6 </w:t>
      </w:r>
      <w:r w:rsidR="00567ABE" w:rsidRPr="00E837D2">
        <w:rPr>
          <w:spacing w:val="-2"/>
          <w:sz w:val="24"/>
          <w:szCs w:val="24"/>
        </w:rPr>
        <w:t xml:space="preserve">% </w:t>
      </w:r>
      <w:r w:rsidRPr="00E837D2">
        <w:rPr>
          <w:spacing w:val="-2"/>
          <w:sz w:val="24"/>
          <w:szCs w:val="24"/>
        </w:rPr>
        <w:t>- 0,1</w:t>
      </w:r>
      <w:r w:rsidR="00567ABE" w:rsidRPr="00E837D2">
        <w:rPr>
          <w:spacing w:val="-2"/>
          <w:sz w:val="24"/>
          <w:szCs w:val="24"/>
        </w:rPr>
        <w:t xml:space="preserve"> </w:t>
      </w:r>
      <w:r w:rsidR="00FD5791" w:rsidRPr="00E837D2">
        <w:rPr>
          <w:spacing w:val="-2"/>
          <w:sz w:val="24"/>
          <w:szCs w:val="24"/>
        </w:rPr>
        <w:t>% соответственно</w:t>
      </w:r>
      <w:r w:rsidRPr="00E837D2">
        <w:rPr>
          <w:spacing w:val="-2"/>
          <w:sz w:val="24"/>
          <w:szCs w:val="24"/>
        </w:rPr>
        <w:t xml:space="preserve"> по вариантам; </w:t>
      </w:r>
      <w:proofErr w:type="gramEnd"/>
    </w:p>
    <w:p w:rsidR="00200A87" w:rsidRPr="001372ED" w:rsidRDefault="00200A87" w:rsidP="00E11BE7">
      <w:pPr>
        <w:pStyle w:val="af"/>
        <w:numPr>
          <w:ilvl w:val="0"/>
          <w:numId w:val="2"/>
        </w:numPr>
        <w:spacing w:line="276" w:lineRule="auto"/>
        <w:ind w:left="0" w:firstLine="709"/>
        <w:jc w:val="both"/>
        <w:rPr>
          <w:sz w:val="24"/>
          <w:szCs w:val="24"/>
          <w:highlight w:val="cyan"/>
        </w:rPr>
      </w:pPr>
      <w:r w:rsidRPr="004272BD">
        <w:rPr>
          <w:sz w:val="24"/>
          <w:szCs w:val="24"/>
        </w:rPr>
        <w:t>- к</w:t>
      </w:r>
      <w:r w:rsidRPr="004272BD">
        <w:rPr>
          <w:bCs/>
          <w:color w:val="000000"/>
          <w:sz w:val="24"/>
          <w:szCs w:val="24"/>
        </w:rPr>
        <w:t xml:space="preserve"> 2021 году уровень безработицы прогнозируется на </w:t>
      </w:r>
      <w:r w:rsidR="00567ABE" w:rsidRPr="004272BD">
        <w:rPr>
          <w:bCs/>
          <w:color w:val="000000"/>
          <w:sz w:val="24"/>
          <w:szCs w:val="24"/>
        </w:rPr>
        <w:t xml:space="preserve">относительно невысоком </w:t>
      </w:r>
      <w:r w:rsidRPr="004272BD">
        <w:rPr>
          <w:bCs/>
          <w:color w:val="000000"/>
          <w:sz w:val="24"/>
          <w:szCs w:val="24"/>
        </w:rPr>
        <w:t xml:space="preserve">уровне </w:t>
      </w:r>
      <w:r w:rsidR="003B678F">
        <w:rPr>
          <w:bCs/>
          <w:color w:val="000000"/>
          <w:sz w:val="24"/>
          <w:szCs w:val="24"/>
        </w:rPr>
        <w:t>–</w:t>
      </w:r>
      <w:r w:rsidR="00567ABE" w:rsidRPr="004272BD">
        <w:rPr>
          <w:bCs/>
          <w:color w:val="000000"/>
          <w:sz w:val="24"/>
          <w:szCs w:val="24"/>
        </w:rPr>
        <w:t xml:space="preserve"> </w:t>
      </w:r>
      <w:r w:rsidR="003B678F">
        <w:rPr>
          <w:bCs/>
          <w:color w:val="000000"/>
          <w:sz w:val="24"/>
          <w:szCs w:val="24"/>
        </w:rPr>
        <w:t>0,84</w:t>
      </w:r>
      <w:r w:rsidR="00E1595E" w:rsidRPr="004272BD">
        <w:rPr>
          <w:bCs/>
          <w:color w:val="000000"/>
          <w:sz w:val="24"/>
          <w:szCs w:val="24"/>
        </w:rPr>
        <w:t xml:space="preserve"> % </w:t>
      </w:r>
      <w:r w:rsidRPr="004272BD">
        <w:rPr>
          <w:bCs/>
          <w:color w:val="000000"/>
          <w:sz w:val="24"/>
          <w:szCs w:val="24"/>
        </w:rPr>
        <w:t>-</w:t>
      </w:r>
      <w:r w:rsidR="00E1595E" w:rsidRPr="004272BD">
        <w:rPr>
          <w:bCs/>
          <w:color w:val="000000"/>
          <w:sz w:val="24"/>
          <w:szCs w:val="24"/>
        </w:rPr>
        <w:t xml:space="preserve"> </w:t>
      </w:r>
      <w:r w:rsidRPr="004272BD">
        <w:rPr>
          <w:bCs/>
          <w:color w:val="000000"/>
          <w:sz w:val="24"/>
          <w:szCs w:val="24"/>
        </w:rPr>
        <w:t>0,</w:t>
      </w:r>
      <w:r w:rsidR="003B678F">
        <w:rPr>
          <w:bCs/>
          <w:color w:val="000000"/>
          <w:sz w:val="24"/>
          <w:szCs w:val="24"/>
        </w:rPr>
        <w:t>76</w:t>
      </w:r>
      <w:r w:rsidR="00E1595E" w:rsidRPr="004272BD">
        <w:rPr>
          <w:bCs/>
          <w:color w:val="000000"/>
          <w:sz w:val="24"/>
          <w:szCs w:val="24"/>
        </w:rPr>
        <w:t xml:space="preserve"> </w:t>
      </w:r>
      <w:r w:rsidRPr="004272BD">
        <w:rPr>
          <w:bCs/>
          <w:color w:val="000000"/>
          <w:sz w:val="24"/>
          <w:szCs w:val="24"/>
        </w:rPr>
        <w:t>%</w:t>
      </w:r>
      <w:r w:rsidRPr="004272BD">
        <w:rPr>
          <w:spacing w:val="-2"/>
          <w:sz w:val="24"/>
          <w:szCs w:val="24"/>
        </w:rPr>
        <w:t xml:space="preserve">  соответственно по вариантам прогноза.</w:t>
      </w:r>
    </w:p>
    <w:p w:rsidR="00551475" w:rsidRPr="004272BD" w:rsidRDefault="00551475" w:rsidP="00E62254">
      <w:pPr>
        <w:pStyle w:val="af"/>
        <w:numPr>
          <w:ilvl w:val="0"/>
          <w:numId w:val="2"/>
        </w:numPr>
        <w:spacing w:line="276" w:lineRule="auto"/>
        <w:ind w:left="0" w:firstLine="0"/>
        <w:jc w:val="center"/>
        <w:rPr>
          <w:bCs/>
          <w:color w:val="000000"/>
          <w:sz w:val="24"/>
          <w:szCs w:val="24"/>
          <w:highlight w:val="yellow"/>
        </w:rPr>
      </w:pPr>
    </w:p>
    <w:p w:rsidR="00E62254" w:rsidRPr="00E837D2" w:rsidRDefault="0024525F" w:rsidP="00E62254">
      <w:pPr>
        <w:pStyle w:val="af"/>
        <w:numPr>
          <w:ilvl w:val="0"/>
          <w:numId w:val="2"/>
        </w:numPr>
        <w:spacing w:line="276" w:lineRule="auto"/>
        <w:ind w:left="0" w:firstLine="0"/>
        <w:jc w:val="center"/>
        <w:rPr>
          <w:sz w:val="24"/>
          <w:szCs w:val="24"/>
        </w:rPr>
      </w:pPr>
      <w:r w:rsidRPr="00E62254">
        <w:rPr>
          <w:b/>
          <w:sz w:val="24"/>
          <w:szCs w:val="24"/>
        </w:rPr>
        <w:t>Заработная плата</w:t>
      </w:r>
    </w:p>
    <w:p w:rsidR="00E837D2" w:rsidRPr="00E837D2" w:rsidRDefault="00E837D2" w:rsidP="00E837D2">
      <w:pPr>
        <w:pStyle w:val="af"/>
        <w:rPr>
          <w:sz w:val="24"/>
          <w:szCs w:val="24"/>
        </w:rPr>
      </w:pPr>
    </w:p>
    <w:p w:rsidR="006E3D21" w:rsidRPr="00E62254" w:rsidRDefault="00E62254" w:rsidP="00E11BE7">
      <w:pPr>
        <w:pStyle w:val="af"/>
        <w:numPr>
          <w:ilvl w:val="0"/>
          <w:numId w:val="2"/>
        </w:numPr>
        <w:spacing w:line="276" w:lineRule="auto"/>
        <w:ind w:left="0" w:firstLine="709"/>
        <w:jc w:val="both"/>
        <w:rPr>
          <w:sz w:val="24"/>
          <w:szCs w:val="24"/>
        </w:rPr>
      </w:pPr>
      <w:r>
        <w:rPr>
          <w:sz w:val="24"/>
          <w:szCs w:val="24"/>
        </w:rPr>
        <w:t>С</w:t>
      </w:r>
      <w:r w:rsidR="006E3D21" w:rsidRPr="00E62254">
        <w:rPr>
          <w:sz w:val="24"/>
          <w:szCs w:val="24"/>
        </w:rPr>
        <w:t xml:space="preserve"> учетом ожидаемых темпов развития экономики среднемесячн</w:t>
      </w:r>
      <w:r w:rsidR="00E837D2">
        <w:rPr>
          <w:sz w:val="24"/>
          <w:szCs w:val="24"/>
        </w:rPr>
        <w:t>ая</w:t>
      </w:r>
      <w:r w:rsidR="006E3D21" w:rsidRPr="00E62254">
        <w:rPr>
          <w:sz w:val="24"/>
          <w:szCs w:val="24"/>
        </w:rPr>
        <w:t xml:space="preserve"> номинальн</w:t>
      </w:r>
      <w:r w:rsidR="00E837D2">
        <w:rPr>
          <w:sz w:val="24"/>
          <w:szCs w:val="24"/>
        </w:rPr>
        <w:t>ая</w:t>
      </w:r>
      <w:r w:rsidR="006E3D21" w:rsidRPr="00E62254">
        <w:rPr>
          <w:sz w:val="24"/>
          <w:szCs w:val="24"/>
        </w:rPr>
        <w:t xml:space="preserve"> начисленн</w:t>
      </w:r>
      <w:r w:rsidR="00E837D2">
        <w:rPr>
          <w:sz w:val="24"/>
          <w:szCs w:val="24"/>
        </w:rPr>
        <w:t>ая</w:t>
      </w:r>
      <w:r w:rsidR="006E3D21" w:rsidRPr="00E62254">
        <w:rPr>
          <w:sz w:val="24"/>
          <w:szCs w:val="24"/>
        </w:rPr>
        <w:t xml:space="preserve"> заработн</w:t>
      </w:r>
      <w:r w:rsidR="00E837D2">
        <w:rPr>
          <w:sz w:val="24"/>
          <w:szCs w:val="24"/>
        </w:rPr>
        <w:t>ая</w:t>
      </w:r>
      <w:r w:rsidR="006E3D21" w:rsidRPr="00E62254">
        <w:rPr>
          <w:sz w:val="24"/>
          <w:szCs w:val="24"/>
        </w:rPr>
        <w:t xml:space="preserve"> плат</w:t>
      </w:r>
      <w:r w:rsidR="00E837D2">
        <w:rPr>
          <w:sz w:val="24"/>
          <w:szCs w:val="24"/>
        </w:rPr>
        <w:t>а</w:t>
      </w:r>
      <w:r w:rsidR="005534EA" w:rsidRPr="00E62254">
        <w:rPr>
          <w:sz w:val="24"/>
          <w:szCs w:val="24"/>
        </w:rPr>
        <w:t xml:space="preserve"> </w:t>
      </w:r>
      <w:r w:rsidR="00E837D2">
        <w:rPr>
          <w:sz w:val="24"/>
          <w:szCs w:val="24"/>
        </w:rPr>
        <w:t xml:space="preserve">работников города </w:t>
      </w:r>
      <w:r w:rsidR="005534EA" w:rsidRPr="00E62254">
        <w:rPr>
          <w:sz w:val="24"/>
          <w:szCs w:val="24"/>
        </w:rPr>
        <w:t>(далее по разделу – заработная плата)</w:t>
      </w:r>
      <w:r w:rsidR="00E837D2">
        <w:rPr>
          <w:sz w:val="24"/>
          <w:szCs w:val="24"/>
        </w:rPr>
        <w:t xml:space="preserve"> </w:t>
      </w:r>
      <w:r w:rsidR="00E837D2" w:rsidRPr="00E62254">
        <w:rPr>
          <w:sz w:val="24"/>
          <w:szCs w:val="24"/>
        </w:rPr>
        <w:t xml:space="preserve">в прогнозном периоде </w:t>
      </w:r>
      <w:r w:rsidR="00E837D2">
        <w:rPr>
          <w:sz w:val="24"/>
          <w:szCs w:val="24"/>
        </w:rPr>
        <w:t>будет расти</w:t>
      </w:r>
      <w:r w:rsidR="006E3D21" w:rsidRPr="00E62254">
        <w:rPr>
          <w:sz w:val="24"/>
          <w:szCs w:val="24"/>
        </w:rPr>
        <w:t xml:space="preserve">. </w:t>
      </w:r>
    </w:p>
    <w:p w:rsidR="004A3EE1" w:rsidRPr="004A3EE1" w:rsidRDefault="006E3D21" w:rsidP="00CB0596">
      <w:pPr>
        <w:pStyle w:val="af"/>
        <w:numPr>
          <w:ilvl w:val="0"/>
          <w:numId w:val="2"/>
        </w:numPr>
        <w:spacing w:line="276" w:lineRule="auto"/>
        <w:ind w:left="0" w:firstLine="709"/>
        <w:jc w:val="both"/>
        <w:rPr>
          <w:bCs/>
          <w:sz w:val="24"/>
          <w:szCs w:val="24"/>
          <w:lang w:eastAsia="ar-SA"/>
        </w:rPr>
      </w:pPr>
      <w:r w:rsidRPr="004A3EE1">
        <w:rPr>
          <w:sz w:val="24"/>
          <w:szCs w:val="24"/>
        </w:rPr>
        <w:lastRenderedPageBreak/>
        <w:t>При этом в 2019 году ожидается замедление темпов роста заработной платы</w:t>
      </w:r>
      <w:r w:rsidR="00E43475" w:rsidRPr="004A3EE1">
        <w:rPr>
          <w:sz w:val="24"/>
          <w:szCs w:val="24"/>
        </w:rPr>
        <w:t xml:space="preserve"> </w:t>
      </w:r>
      <w:r w:rsidRPr="004A3EE1">
        <w:rPr>
          <w:sz w:val="24"/>
          <w:szCs w:val="24"/>
        </w:rPr>
        <w:t>в первую очередь из-за формирования высокой базы 2018 год</w:t>
      </w:r>
      <w:r w:rsidR="00111B9D" w:rsidRPr="004A3EE1">
        <w:rPr>
          <w:sz w:val="24"/>
          <w:szCs w:val="24"/>
        </w:rPr>
        <w:t>а</w:t>
      </w:r>
      <w:r w:rsidRPr="004A3EE1">
        <w:rPr>
          <w:sz w:val="24"/>
          <w:szCs w:val="24"/>
        </w:rPr>
        <w:t xml:space="preserve"> (</w:t>
      </w:r>
      <w:r w:rsidR="004A3EE1" w:rsidRPr="004A3EE1">
        <w:rPr>
          <w:sz w:val="24"/>
          <w:szCs w:val="24"/>
        </w:rPr>
        <w:t xml:space="preserve">в том числе </w:t>
      </w:r>
      <w:r w:rsidRPr="004A3EE1">
        <w:rPr>
          <w:sz w:val="24"/>
          <w:szCs w:val="24"/>
        </w:rPr>
        <w:t xml:space="preserve">в результате доведения до целевого уровня оплаты труда работников социальной сферы, а также доведения размера МРОТ до прожиточного минимума). </w:t>
      </w:r>
    </w:p>
    <w:p w:rsidR="006E3D21" w:rsidRPr="004A3EE1" w:rsidRDefault="003B678F" w:rsidP="00CB0596">
      <w:pPr>
        <w:pStyle w:val="af"/>
        <w:numPr>
          <w:ilvl w:val="0"/>
          <w:numId w:val="2"/>
        </w:numPr>
        <w:spacing w:line="276" w:lineRule="auto"/>
        <w:ind w:left="0" w:firstLine="709"/>
        <w:jc w:val="both"/>
        <w:rPr>
          <w:bCs/>
          <w:sz w:val="24"/>
          <w:szCs w:val="24"/>
          <w:lang w:eastAsia="ar-SA"/>
        </w:rPr>
      </w:pPr>
      <w:r w:rsidRPr="004A3EE1">
        <w:rPr>
          <w:sz w:val="24"/>
          <w:szCs w:val="24"/>
        </w:rPr>
        <w:t>В</w:t>
      </w:r>
      <w:r w:rsidR="006E3D21" w:rsidRPr="004A3EE1">
        <w:rPr>
          <w:sz w:val="24"/>
          <w:szCs w:val="24"/>
        </w:rPr>
        <w:t xml:space="preserve"> целом за прогнозный период 2019 – 2021 годов с учетом планируемых темпов повышения заработной платы </w:t>
      </w:r>
      <w:r w:rsidR="002C4510" w:rsidRPr="004A3EE1">
        <w:rPr>
          <w:sz w:val="24"/>
          <w:szCs w:val="24"/>
        </w:rPr>
        <w:t>на крупных предприятиях города</w:t>
      </w:r>
      <w:r w:rsidR="006B1CB6" w:rsidRPr="004A3EE1">
        <w:rPr>
          <w:sz w:val="24"/>
          <w:szCs w:val="24"/>
        </w:rPr>
        <w:t>, а также</w:t>
      </w:r>
      <w:r w:rsidR="002C4510" w:rsidRPr="004A3EE1">
        <w:rPr>
          <w:sz w:val="24"/>
          <w:szCs w:val="24"/>
        </w:rPr>
        <w:t xml:space="preserve"> </w:t>
      </w:r>
      <w:r w:rsidR="006E3D21" w:rsidRPr="004A3EE1">
        <w:rPr>
          <w:sz w:val="24"/>
          <w:szCs w:val="24"/>
        </w:rPr>
        <w:t>отдельным категориям работников бюджетной сферы в соответствии с реализацией планов мероприятий («дорожных карт») по совершенствованию оплаты труда в сфере культуры, образования и физической культуры, заработная плата может увеличиться на 16,3</w:t>
      </w:r>
      <w:r w:rsidR="00567ABE" w:rsidRPr="004A3EE1">
        <w:rPr>
          <w:sz w:val="24"/>
          <w:szCs w:val="24"/>
        </w:rPr>
        <w:t xml:space="preserve"> %, </w:t>
      </w:r>
      <w:r w:rsidR="006E3D21" w:rsidRPr="004A3EE1">
        <w:rPr>
          <w:sz w:val="24"/>
          <w:szCs w:val="24"/>
        </w:rPr>
        <w:t>19,2</w:t>
      </w:r>
      <w:r w:rsidR="00567ABE" w:rsidRPr="004A3EE1">
        <w:rPr>
          <w:sz w:val="24"/>
          <w:szCs w:val="24"/>
        </w:rPr>
        <w:t xml:space="preserve"> %, </w:t>
      </w:r>
      <w:r w:rsidR="006E3D21" w:rsidRPr="004A3EE1">
        <w:rPr>
          <w:sz w:val="24"/>
          <w:szCs w:val="24"/>
        </w:rPr>
        <w:t>22,4 % по трем вариантам соответственно</w:t>
      </w:r>
      <w:r w:rsidR="006E3D21" w:rsidRPr="004A3EE1">
        <w:rPr>
          <w:bCs/>
          <w:sz w:val="24"/>
          <w:szCs w:val="24"/>
          <w:lang w:eastAsia="ar-SA"/>
        </w:rPr>
        <w:t xml:space="preserve"> (в реальном выражении – на 3,4</w:t>
      </w:r>
      <w:r w:rsidR="00567ABE" w:rsidRPr="004A3EE1">
        <w:rPr>
          <w:bCs/>
          <w:sz w:val="24"/>
          <w:szCs w:val="24"/>
          <w:lang w:eastAsia="ar-SA"/>
        </w:rPr>
        <w:t xml:space="preserve"> %, </w:t>
      </w:r>
      <w:r w:rsidR="006E3D21" w:rsidRPr="004A3EE1">
        <w:rPr>
          <w:bCs/>
          <w:sz w:val="24"/>
          <w:szCs w:val="24"/>
          <w:lang w:eastAsia="ar-SA"/>
        </w:rPr>
        <w:t>5,9</w:t>
      </w:r>
      <w:r w:rsidR="00567ABE" w:rsidRPr="004A3EE1">
        <w:rPr>
          <w:bCs/>
          <w:sz w:val="24"/>
          <w:szCs w:val="24"/>
          <w:lang w:eastAsia="ar-SA"/>
        </w:rPr>
        <w:t xml:space="preserve"> %, </w:t>
      </w:r>
      <w:r w:rsidR="006E3D21" w:rsidRPr="004A3EE1">
        <w:rPr>
          <w:bCs/>
          <w:sz w:val="24"/>
          <w:szCs w:val="24"/>
          <w:lang w:eastAsia="ar-SA"/>
        </w:rPr>
        <w:t>8,7</w:t>
      </w:r>
      <w:r w:rsidR="00567ABE" w:rsidRPr="004A3EE1">
        <w:rPr>
          <w:bCs/>
          <w:sz w:val="24"/>
          <w:szCs w:val="24"/>
          <w:lang w:eastAsia="ar-SA"/>
        </w:rPr>
        <w:t xml:space="preserve"> </w:t>
      </w:r>
      <w:r w:rsidR="006E3D21" w:rsidRPr="004A3EE1">
        <w:rPr>
          <w:bCs/>
          <w:sz w:val="24"/>
          <w:szCs w:val="24"/>
          <w:lang w:eastAsia="ar-SA"/>
        </w:rPr>
        <w:t>%).</w:t>
      </w:r>
    </w:p>
    <w:p w:rsidR="006E3D21" w:rsidRPr="004272BD" w:rsidRDefault="006E3D21" w:rsidP="00E11BE7">
      <w:pPr>
        <w:numPr>
          <w:ilvl w:val="0"/>
          <w:numId w:val="2"/>
        </w:numPr>
        <w:spacing w:after="0"/>
        <w:ind w:left="0" w:firstLine="709"/>
        <w:jc w:val="both"/>
        <w:rPr>
          <w:rFonts w:ascii="Times New Roman" w:hAnsi="Times New Roman"/>
          <w:sz w:val="24"/>
          <w:szCs w:val="24"/>
        </w:rPr>
      </w:pPr>
      <w:r w:rsidRPr="004272BD">
        <w:rPr>
          <w:rFonts w:ascii="Times New Roman" w:hAnsi="Times New Roman"/>
          <w:sz w:val="24"/>
          <w:szCs w:val="24"/>
        </w:rPr>
        <w:t>Обеспечение социально уязвимых групп населения и социальные обязательства перед населением городского округа будут выполняться в приоритетном порядке в соответствии с действующим законодательством.</w:t>
      </w:r>
    </w:p>
    <w:p w:rsidR="0024525F" w:rsidRPr="004272BD" w:rsidRDefault="0024525F" w:rsidP="004272BD">
      <w:pPr>
        <w:spacing w:after="0"/>
        <w:ind w:firstLine="709"/>
        <w:jc w:val="both"/>
        <w:rPr>
          <w:rFonts w:ascii="Times New Roman" w:hAnsi="Times New Roman"/>
          <w:b/>
          <w:sz w:val="24"/>
          <w:szCs w:val="24"/>
          <w:highlight w:val="yellow"/>
        </w:rPr>
      </w:pPr>
    </w:p>
    <w:p w:rsidR="00252845" w:rsidRPr="004272BD" w:rsidRDefault="00252845" w:rsidP="004272BD">
      <w:pPr>
        <w:spacing w:after="0"/>
        <w:jc w:val="center"/>
        <w:rPr>
          <w:rFonts w:ascii="Times New Roman" w:hAnsi="Times New Roman"/>
          <w:b/>
          <w:sz w:val="24"/>
          <w:szCs w:val="24"/>
        </w:rPr>
      </w:pPr>
      <w:r w:rsidRPr="004272BD">
        <w:rPr>
          <w:rFonts w:ascii="Times New Roman" w:hAnsi="Times New Roman"/>
          <w:b/>
          <w:sz w:val="24"/>
          <w:szCs w:val="24"/>
        </w:rPr>
        <w:t>Транспорт</w:t>
      </w:r>
    </w:p>
    <w:p w:rsidR="002C4510" w:rsidRPr="004272BD" w:rsidRDefault="002C4510" w:rsidP="004272BD">
      <w:pPr>
        <w:spacing w:after="0"/>
        <w:ind w:firstLine="709"/>
        <w:jc w:val="both"/>
        <w:rPr>
          <w:rFonts w:ascii="Times New Roman" w:hAnsi="Times New Roman"/>
          <w:b/>
          <w:sz w:val="24"/>
          <w:szCs w:val="24"/>
        </w:rPr>
      </w:pPr>
    </w:p>
    <w:p w:rsidR="00FB6465" w:rsidRPr="004272BD" w:rsidRDefault="00FB6465" w:rsidP="00E11BE7">
      <w:pPr>
        <w:pStyle w:val="aa"/>
        <w:widowControl w:val="0"/>
        <w:spacing w:before="0" w:after="0" w:line="276" w:lineRule="auto"/>
        <w:ind w:firstLine="709"/>
        <w:jc w:val="both"/>
      </w:pPr>
      <w:r w:rsidRPr="004272BD">
        <w:t>В прогнозном периоде по всем трем вариантам прогноза ожидается рост грузооборота к концу 2021 года по сравнению с 2018 годом: по первому варианту - 6,2 %, 15,1 % по второму и 22,4 % по третьему вариантам</w:t>
      </w:r>
      <w:r w:rsidR="00520251">
        <w:t xml:space="preserve"> прогноза</w:t>
      </w:r>
      <w:r w:rsidRPr="004272BD">
        <w:t xml:space="preserve">. Ожидается рост конкурентоспособной среды на рынке автомобильных грузоперевозок, что приведет к повышению качества услуг и увеличению грузооборота. </w:t>
      </w:r>
    </w:p>
    <w:p w:rsidR="00FB6465" w:rsidRPr="004272BD" w:rsidRDefault="00FB6465" w:rsidP="00E11BE7">
      <w:pPr>
        <w:pStyle w:val="aa"/>
        <w:widowControl w:val="0"/>
        <w:spacing w:before="0" w:after="0" w:line="276" w:lineRule="auto"/>
        <w:ind w:firstLine="709"/>
        <w:jc w:val="both"/>
      </w:pPr>
      <w:r w:rsidRPr="004272BD">
        <w:t xml:space="preserve">Положительное влияние на рост показателя окажет увеличение объемов производства и отгрузки промышленной продукции на территории городского округа Тольятти, реализация новых инвестиционных проектов. </w:t>
      </w:r>
    </w:p>
    <w:p w:rsidR="00FB6465" w:rsidRPr="004272BD" w:rsidRDefault="00FB6465" w:rsidP="00E11BE7">
      <w:pPr>
        <w:pStyle w:val="aa"/>
        <w:widowControl w:val="0"/>
        <w:spacing w:before="0" w:after="0" w:line="276" w:lineRule="auto"/>
        <w:ind w:firstLine="709"/>
        <w:jc w:val="both"/>
      </w:pPr>
      <w:r w:rsidRPr="004272BD">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Тольятти является одним из важных вопросов местного значения. </w:t>
      </w:r>
    </w:p>
    <w:p w:rsidR="00FB6465"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lang w:eastAsia="ar-SA"/>
        </w:rPr>
        <w:t xml:space="preserve">По всем трем вариантам прогнозируется увеличение объемов пассажирооборота. Улучшение показателя может произойти за счет обновления подвижного состава на более комфортабельные и вместительные автобусы и троллейбусы, усиления контрольно-ревизионной службы, увеличения реальных доходов и деловой активности населения. </w:t>
      </w:r>
    </w:p>
    <w:p w:rsidR="00FB6465" w:rsidRPr="004272BD" w:rsidRDefault="00FB6465" w:rsidP="00E11BE7">
      <w:pPr>
        <w:pStyle w:val="aa"/>
        <w:widowControl w:val="0"/>
        <w:spacing w:before="0" w:after="0" w:line="276" w:lineRule="auto"/>
        <w:ind w:firstLine="709"/>
        <w:jc w:val="both"/>
      </w:pPr>
      <w:r w:rsidRPr="004272BD">
        <w:t>Гибкость тарифной политики перевозчиков, повышение качества предоставляемых услуг также окажет влияние на рост показателя: в 2021 году ожидается увеличение пассажирооборота к уровню 2018 года на 2,6 %, 5,1 % и 5,</w:t>
      </w:r>
      <w:r w:rsidR="00D97270">
        <w:t>3</w:t>
      </w:r>
      <w:r w:rsidRPr="004272BD">
        <w:t xml:space="preserve"> % по трем вариантам прогноза соответственно. </w:t>
      </w:r>
    </w:p>
    <w:p w:rsidR="00FB6465" w:rsidRPr="004272BD" w:rsidRDefault="00FB6465" w:rsidP="00E11BE7">
      <w:pPr>
        <w:pStyle w:val="aa"/>
        <w:widowControl w:val="0"/>
        <w:spacing w:before="0" w:after="0" w:line="276" w:lineRule="auto"/>
        <w:ind w:firstLine="709"/>
        <w:jc w:val="both"/>
      </w:pPr>
      <w:r w:rsidRPr="004272BD">
        <w:t>В прогнозном периоде будут прорабатываться вопросы повышения качества и доступности транспортных услуг, увеличения доли обеспеченности нового подвижного состава парка муниципальных транспортных предприятий, в связи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города.</w:t>
      </w:r>
    </w:p>
    <w:p w:rsidR="00252845" w:rsidRPr="004272BD" w:rsidRDefault="00252845" w:rsidP="004272BD">
      <w:pPr>
        <w:spacing w:after="0"/>
        <w:ind w:firstLine="709"/>
        <w:jc w:val="both"/>
        <w:rPr>
          <w:rFonts w:ascii="Times New Roman" w:hAnsi="Times New Roman"/>
          <w:b/>
          <w:sz w:val="24"/>
          <w:szCs w:val="24"/>
          <w:highlight w:val="yellow"/>
        </w:rPr>
      </w:pPr>
    </w:p>
    <w:p w:rsidR="00252845" w:rsidRPr="004272BD" w:rsidRDefault="00252845" w:rsidP="004272BD">
      <w:pPr>
        <w:spacing w:after="0"/>
        <w:jc w:val="center"/>
        <w:rPr>
          <w:rFonts w:ascii="Times New Roman" w:hAnsi="Times New Roman"/>
          <w:b/>
          <w:sz w:val="24"/>
          <w:szCs w:val="24"/>
        </w:rPr>
      </w:pPr>
      <w:r w:rsidRPr="004272BD">
        <w:rPr>
          <w:rFonts w:ascii="Times New Roman" w:hAnsi="Times New Roman"/>
          <w:b/>
          <w:sz w:val="24"/>
          <w:szCs w:val="24"/>
        </w:rPr>
        <w:t>Связь</w:t>
      </w:r>
    </w:p>
    <w:p w:rsidR="00FB6465"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В 2019-2021 годах ожидается дальнейшее развитие услуг в сфере связи. Телефонизация неразрывно связана с развитием первичной сети, заменой физически и </w:t>
      </w:r>
      <w:r w:rsidRPr="004272BD">
        <w:rPr>
          <w:rFonts w:ascii="Times New Roman" w:hAnsi="Times New Roman"/>
          <w:sz w:val="24"/>
          <w:szCs w:val="24"/>
        </w:rPr>
        <w:lastRenderedPageBreak/>
        <w:t xml:space="preserve">морально устаревшего оборудования на значительных участках региональных сетей, а также внедрением новых технологий. </w:t>
      </w:r>
    </w:p>
    <w:p w:rsidR="00FB6465"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Наряду с развитием традиционных видов связи планируется расширение сетей сотовой связи (в том числе развитие технологии LTE), Интернета, IP-телефонии, интеллектуальных сетей и других видов связи. </w:t>
      </w:r>
    </w:p>
    <w:p w:rsidR="002163EF"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rPr>
        <w:t>По консервативному варианту развития в 2019 – 2021 годах с учетом умеренных темпов роста доходов, население будет более тщательно подходить к тратам на связь</w:t>
      </w:r>
      <w:r w:rsidR="002163EF" w:rsidRPr="004272BD">
        <w:rPr>
          <w:rFonts w:ascii="Times New Roman" w:hAnsi="Times New Roman"/>
          <w:sz w:val="24"/>
          <w:szCs w:val="24"/>
        </w:rPr>
        <w:t>.</w:t>
      </w:r>
    </w:p>
    <w:p w:rsidR="008454B0" w:rsidRPr="004272BD" w:rsidRDefault="008454B0" w:rsidP="00E11BE7">
      <w:pPr>
        <w:spacing w:after="0"/>
        <w:ind w:firstLine="709"/>
        <w:jc w:val="both"/>
        <w:rPr>
          <w:rFonts w:ascii="Times New Roman" w:hAnsi="Times New Roman"/>
          <w:sz w:val="24"/>
          <w:szCs w:val="24"/>
        </w:rPr>
      </w:pPr>
      <w:r w:rsidRPr="004272BD">
        <w:rPr>
          <w:rFonts w:ascii="Times New Roman" w:hAnsi="Times New Roman"/>
          <w:sz w:val="24"/>
          <w:szCs w:val="24"/>
        </w:rPr>
        <w:t>Ожидается существенное ослабление интереса у населения к телефонной стационарной связи. Количество операторов стационарной связи пойдет на спад, они направят свои силы на развитие более востребованных услуг, таких как интернет, IP-TV. Количество абонентов домашнего интернета будет уменьшатся в связи с тем, что абоненты будут искать более дешевые варианты выхода в интернет, такие как мобильный интернет. Число таксофонов также будет снижаться, так как они не пользуются спросом.</w:t>
      </w:r>
    </w:p>
    <w:p w:rsidR="00FB6465" w:rsidRPr="004272BD" w:rsidRDefault="0001396C" w:rsidP="00E11BE7">
      <w:pPr>
        <w:spacing w:after="0"/>
        <w:ind w:firstLine="709"/>
        <w:jc w:val="both"/>
        <w:rPr>
          <w:rFonts w:ascii="Times New Roman" w:hAnsi="Times New Roman"/>
          <w:sz w:val="24"/>
          <w:szCs w:val="24"/>
        </w:rPr>
      </w:pPr>
      <w:r w:rsidRPr="004272BD">
        <w:rPr>
          <w:rFonts w:ascii="Times New Roman" w:hAnsi="Times New Roman"/>
          <w:sz w:val="24"/>
          <w:szCs w:val="24"/>
        </w:rPr>
        <w:t>По б</w:t>
      </w:r>
      <w:r w:rsidR="00FB6465" w:rsidRPr="004272BD">
        <w:rPr>
          <w:rFonts w:ascii="Times New Roman" w:hAnsi="Times New Roman"/>
          <w:sz w:val="24"/>
          <w:szCs w:val="24"/>
        </w:rPr>
        <w:t>азов</w:t>
      </w:r>
      <w:r w:rsidRPr="004272BD">
        <w:rPr>
          <w:rFonts w:ascii="Times New Roman" w:hAnsi="Times New Roman"/>
          <w:sz w:val="24"/>
          <w:szCs w:val="24"/>
        </w:rPr>
        <w:t>ому</w:t>
      </w:r>
      <w:r w:rsidR="00FB6465" w:rsidRPr="004272BD">
        <w:rPr>
          <w:rFonts w:ascii="Times New Roman" w:hAnsi="Times New Roman"/>
          <w:sz w:val="24"/>
          <w:szCs w:val="24"/>
        </w:rPr>
        <w:t xml:space="preserve"> и целево</w:t>
      </w:r>
      <w:r w:rsidRPr="004272BD">
        <w:rPr>
          <w:rFonts w:ascii="Times New Roman" w:hAnsi="Times New Roman"/>
          <w:sz w:val="24"/>
          <w:szCs w:val="24"/>
        </w:rPr>
        <w:t>му</w:t>
      </w:r>
      <w:r w:rsidR="00FB6465" w:rsidRPr="004272BD">
        <w:rPr>
          <w:rFonts w:ascii="Times New Roman" w:hAnsi="Times New Roman"/>
          <w:sz w:val="24"/>
          <w:szCs w:val="24"/>
        </w:rPr>
        <w:t xml:space="preserve"> вариант</w:t>
      </w:r>
      <w:r w:rsidRPr="004272BD">
        <w:rPr>
          <w:rFonts w:ascii="Times New Roman" w:hAnsi="Times New Roman"/>
          <w:sz w:val="24"/>
          <w:szCs w:val="24"/>
        </w:rPr>
        <w:t>ам</w:t>
      </w:r>
      <w:r w:rsidR="00FB6465" w:rsidRPr="004272BD">
        <w:rPr>
          <w:rFonts w:ascii="Times New Roman" w:hAnsi="Times New Roman"/>
          <w:sz w:val="24"/>
          <w:szCs w:val="24"/>
        </w:rPr>
        <w:t xml:space="preserve"> </w:t>
      </w:r>
      <w:r w:rsidRPr="004272BD">
        <w:rPr>
          <w:rFonts w:ascii="Times New Roman" w:hAnsi="Times New Roman"/>
          <w:sz w:val="24"/>
          <w:szCs w:val="24"/>
        </w:rPr>
        <w:t xml:space="preserve">объем услуг связи в прогнозном периоде будет расти </w:t>
      </w:r>
      <w:r w:rsidR="00FB6465" w:rsidRPr="004272BD">
        <w:rPr>
          <w:rFonts w:ascii="Times New Roman" w:hAnsi="Times New Roman"/>
          <w:sz w:val="24"/>
          <w:szCs w:val="24"/>
        </w:rPr>
        <w:t>более высокими темпами.</w:t>
      </w:r>
    </w:p>
    <w:p w:rsidR="00FB6465"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Так, </w:t>
      </w:r>
      <w:r w:rsidR="00EB7739">
        <w:rPr>
          <w:rFonts w:ascii="Times New Roman" w:hAnsi="Times New Roman"/>
          <w:sz w:val="24"/>
          <w:szCs w:val="24"/>
        </w:rPr>
        <w:t>за</w:t>
      </w:r>
      <w:r w:rsidRPr="004272BD">
        <w:rPr>
          <w:rFonts w:ascii="Times New Roman" w:hAnsi="Times New Roman"/>
          <w:sz w:val="24"/>
          <w:szCs w:val="24"/>
        </w:rPr>
        <w:t xml:space="preserve"> период 2018 – 2021 годов рост показателя в действующих ценах может составить</w:t>
      </w:r>
      <w:r w:rsidR="0001396C" w:rsidRPr="004272BD">
        <w:rPr>
          <w:rFonts w:ascii="Times New Roman" w:hAnsi="Times New Roman"/>
          <w:sz w:val="24"/>
          <w:szCs w:val="24"/>
        </w:rPr>
        <w:t>: по базовому варианту -</w:t>
      </w:r>
      <w:r w:rsidRPr="004272BD">
        <w:rPr>
          <w:rFonts w:ascii="Times New Roman" w:hAnsi="Times New Roman"/>
          <w:sz w:val="24"/>
          <w:szCs w:val="24"/>
        </w:rPr>
        <w:t xml:space="preserve"> 19,2 %</w:t>
      </w:r>
      <w:r w:rsidR="0001396C" w:rsidRPr="004272BD">
        <w:rPr>
          <w:rFonts w:ascii="Times New Roman" w:hAnsi="Times New Roman"/>
          <w:sz w:val="24"/>
          <w:szCs w:val="24"/>
        </w:rPr>
        <w:t xml:space="preserve"> до</w:t>
      </w:r>
      <w:r w:rsidR="002163EF" w:rsidRPr="004272BD">
        <w:rPr>
          <w:rFonts w:ascii="Times New Roman" w:hAnsi="Times New Roman"/>
          <w:sz w:val="24"/>
          <w:szCs w:val="24"/>
        </w:rPr>
        <w:t xml:space="preserve"> 3 226,0</w:t>
      </w:r>
      <w:r w:rsidR="0001396C" w:rsidRPr="004272BD">
        <w:rPr>
          <w:rFonts w:ascii="Times New Roman" w:hAnsi="Times New Roman"/>
          <w:sz w:val="24"/>
          <w:szCs w:val="24"/>
        </w:rPr>
        <w:t xml:space="preserve"> млн. рублей, по целевому варианту </w:t>
      </w:r>
      <w:r w:rsidR="008454B0" w:rsidRPr="004272BD">
        <w:rPr>
          <w:rFonts w:ascii="Times New Roman" w:hAnsi="Times New Roman"/>
          <w:sz w:val="24"/>
          <w:szCs w:val="24"/>
        </w:rPr>
        <w:t>–</w:t>
      </w:r>
      <w:r w:rsidR="0001396C" w:rsidRPr="004272BD">
        <w:rPr>
          <w:rFonts w:ascii="Times New Roman" w:hAnsi="Times New Roman"/>
          <w:sz w:val="24"/>
          <w:szCs w:val="24"/>
        </w:rPr>
        <w:t xml:space="preserve"> </w:t>
      </w:r>
      <w:r w:rsidR="008454B0" w:rsidRPr="004272BD">
        <w:rPr>
          <w:rFonts w:ascii="Times New Roman" w:hAnsi="Times New Roman"/>
          <w:sz w:val="24"/>
          <w:szCs w:val="24"/>
        </w:rPr>
        <w:t>22,4 %</w:t>
      </w:r>
      <w:r w:rsidR="002163EF" w:rsidRPr="004272BD">
        <w:rPr>
          <w:rFonts w:ascii="Times New Roman" w:hAnsi="Times New Roman"/>
          <w:sz w:val="24"/>
          <w:szCs w:val="24"/>
        </w:rPr>
        <w:t xml:space="preserve"> до 3 311,5 млн. рублей.</w:t>
      </w:r>
    </w:p>
    <w:p w:rsidR="005A3768" w:rsidRPr="004272BD" w:rsidRDefault="00FB6465"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 </w:t>
      </w:r>
      <w:r w:rsidR="005A3768" w:rsidRPr="004272BD">
        <w:rPr>
          <w:rFonts w:ascii="Times New Roman" w:hAnsi="Times New Roman"/>
          <w:sz w:val="24"/>
          <w:szCs w:val="24"/>
        </w:rPr>
        <w:t>Ожидается стабильное и планомерное развитие рынка мобильной связи на территории городского округа Тольятти: продолжится внедрение протокола беспроводного доступа в сеть Интернет по различным технологиям операторами сотовой связи и провайдерами Интернет (услуги широкополосного высокоскоростного доступа в Интернет как по технологии 3G, 4G модем, так и по технологии «оптика до здания» - FTTB).</w:t>
      </w:r>
    </w:p>
    <w:p w:rsidR="005A3768" w:rsidRPr="004272BD" w:rsidRDefault="005A3768"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Количество операторов </w:t>
      </w:r>
      <w:r w:rsidR="00546D5E" w:rsidRPr="004272BD">
        <w:rPr>
          <w:rFonts w:ascii="Times New Roman" w:hAnsi="Times New Roman"/>
          <w:sz w:val="24"/>
          <w:szCs w:val="24"/>
        </w:rPr>
        <w:t>связи</w:t>
      </w:r>
      <w:r w:rsidRPr="004272BD">
        <w:rPr>
          <w:rFonts w:ascii="Times New Roman" w:hAnsi="Times New Roman"/>
          <w:sz w:val="24"/>
          <w:szCs w:val="24"/>
        </w:rPr>
        <w:t xml:space="preserve">, в основном, останется на прежнем уровне. Прирост абонентов Интернета будет небольшим, но стабильным. Доступ в сеть интернет станет основой, на которой в течение следующих лет будут развиваться и другие современные телекоммуникационные услуги. К примеру, </w:t>
      </w:r>
      <w:proofErr w:type="spellStart"/>
      <w:r w:rsidRPr="004272BD">
        <w:rPr>
          <w:rFonts w:ascii="Times New Roman" w:hAnsi="Times New Roman"/>
          <w:sz w:val="24"/>
          <w:szCs w:val="24"/>
        </w:rPr>
        <w:t>IP-TVc</w:t>
      </w:r>
      <w:proofErr w:type="spellEnd"/>
      <w:r w:rsidRPr="004272BD">
        <w:rPr>
          <w:rFonts w:ascii="Times New Roman" w:hAnsi="Times New Roman"/>
          <w:sz w:val="24"/>
          <w:szCs w:val="24"/>
        </w:rPr>
        <w:t xml:space="preserve"> неограниченным количеством, телевизионных каналов, SIP-телефония с возможностью видеосвязи и многие другие.</w:t>
      </w:r>
    </w:p>
    <w:p w:rsidR="005A3768" w:rsidRPr="004272BD" w:rsidRDefault="005A3768" w:rsidP="00E11BE7">
      <w:pPr>
        <w:spacing w:after="0"/>
        <w:ind w:firstLine="709"/>
        <w:jc w:val="both"/>
        <w:rPr>
          <w:rFonts w:ascii="Times New Roman" w:hAnsi="Times New Roman"/>
          <w:sz w:val="24"/>
          <w:szCs w:val="24"/>
        </w:rPr>
      </w:pPr>
      <w:r w:rsidRPr="004272BD">
        <w:rPr>
          <w:rFonts w:ascii="Times New Roman" w:hAnsi="Times New Roman"/>
          <w:sz w:val="24"/>
          <w:szCs w:val="24"/>
        </w:rPr>
        <w:t>Работа операторов телевидения в городском округе Тольятти направлена на увеличение количества транслируемых каналов по линиям кабельного телевидения, а также на увеличение количества транслируемых программ, улучшению качества предоставляемых услуг и др</w:t>
      </w:r>
      <w:r w:rsidR="00144879">
        <w:rPr>
          <w:rFonts w:ascii="Times New Roman" w:hAnsi="Times New Roman"/>
          <w:sz w:val="24"/>
          <w:szCs w:val="24"/>
        </w:rPr>
        <w:t>угое</w:t>
      </w:r>
      <w:r w:rsidRPr="004272BD">
        <w:rPr>
          <w:rFonts w:ascii="Times New Roman" w:hAnsi="Times New Roman"/>
          <w:sz w:val="24"/>
          <w:szCs w:val="24"/>
        </w:rPr>
        <w:t>.</w:t>
      </w:r>
    </w:p>
    <w:p w:rsidR="00FB6465" w:rsidRPr="004272BD" w:rsidRDefault="005A3768" w:rsidP="00E11BE7">
      <w:pPr>
        <w:spacing w:after="0"/>
        <w:ind w:firstLine="709"/>
        <w:jc w:val="both"/>
        <w:rPr>
          <w:rFonts w:ascii="Times New Roman" w:hAnsi="Times New Roman"/>
          <w:sz w:val="24"/>
          <w:szCs w:val="24"/>
        </w:rPr>
      </w:pPr>
      <w:r w:rsidRPr="004272BD">
        <w:rPr>
          <w:rFonts w:ascii="Times New Roman" w:hAnsi="Times New Roman"/>
          <w:sz w:val="24"/>
          <w:szCs w:val="24"/>
        </w:rPr>
        <w:t>Таким образом, п</w:t>
      </w:r>
      <w:r w:rsidR="00FB6465" w:rsidRPr="004272BD">
        <w:rPr>
          <w:rFonts w:ascii="Times New Roman" w:hAnsi="Times New Roman"/>
          <w:sz w:val="24"/>
          <w:szCs w:val="24"/>
        </w:rPr>
        <w:t xml:space="preserve">оложительная динамика показателя в прогнозном периоде будет обусловлена ростом числа дополнительных сервисов </w:t>
      </w:r>
      <w:r w:rsidR="00546D5E" w:rsidRPr="004272BD">
        <w:rPr>
          <w:rFonts w:ascii="Times New Roman" w:hAnsi="Times New Roman"/>
          <w:sz w:val="24"/>
          <w:szCs w:val="24"/>
        </w:rPr>
        <w:t>и внедрением новых видов услуг.</w:t>
      </w:r>
    </w:p>
    <w:p w:rsidR="0001441B" w:rsidRDefault="0001441B" w:rsidP="00287325">
      <w:pPr>
        <w:spacing w:after="0" w:line="312" w:lineRule="auto"/>
        <w:ind w:firstLine="709"/>
        <w:jc w:val="both"/>
        <w:rPr>
          <w:rFonts w:ascii="Times New Roman" w:hAnsi="Times New Roman"/>
          <w:b/>
          <w:sz w:val="24"/>
          <w:szCs w:val="24"/>
        </w:rPr>
      </w:pPr>
    </w:p>
    <w:p w:rsidR="0024525F" w:rsidRPr="004272BD" w:rsidRDefault="0024525F" w:rsidP="00287325">
      <w:pPr>
        <w:spacing w:after="0" w:line="312" w:lineRule="auto"/>
        <w:jc w:val="center"/>
        <w:rPr>
          <w:rFonts w:ascii="Times New Roman" w:hAnsi="Times New Roman"/>
          <w:b/>
          <w:sz w:val="24"/>
          <w:szCs w:val="24"/>
        </w:rPr>
      </w:pPr>
      <w:r w:rsidRPr="004272BD">
        <w:rPr>
          <w:rFonts w:ascii="Times New Roman" w:hAnsi="Times New Roman"/>
          <w:b/>
          <w:sz w:val="24"/>
          <w:szCs w:val="24"/>
        </w:rPr>
        <w:t>Образование</w:t>
      </w:r>
    </w:p>
    <w:p w:rsidR="0024525F" w:rsidRPr="004272BD" w:rsidRDefault="0024525F" w:rsidP="00287325">
      <w:pPr>
        <w:spacing w:after="0" w:line="312" w:lineRule="auto"/>
        <w:ind w:firstLine="709"/>
        <w:jc w:val="both"/>
        <w:rPr>
          <w:rFonts w:ascii="Times New Roman" w:hAnsi="Times New Roman"/>
          <w:sz w:val="24"/>
          <w:szCs w:val="24"/>
          <w:highlight w:val="yellow"/>
        </w:rPr>
      </w:pPr>
    </w:p>
    <w:p w:rsidR="00DA5647" w:rsidRPr="004272BD" w:rsidRDefault="00DA5647" w:rsidP="00E11BE7">
      <w:pPr>
        <w:pStyle w:val="a6"/>
        <w:spacing w:after="0"/>
        <w:ind w:firstLine="709"/>
        <w:jc w:val="both"/>
        <w:rPr>
          <w:rFonts w:ascii="Times New Roman" w:hAnsi="Times New Roman" w:cs="Times New Roman"/>
          <w:sz w:val="24"/>
          <w:szCs w:val="24"/>
        </w:rPr>
      </w:pPr>
      <w:r w:rsidRPr="004272BD">
        <w:rPr>
          <w:rFonts w:ascii="Times New Roman" w:hAnsi="Times New Roman" w:cs="Times New Roman"/>
          <w:sz w:val="24"/>
          <w:szCs w:val="24"/>
        </w:rPr>
        <w:t>Отрасль образования - одна из важнейшей составляющих социальной сферы городского округа Тольятти, развитие которой в прогнозном периоде является приоритетным направлением деятельности.</w:t>
      </w:r>
    </w:p>
    <w:p w:rsidR="00DA5647" w:rsidRPr="004272BD" w:rsidRDefault="00DA5647" w:rsidP="00E11BE7">
      <w:pPr>
        <w:widowControl w:val="0"/>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В прогнозном периоде на территории городского округа Тольятти продолжится реализация мероприятий по созданию дополнительных мест. Проблема дефицита мест в дошкольных учреждениях будет решаться за сч</w:t>
      </w:r>
      <w:r w:rsidR="00383022" w:rsidRPr="004272BD">
        <w:rPr>
          <w:rFonts w:ascii="Times New Roman" w:hAnsi="Times New Roman"/>
          <w:sz w:val="24"/>
          <w:szCs w:val="24"/>
          <w:lang w:eastAsia="ar-SA"/>
        </w:rPr>
        <w:t>е</w:t>
      </w:r>
      <w:r w:rsidRPr="004272BD">
        <w:rPr>
          <w:rFonts w:ascii="Times New Roman" w:hAnsi="Times New Roman"/>
          <w:sz w:val="24"/>
          <w:szCs w:val="24"/>
          <w:lang w:eastAsia="ar-SA"/>
        </w:rPr>
        <w:t xml:space="preserve">т строительства новых дошкольных учреждений, реконструкции ранее нефункционирующих учреждений, открытия групп на </w:t>
      </w:r>
      <w:r w:rsidRPr="004272BD">
        <w:rPr>
          <w:rFonts w:ascii="Times New Roman" w:hAnsi="Times New Roman"/>
          <w:sz w:val="24"/>
          <w:szCs w:val="24"/>
          <w:lang w:eastAsia="ar-SA"/>
        </w:rPr>
        <w:lastRenderedPageBreak/>
        <w:t>базе образовательных учреждений.</w:t>
      </w:r>
    </w:p>
    <w:p w:rsidR="00DC5054" w:rsidRDefault="00DA5647" w:rsidP="00E11BE7">
      <w:pPr>
        <w:widowControl w:val="0"/>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В 2019 году </w:t>
      </w:r>
      <w:r w:rsidR="00DC5054">
        <w:rPr>
          <w:rFonts w:ascii="Times New Roman" w:hAnsi="Times New Roman"/>
          <w:sz w:val="24"/>
          <w:szCs w:val="24"/>
          <w:lang w:eastAsia="ar-SA"/>
        </w:rPr>
        <w:t xml:space="preserve">по консервативному и базовому вариантам </w:t>
      </w:r>
      <w:r w:rsidR="00901B0A">
        <w:rPr>
          <w:rFonts w:ascii="Times New Roman" w:hAnsi="Times New Roman"/>
          <w:sz w:val="24"/>
          <w:szCs w:val="24"/>
          <w:lang w:eastAsia="ar-SA"/>
        </w:rPr>
        <w:t>прогноза</w:t>
      </w:r>
      <w:r w:rsidR="007C5D6A">
        <w:rPr>
          <w:rFonts w:ascii="Times New Roman" w:hAnsi="Times New Roman"/>
          <w:sz w:val="24"/>
          <w:szCs w:val="24"/>
          <w:lang w:eastAsia="ar-SA"/>
        </w:rPr>
        <w:t xml:space="preserve"> </w:t>
      </w:r>
      <w:r w:rsidRPr="004272BD">
        <w:rPr>
          <w:rFonts w:ascii="Times New Roman" w:hAnsi="Times New Roman"/>
          <w:sz w:val="24"/>
          <w:szCs w:val="24"/>
          <w:lang w:eastAsia="ar-SA"/>
        </w:rPr>
        <w:t xml:space="preserve">планируется открытие </w:t>
      </w:r>
      <w:r w:rsidR="00DC5054">
        <w:rPr>
          <w:rFonts w:ascii="Times New Roman" w:hAnsi="Times New Roman"/>
          <w:sz w:val="24"/>
          <w:szCs w:val="24"/>
          <w:lang w:eastAsia="ar-SA"/>
        </w:rPr>
        <w:t>350 мест</w:t>
      </w:r>
      <w:r w:rsidRPr="004272BD">
        <w:rPr>
          <w:rFonts w:ascii="Times New Roman" w:hAnsi="Times New Roman"/>
          <w:sz w:val="24"/>
          <w:szCs w:val="24"/>
          <w:lang w:eastAsia="ar-SA"/>
        </w:rPr>
        <w:t xml:space="preserve"> </w:t>
      </w:r>
      <w:r w:rsidR="00DC5054" w:rsidRPr="00DC5054">
        <w:rPr>
          <w:rFonts w:ascii="Times New Roman" w:hAnsi="Times New Roman"/>
          <w:sz w:val="24"/>
          <w:szCs w:val="24"/>
          <w:lang w:eastAsia="ar-SA"/>
        </w:rPr>
        <w:t>за счёт ввода в эксплуатацию дет</w:t>
      </w:r>
      <w:r w:rsidR="001D7EEB">
        <w:rPr>
          <w:rFonts w:ascii="Times New Roman" w:hAnsi="Times New Roman"/>
          <w:sz w:val="24"/>
          <w:szCs w:val="24"/>
          <w:lang w:eastAsia="ar-SA"/>
        </w:rPr>
        <w:t>ского сада № 210 «Ладушки» в 20 </w:t>
      </w:r>
      <w:r w:rsidR="00DC5054" w:rsidRPr="00DC5054">
        <w:rPr>
          <w:rFonts w:ascii="Times New Roman" w:hAnsi="Times New Roman"/>
          <w:sz w:val="24"/>
          <w:szCs w:val="24"/>
          <w:lang w:eastAsia="ar-SA"/>
        </w:rPr>
        <w:t>квартале Автозаводского района городского округа Тольятти</w:t>
      </w:r>
      <w:r w:rsidR="00DC5054">
        <w:rPr>
          <w:rFonts w:ascii="Times New Roman" w:hAnsi="Times New Roman"/>
          <w:sz w:val="24"/>
          <w:szCs w:val="24"/>
          <w:lang w:eastAsia="ar-SA"/>
        </w:rPr>
        <w:t xml:space="preserve"> (в т.ч. 290 мест для детей 3-6 лет). </w:t>
      </w:r>
    </w:p>
    <w:p w:rsidR="00DC5054" w:rsidRDefault="00DC5054" w:rsidP="00E11BE7">
      <w:pPr>
        <w:widowControl w:val="0"/>
        <w:spacing w:after="0"/>
        <w:ind w:firstLine="709"/>
        <w:jc w:val="both"/>
        <w:rPr>
          <w:rFonts w:ascii="Times New Roman" w:hAnsi="Times New Roman"/>
          <w:sz w:val="24"/>
          <w:szCs w:val="24"/>
          <w:lang w:eastAsia="ar-SA"/>
        </w:rPr>
      </w:pPr>
      <w:r>
        <w:rPr>
          <w:rFonts w:ascii="Times New Roman" w:hAnsi="Times New Roman"/>
          <w:sz w:val="24"/>
          <w:szCs w:val="24"/>
          <w:lang w:eastAsia="ar-SA"/>
        </w:rPr>
        <w:t>По целевому варианту</w:t>
      </w:r>
      <w:r w:rsidR="007C5D6A">
        <w:rPr>
          <w:rFonts w:ascii="Times New Roman" w:hAnsi="Times New Roman"/>
          <w:sz w:val="24"/>
          <w:szCs w:val="24"/>
          <w:lang w:eastAsia="ar-SA"/>
        </w:rPr>
        <w:t xml:space="preserve"> прогноза</w:t>
      </w:r>
      <w:r>
        <w:rPr>
          <w:rFonts w:ascii="Times New Roman" w:hAnsi="Times New Roman"/>
          <w:sz w:val="24"/>
          <w:szCs w:val="24"/>
          <w:lang w:eastAsia="ar-SA"/>
        </w:rPr>
        <w:t xml:space="preserve"> в 2019 году предполагается дополнительное открытие 723 мест (в т.ч. 138 мест для детей 3-6 лет) за сч</w:t>
      </w:r>
      <w:r w:rsidR="00C31B37">
        <w:rPr>
          <w:rFonts w:ascii="Times New Roman" w:hAnsi="Times New Roman"/>
          <w:sz w:val="24"/>
          <w:szCs w:val="24"/>
          <w:lang w:eastAsia="ar-SA"/>
        </w:rPr>
        <w:t>е</w:t>
      </w:r>
      <w:r>
        <w:rPr>
          <w:rFonts w:ascii="Times New Roman" w:hAnsi="Times New Roman"/>
          <w:sz w:val="24"/>
          <w:szCs w:val="24"/>
          <w:lang w:eastAsia="ar-SA"/>
        </w:rPr>
        <w:t>т дополнительного оснащения, капитального ремонта и оснащения, капитального ремонта или реконструкции здания по результатам экспертной оценки.</w:t>
      </w:r>
    </w:p>
    <w:p w:rsidR="00DA5647" w:rsidRDefault="00DA5647" w:rsidP="00E11BE7">
      <w:pPr>
        <w:widowControl w:val="0"/>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В 2020</w:t>
      </w:r>
      <w:r w:rsidR="00DC5054">
        <w:rPr>
          <w:rFonts w:ascii="Times New Roman" w:hAnsi="Times New Roman"/>
          <w:sz w:val="24"/>
          <w:szCs w:val="24"/>
          <w:lang w:eastAsia="ar-SA"/>
        </w:rPr>
        <w:t>-2021</w:t>
      </w:r>
      <w:r w:rsidRPr="004272BD">
        <w:rPr>
          <w:rFonts w:ascii="Times New Roman" w:hAnsi="Times New Roman"/>
          <w:sz w:val="24"/>
          <w:szCs w:val="24"/>
          <w:lang w:eastAsia="ar-SA"/>
        </w:rPr>
        <w:t xml:space="preserve"> год</w:t>
      </w:r>
      <w:r w:rsidR="00DC5054">
        <w:rPr>
          <w:rFonts w:ascii="Times New Roman" w:hAnsi="Times New Roman"/>
          <w:sz w:val="24"/>
          <w:szCs w:val="24"/>
          <w:lang w:eastAsia="ar-SA"/>
        </w:rPr>
        <w:t>ах</w:t>
      </w:r>
      <w:r w:rsidRPr="004272BD">
        <w:rPr>
          <w:rFonts w:ascii="Times New Roman" w:hAnsi="Times New Roman"/>
          <w:sz w:val="24"/>
          <w:szCs w:val="24"/>
          <w:lang w:eastAsia="ar-SA"/>
        </w:rPr>
        <w:t xml:space="preserve"> по консервативному и базовому варианту </w:t>
      </w:r>
      <w:r w:rsidR="00DC5054">
        <w:rPr>
          <w:rFonts w:ascii="Times New Roman" w:hAnsi="Times New Roman"/>
          <w:sz w:val="24"/>
          <w:szCs w:val="24"/>
          <w:lang w:eastAsia="ar-SA"/>
        </w:rPr>
        <w:t xml:space="preserve">не планируется открытие дополнительных мест в дошкольных образовательных учреждениях. </w:t>
      </w:r>
    </w:p>
    <w:p w:rsidR="00320DD7" w:rsidRDefault="00320DD7" w:rsidP="00E11BE7">
      <w:pPr>
        <w:widowControl w:val="0"/>
        <w:spacing w:after="0"/>
        <w:ind w:firstLine="709"/>
        <w:jc w:val="both"/>
        <w:rPr>
          <w:rFonts w:ascii="Times New Roman" w:hAnsi="Times New Roman"/>
          <w:sz w:val="24"/>
          <w:szCs w:val="24"/>
          <w:lang w:eastAsia="ar-SA"/>
        </w:rPr>
      </w:pPr>
      <w:r w:rsidRPr="00320DD7">
        <w:rPr>
          <w:rFonts w:ascii="Times New Roman" w:hAnsi="Times New Roman"/>
          <w:sz w:val="24"/>
          <w:szCs w:val="24"/>
          <w:lang w:eastAsia="ar-SA"/>
        </w:rPr>
        <w:t xml:space="preserve">По целевому варианту </w:t>
      </w:r>
      <w:r w:rsidR="007C5D6A">
        <w:rPr>
          <w:rFonts w:ascii="Times New Roman" w:hAnsi="Times New Roman"/>
          <w:sz w:val="24"/>
          <w:szCs w:val="24"/>
          <w:lang w:eastAsia="ar-SA"/>
        </w:rPr>
        <w:t>прогноза</w:t>
      </w:r>
      <w:r w:rsidRPr="00320DD7">
        <w:rPr>
          <w:rFonts w:ascii="Times New Roman" w:hAnsi="Times New Roman"/>
          <w:sz w:val="24"/>
          <w:szCs w:val="24"/>
          <w:lang w:eastAsia="ar-SA"/>
        </w:rPr>
        <w:t xml:space="preserve"> в 2020 году предполагается дополнительное открытие </w:t>
      </w:r>
      <w:r w:rsidR="009B4CF0">
        <w:rPr>
          <w:rFonts w:ascii="Times New Roman" w:hAnsi="Times New Roman"/>
          <w:sz w:val="24"/>
          <w:szCs w:val="24"/>
          <w:lang w:eastAsia="ar-SA"/>
        </w:rPr>
        <w:t xml:space="preserve">590 </w:t>
      </w:r>
      <w:r w:rsidRPr="00320DD7">
        <w:rPr>
          <w:rFonts w:ascii="Times New Roman" w:hAnsi="Times New Roman"/>
          <w:sz w:val="24"/>
          <w:szCs w:val="24"/>
          <w:lang w:eastAsia="ar-SA"/>
        </w:rPr>
        <w:t xml:space="preserve">мест (в т. ч. </w:t>
      </w:r>
      <w:r w:rsidR="009B4CF0">
        <w:rPr>
          <w:rFonts w:ascii="Times New Roman" w:hAnsi="Times New Roman"/>
          <w:sz w:val="24"/>
          <w:szCs w:val="24"/>
          <w:lang w:eastAsia="ar-SA"/>
        </w:rPr>
        <w:t>445</w:t>
      </w:r>
      <w:r w:rsidRPr="00320DD7">
        <w:rPr>
          <w:rFonts w:ascii="Times New Roman" w:hAnsi="Times New Roman"/>
          <w:sz w:val="24"/>
          <w:szCs w:val="24"/>
          <w:lang w:eastAsia="ar-SA"/>
        </w:rPr>
        <w:t xml:space="preserve"> мест для детей 3</w:t>
      </w:r>
      <w:r w:rsidR="007C5D6A">
        <w:rPr>
          <w:rFonts w:ascii="Times New Roman" w:hAnsi="Times New Roman"/>
          <w:sz w:val="24"/>
          <w:szCs w:val="24"/>
          <w:lang w:eastAsia="ar-SA"/>
        </w:rPr>
        <w:t>-</w:t>
      </w:r>
      <w:r w:rsidRPr="00320DD7">
        <w:rPr>
          <w:rFonts w:ascii="Times New Roman" w:hAnsi="Times New Roman"/>
          <w:sz w:val="24"/>
          <w:szCs w:val="24"/>
          <w:lang w:eastAsia="ar-SA"/>
        </w:rPr>
        <w:t xml:space="preserve">6 лет) </w:t>
      </w:r>
      <w:r w:rsidR="009B4CF0">
        <w:rPr>
          <w:rFonts w:ascii="Times New Roman" w:hAnsi="Times New Roman"/>
          <w:sz w:val="24"/>
          <w:szCs w:val="24"/>
          <w:lang w:eastAsia="ar-SA"/>
        </w:rPr>
        <w:t xml:space="preserve">за счёт строительства </w:t>
      </w:r>
      <w:r>
        <w:rPr>
          <w:rFonts w:ascii="Times New Roman" w:hAnsi="Times New Roman"/>
          <w:sz w:val="24"/>
          <w:szCs w:val="24"/>
          <w:lang w:eastAsia="ar-SA"/>
        </w:rPr>
        <w:t>детского сада в</w:t>
      </w:r>
      <w:r w:rsidR="00022B64">
        <w:rPr>
          <w:rFonts w:ascii="Times New Roman" w:hAnsi="Times New Roman"/>
          <w:sz w:val="24"/>
          <w:szCs w:val="24"/>
          <w:lang w:eastAsia="ar-SA"/>
        </w:rPr>
        <w:t xml:space="preserve"> микрорайоне «Калина» (120 мест),</w:t>
      </w:r>
      <w:r>
        <w:rPr>
          <w:rFonts w:ascii="Times New Roman" w:hAnsi="Times New Roman"/>
          <w:sz w:val="24"/>
          <w:szCs w:val="24"/>
          <w:lang w:eastAsia="ar-SA"/>
        </w:rPr>
        <w:t xml:space="preserve"> микрорайоне «Жигулевское море»</w:t>
      </w:r>
      <w:r w:rsidR="00022B64">
        <w:rPr>
          <w:rFonts w:ascii="Times New Roman" w:hAnsi="Times New Roman"/>
          <w:sz w:val="24"/>
          <w:szCs w:val="24"/>
          <w:lang w:eastAsia="ar-SA"/>
        </w:rPr>
        <w:t xml:space="preserve"> (120 мест)</w:t>
      </w:r>
      <w:r>
        <w:rPr>
          <w:rFonts w:ascii="Times New Roman" w:hAnsi="Times New Roman"/>
          <w:sz w:val="24"/>
          <w:szCs w:val="24"/>
          <w:lang w:eastAsia="ar-SA"/>
        </w:rPr>
        <w:t>, микрорайоне «Северный</w:t>
      </w:r>
      <w:r w:rsidR="00022B64">
        <w:rPr>
          <w:rFonts w:ascii="Times New Roman" w:hAnsi="Times New Roman"/>
          <w:sz w:val="24"/>
          <w:szCs w:val="24"/>
          <w:lang w:eastAsia="ar-SA"/>
        </w:rPr>
        <w:t>»</w:t>
      </w:r>
      <w:r w:rsidR="007C5D6A">
        <w:rPr>
          <w:rFonts w:ascii="Times New Roman" w:hAnsi="Times New Roman"/>
          <w:sz w:val="24"/>
          <w:szCs w:val="24"/>
          <w:lang w:eastAsia="ar-SA"/>
        </w:rPr>
        <w:t xml:space="preserve"> (350 мест)</w:t>
      </w:r>
      <w:r w:rsidR="00022B64">
        <w:rPr>
          <w:rFonts w:ascii="Times New Roman" w:hAnsi="Times New Roman"/>
          <w:sz w:val="24"/>
          <w:szCs w:val="24"/>
          <w:lang w:eastAsia="ar-SA"/>
        </w:rPr>
        <w:t>.</w:t>
      </w:r>
      <w:r>
        <w:rPr>
          <w:rFonts w:ascii="Times New Roman" w:hAnsi="Times New Roman"/>
          <w:sz w:val="24"/>
          <w:szCs w:val="24"/>
          <w:lang w:eastAsia="ar-SA"/>
        </w:rPr>
        <w:t xml:space="preserve"> </w:t>
      </w:r>
    </w:p>
    <w:p w:rsidR="00DA5647" w:rsidRPr="003C4E94" w:rsidRDefault="00DA5647" w:rsidP="00E11BE7">
      <w:pPr>
        <w:widowControl w:val="0"/>
        <w:spacing w:after="0"/>
        <w:ind w:firstLine="709"/>
        <w:jc w:val="both"/>
        <w:rPr>
          <w:rFonts w:ascii="Times New Roman" w:hAnsi="Times New Roman"/>
          <w:sz w:val="24"/>
          <w:szCs w:val="24"/>
          <w:lang w:eastAsia="ar-SA"/>
        </w:rPr>
      </w:pPr>
      <w:r w:rsidRPr="003C4E94">
        <w:rPr>
          <w:rFonts w:ascii="Times New Roman" w:hAnsi="Times New Roman"/>
          <w:sz w:val="24"/>
          <w:szCs w:val="24"/>
          <w:lang w:eastAsia="ar-SA"/>
        </w:rPr>
        <w:t xml:space="preserve"> </w:t>
      </w:r>
      <w:r w:rsidR="00A9173C">
        <w:rPr>
          <w:rFonts w:ascii="Times New Roman" w:hAnsi="Times New Roman"/>
          <w:sz w:val="24"/>
          <w:szCs w:val="24"/>
          <w:lang w:eastAsia="ar-SA"/>
        </w:rPr>
        <w:t>Кроме того, в</w:t>
      </w:r>
      <w:r w:rsidRPr="003C4E94">
        <w:rPr>
          <w:rFonts w:ascii="Times New Roman" w:hAnsi="Times New Roman"/>
          <w:sz w:val="24"/>
          <w:szCs w:val="24"/>
          <w:lang w:eastAsia="ar-SA"/>
        </w:rPr>
        <w:t xml:space="preserve"> 2021 году </w:t>
      </w:r>
      <w:r w:rsidR="00A9173C">
        <w:rPr>
          <w:rFonts w:ascii="Times New Roman" w:hAnsi="Times New Roman"/>
          <w:sz w:val="24"/>
          <w:szCs w:val="24"/>
          <w:lang w:eastAsia="ar-SA"/>
        </w:rPr>
        <w:t xml:space="preserve">по целевому варианту прогноза </w:t>
      </w:r>
      <w:r w:rsidRPr="003C4E94">
        <w:rPr>
          <w:rFonts w:ascii="Times New Roman" w:hAnsi="Times New Roman"/>
          <w:sz w:val="24"/>
          <w:szCs w:val="24"/>
          <w:lang w:eastAsia="ar-SA"/>
        </w:rPr>
        <w:t xml:space="preserve">в дошкольные образовательные учреждения планируется дополнительно принять 114 детей в результате уплотнения групп для детей дошкольного возраста. </w:t>
      </w:r>
    </w:p>
    <w:p w:rsidR="00DA5647" w:rsidRPr="003C4E94" w:rsidRDefault="00DA5647" w:rsidP="00E11BE7">
      <w:pPr>
        <w:widowControl w:val="0"/>
        <w:spacing w:after="0"/>
        <w:ind w:firstLine="709"/>
        <w:jc w:val="both"/>
        <w:rPr>
          <w:rFonts w:ascii="Times New Roman" w:hAnsi="Times New Roman"/>
          <w:sz w:val="24"/>
          <w:szCs w:val="24"/>
          <w:lang w:eastAsia="ar-SA"/>
        </w:rPr>
      </w:pPr>
      <w:r w:rsidRPr="003C4E94">
        <w:rPr>
          <w:rFonts w:ascii="Times New Roman" w:hAnsi="Times New Roman"/>
          <w:sz w:val="24"/>
          <w:szCs w:val="24"/>
          <w:lang w:eastAsia="ar-SA"/>
        </w:rPr>
        <w:t>Согласно Генеральному плану городского округа Тольятти, утвержденному решением Думы городского округа Тольятти от 25.05.2018 № 1756 (далее</w:t>
      </w:r>
      <w:r w:rsidR="00EB7739">
        <w:rPr>
          <w:rFonts w:ascii="Times New Roman" w:hAnsi="Times New Roman"/>
          <w:sz w:val="24"/>
          <w:szCs w:val="24"/>
          <w:lang w:eastAsia="ar-SA"/>
        </w:rPr>
        <w:t xml:space="preserve"> по разделу </w:t>
      </w:r>
      <w:r w:rsidRPr="003C4E94">
        <w:rPr>
          <w:rFonts w:ascii="Times New Roman" w:hAnsi="Times New Roman"/>
          <w:sz w:val="24"/>
          <w:szCs w:val="24"/>
          <w:lang w:eastAsia="ar-SA"/>
        </w:rPr>
        <w:t xml:space="preserve">-Генплан), в городском округе Тольятти до 2038 года существует потребность в строительстве 95 детских садов, требуется капитальный ремонт 53 детских садов (согласно </w:t>
      </w:r>
      <w:r w:rsidR="00B05E50" w:rsidRPr="003C4E94">
        <w:rPr>
          <w:rFonts w:ascii="Times New Roman" w:hAnsi="Times New Roman"/>
          <w:sz w:val="24"/>
          <w:szCs w:val="24"/>
          <w:lang w:eastAsia="ar-SA"/>
        </w:rPr>
        <w:t>сроку постановки зданий</w:t>
      </w:r>
      <w:r w:rsidRPr="003C4E94">
        <w:rPr>
          <w:rFonts w:ascii="Times New Roman" w:hAnsi="Times New Roman"/>
          <w:sz w:val="24"/>
          <w:szCs w:val="24"/>
          <w:lang w:eastAsia="ar-SA"/>
        </w:rPr>
        <w:t xml:space="preserve"> на капитальный ремонт). </w:t>
      </w:r>
    </w:p>
    <w:p w:rsidR="00DA5647" w:rsidRPr="004272BD" w:rsidRDefault="000F1F19" w:rsidP="00E11BE7">
      <w:pPr>
        <w:pStyle w:val="af1"/>
        <w:spacing w:line="276" w:lineRule="auto"/>
        <w:rPr>
          <w:sz w:val="24"/>
          <w:szCs w:val="24"/>
        </w:rPr>
      </w:pPr>
      <w:r>
        <w:rPr>
          <w:sz w:val="24"/>
          <w:szCs w:val="24"/>
        </w:rPr>
        <w:t>В</w:t>
      </w:r>
      <w:r w:rsidR="00DA5647" w:rsidRPr="00D27075">
        <w:rPr>
          <w:sz w:val="24"/>
          <w:szCs w:val="24"/>
        </w:rPr>
        <w:t xml:space="preserve"> </w:t>
      </w:r>
      <w:r w:rsidR="00144879">
        <w:rPr>
          <w:sz w:val="24"/>
          <w:szCs w:val="24"/>
        </w:rPr>
        <w:t>М</w:t>
      </w:r>
      <w:r w:rsidR="00DA5647" w:rsidRPr="00D27075">
        <w:rPr>
          <w:sz w:val="24"/>
          <w:szCs w:val="24"/>
        </w:rPr>
        <w:t>инистерство образования и науки Самарской</w:t>
      </w:r>
      <w:r w:rsidR="00DA5647" w:rsidRPr="004272BD">
        <w:rPr>
          <w:sz w:val="24"/>
          <w:szCs w:val="24"/>
        </w:rPr>
        <w:t xml:space="preserve"> области поданы заявки на выделение областных субсидий на капитальный ремонт 5 детских садов (8 зданий).</w:t>
      </w:r>
    </w:p>
    <w:p w:rsidR="00DA5647" w:rsidRPr="004272BD" w:rsidRDefault="00DA5647" w:rsidP="00E11BE7">
      <w:pPr>
        <w:tabs>
          <w:tab w:val="left" w:pos="993"/>
        </w:tabs>
        <w:spacing w:after="0"/>
        <w:ind w:firstLine="709"/>
        <w:jc w:val="both"/>
        <w:rPr>
          <w:rFonts w:ascii="Times New Roman" w:hAnsi="Times New Roman"/>
          <w:sz w:val="24"/>
          <w:szCs w:val="24"/>
        </w:rPr>
      </w:pPr>
      <w:r w:rsidRPr="004272BD">
        <w:rPr>
          <w:rFonts w:ascii="Times New Roman" w:hAnsi="Times New Roman"/>
          <w:sz w:val="24"/>
          <w:szCs w:val="24"/>
        </w:rPr>
        <w:t>К 2021 году с увеличением общего количества детей дошкольного возраста в детских садах по консервативному и базовому вариант</w:t>
      </w:r>
      <w:r w:rsidR="00383022" w:rsidRPr="004272BD">
        <w:rPr>
          <w:rFonts w:ascii="Times New Roman" w:hAnsi="Times New Roman"/>
          <w:sz w:val="24"/>
          <w:szCs w:val="24"/>
        </w:rPr>
        <w:t>ам</w:t>
      </w:r>
      <w:r w:rsidRPr="004272BD">
        <w:rPr>
          <w:rFonts w:ascii="Times New Roman" w:hAnsi="Times New Roman"/>
          <w:sz w:val="24"/>
          <w:szCs w:val="24"/>
        </w:rPr>
        <w:t xml:space="preserve"> прогнозируется увеличение количества воспитанников по сравнению с 2018 годом на </w:t>
      </w:r>
      <w:r w:rsidR="000F1F19">
        <w:rPr>
          <w:rFonts w:ascii="Times New Roman" w:hAnsi="Times New Roman"/>
          <w:sz w:val="24"/>
          <w:szCs w:val="24"/>
        </w:rPr>
        <w:t>0,9</w:t>
      </w:r>
      <w:r w:rsidR="00383022" w:rsidRPr="004272BD">
        <w:rPr>
          <w:rFonts w:ascii="Times New Roman" w:hAnsi="Times New Roman"/>
          <w:sz w:val="24"/>
          <w:szCs w:val="24"/>
        </w:rPr>
        <w:t xml:space="preserve"> </w:t>
      </w:r>
      <w:r w:rsidRPr="004272BD">
        <w:rPr>
          <w:rFonts w:ascii="Times New Roman" w:hAnsi="Times New Roman"/>
          <w:sz w:val="24"/>
          <w:szCs w:val="24"/>
        </w:rPr>
        <w:t xml:space="preserve">%, по целевому – на </w:t>
      </w:r>
      <w:r w:rsidR="000F1F19">
        <w:rPr>
          <w:rFonts w:ascii="Times New Roman" w:hAnsi="Times New Roman"/>
          <w:sz w:val="24"/>
          <w:szCs w:val="24"/>
        </w:rPr>
        <w:t>4,4</w:t>
      </w:r>
      <w:r w:rsidR="00383022" w:rsidRPr="004272BD">
        <w:rPr>
          <w:rFonts w:ascii="Times New Roman" w:hAnsi="Times New Roman"/>
          <w:sz w:val="24"/>
          <w:szCs w:val="24"/>
        </w:rPr>
        <w:t xml:space="preserve"> </w:t>
      </w:r>
      <w:r w:rsidRPr="004272BD">
        <w:rPr>
          <w:rFonts w:ascii="Times New Roman" w:hAnsi="Times New Roman"/>
          <w:sz w:val="24"/>
          <w:szCs w:val="24"/>
        </w:rPr>
        <w:t>%.</w:t>
      </w:r>
    </w:p>
    <w:p w:rsidR="00DA5647" w:rsidRPr="004272BD" w:rsidRDefault="00DA5647"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При этом, в связи с высокой рождаемостью, наблюдаемой в городе после 2000-х годов (пик рождаемости за последние 20 лет пришелся на 2012 -2015 годы), темпы роста общего количества детей в возрасте 3-6 лет в городском округе Тольятти значительно опережают темпы увеличения количества мест в муниципальных дошкольных образовательных учреждениях (ДОУ). Так, прирост количества мест в ДОУ для детей 3-6 лет в 2019-2020 годах по базовому варианту составляет </w:t>
      </w:r>
      <w:r w:rsidR="005730D3">
        <w:rPr>
          <w:rFonts w:ascii="Times New Roman" w:hAnsi="Times New Roman"/>
          <w:sz w:val="24"/>
          <w:szCs w:val="24"/>
        </w:rPr>
        <w:t>290</w:t>
      </w:r>
      <w:r w:rsidRPr="004272BD">
        <w:rPr>
          <w:rFonts w:ascii="Times New Roman" w:hAnsi="Times New Roman"/>
          <w:sz w:val="24"/>
          <w:szCs w:val="24"/>
        </w:rPr>
        <w:t xml:space="preserve"> мест, тогда как количество детей данного возраста в городе растет в среднем более, чем на 600 человек.</w:t>
      </w:r>
      <w:r w:rsidR="00383022" w:rsidRPr="004272BD">
        <w:rPr>
          <w:rFonts w:ascii="Times New Roman" w:hAnsi="Times New Roman"/>
          <w:sz w:val="24"/>
          <w:szCs w:val="24"/>
        </w:rPr>
        <w:t xml:space="preserve"> </w:t>
      </w:r>
    </w:p>
    <w:p w:rsidR="00DA5647" w:rsidRPr="004272BD" w:rsidRDefault="00DA5647" w:rsidP="00E11BE7">
      <w:pPr>
        <w:pStyle w:val="32"/>
        <w:widowControl w:val="0"/>
        <w:spacing w:after="0"/>
        <w:ind w:left="0" w:firstLine="709"/>
        <w:jc w:val="both"/>
        <w:rPr>
          <w:rFonts w:ascii="Times New Roman" w:hAnsi="Times New Roman"/>
          <w:sz w:val="24"/>
          <w:szCs w:val="24"/>
        </w:rPr>
      </w:pPr>
      <w:r w:rsidRPr="004272BD">
        <w:rPr>
          <w:rFonts w:ascii="Times New Roman" w:hAnsi="Times New Roman"/>
          <w:sz w:val="24"/>
          <w:szCs w:val="24"/>
        </w:rPr>
        <w:t xml:space="preserve">Обеспеченность дошкольными образовательными учреждениями в 2021 году может составить </w:t>
      </w:r>
      <w:r w:rsidR="005965CD">
        <w:rPr>
          <w:rFonts w:ascii="Times New Roman" w:hAnsi="Times New Roman"/>
          <w:sz w:val="24"/>
          <w:szCs w:val="24"/>
        </w:rPr>
        <w:t>933</w:t>
      </w:r>
      <w:r w:rsidRPr="004272BD">
        <w:rPr>
          <w:rFonts w:ascii="Times New Roman" w:hAnsi="Times New Roman"/>
          <w:sz w:val="24"/>
          <w:szCs w:val="24"/>
        </w:rPr>
        <w:t xml:space="preserve"> мест</w:t>
      </w:r>
      <w:r w:rsidR="005965CD">
        <w:rPr>
          <w:rFonts w:ascii="Times New Roman" w:hAnsi="Times New Roman"/>
          <w:sz w:val="24"/>
          <w:szCs w:val="24"/>
        </w:rPr>
        <w:t>а</w:t>
      </w:r>
      <w:r w:rsidRPr="004272BD">
        <w:rPr>
          <w:rFonts w:ascii="Times New Roman" w:hAnsi="Times New Roman"/>
          <w:sz w:val="24"/>
          <w:szCs w:val="24"/>
        </w:rPr>
        <w:t xml:space="preserve"> на 1000 детей в возрасте 3-6 лет по </w:t>
      </w:r>
      <w:r w:rsidR="005965CD">
        <w:rPr>
          <w:rFonts w:ascii="Times New Roman" w:hAnsi="Times New Roman"/>
          <w:sz w:val="24"/>
          <w:szCs w:val="24"/>
        </w:rPr>
        <w:t>консервативному и базовому варианту прогноза, 950 мест – по целевому варианту</w:t>
      </w:r>
      <w:r w:rsidR="00287325">
        <w:rPr>
          <w:rFonts w:ascii="Times New Roman" w:hAnsi="Times New Roman"/>
          <w:sz w:val="24"/>
          <w:szCs w:val="24"/>
        </w:rPr>
        <w:t xml:space="preserve"> прогноза</w:t>
      </w:r>
      <w:r w:rsidRPr="004272BD">
        <w:rPr>
          <w:rFonts w:ascii="Times New Roman" w:hAnsi="Times New Roman"/>
          <w:sz w:val="24"/>
          <w:szCs w:val="24"/>
        </w:rPr>
        <w:t>.</w:t>
      </w:r>
    </w:p>
    <w:p w:rsidR="00287325" w:rsidRDefault="00DA5647" w:rsidP="00E11BE7">
      <w:pPr>
        <w:pStyle w:val="32"/>
        <w:widowControl w:val="0"/>
        <w:spacing w:after="0"/>
        <w:ind w:left="0" w:firstLine="709"/>
        <w:jc w:val="both"/>
        <w:rPr>
          <w:rFonts w:ascii="Times New Roman" w:hAnsi="Times New Roman"/>
          <w:sz w:val="24"/>
          <w:szCs w:val="24"/>
        </w:rPr>
      </w:pPr>
      <w:r w:rsidRPr="004272BD">
        <w:rPr>
          <w:rFonts w:ascii="Times New Roman" w:hAnsi="Times New Roman"/>
          <w:sz w:val="24"/>
          <w:szCs w:val="24"/>
        </w:rPr>
        <w:t xml:space="preserve"> К 2021 году численность детей в возрасте 7-17 </w:t>
      </w:r>
      <w:r w:rsidR="00F71611" w:rsidRPr="004272BD">
        <w:rPr>
          <w:rFonts w:ascii="Times New Roman" w:hAnsi="Times New Roman"/>
          <w:sz w:val="24"/>
          <w:szCs w:val="24"/>
        </w:rPr>
        <w:t>лет увеличится</w:t>
      </w:r>
      <w:r w:rsidRPr="004272BD">
        <w:rPr>
          <w:rFonts w:ascii="Times New Roman" w:hAnsi="Times New Roman"/>
          <w:sz w:val="24"/>
          <w:szCs w:val="24"/>
        </w:rPr>
        <w:t xml:space="preserve"> по консервативному варианту на 7,9</w:t>
      </w:r>
      <w:r w:rsidR="00F71611" w:rsidRPr="004272BD">
        <w:rPr>
          <w:rFonts w:ascii="Times New Roman" w:hAnsi="Times New Roman"/>
          <w:sz w:val="24"/>
          <w:szCs w:val="24"/>
        </w:rPr>
        <w:t xml:space="preserve"> </w:t>
      </w:r>
      <w:r w:rsidRPr="004272BD">
        <w:rPr>
          <w:rFonts w:ascii="Times New Roman" w:hAnsi="Times New Roman"/>
          <w:sz w:val="24"/>
          <w:szCs w:val="24"/>
        </w:rPr>
        <w:t>%, по базовому варианту - на 8,2</w:t>
      </w:r>
      <w:r w:rsidR="00520251">
        <w:rPr>
          <w:rFonts w:ascii="Times New Roman" w:hAnsi="Times New Roman"/>
          <w:sz w:val="24"/>
          <w:szCs w:val="24"/>
        </w:rPr>
        <w:t xml:space="preserve"> </w:t>
      </w:r>
      <w:r w:rsidRPr="004272BD">
        <w:rPr>
          <w:rFonts w:ascii="Times New Roman" w:hAnsi="Times New Roman"/>
          <w:sz w:val="24"/>
          <w:szCs w:val="24"/>
        </w:rPr>
        <w:t>%, по целевому варианту – на 8,5</w:t>
      </w:r>
      <w:r w:rsidR="00F71611" w:rsidRPr="004272BD">
        <w:rPr>
          <w:rFonts w:ascii="Times New Roman" w:hAnsi="Times New Roman"/>
          <w:sz w:val="24"/>
          <w:szCs w:val="24"/>
        </w:rPr>
        <w:t xml:space="preserve"> </w:t>
      </w:r>
      <w:r w:rsidRPr="004272BD">
        <w:rPr>
          <w:rFonts w:ascii="Times New Roman" w:hAnsi="Times New Roman"/>
          <w:sz w:val="24"/>
          <w:szCs w:val="24"/>
        </w:rPr>
        <w:t xml:space="preserve">% относительно 2018 года. </w:t>
      </w:r>
    </w:p>
    <w:p w:rsidR="00DA5647" w:rsidRPr="004272BD" w:rsidRDefault="00383022" w:rsidP="00E11BE7">
      <w:pPr>
        <w:pStyle w:val="32"/>
        <w:widowControl w:val="0"/>
        <w:spacing w:after="0"/>
        <w:ind w:left="0" w:firstLine="709"/>
        <w:jc w:val="both"/>
        <w:rPr>
          <w:rFonts w:ascii="Times New Roman" w:hAnsi="Times New Roman"/>
          <w:sz w:val="24"/>
          <w:szCs w:val="24"/>
        </w:rPr>
      </w:pPr>
      <w:r w:rsidRPr="004272BD">
        <w:rPr>
          <w:rFonts w:ascii="Times New Roman" w:hAnsi="Times New Roman"/>
          <w:sz w:val="24"/>
          <w:szCs w:val="24"/>
        </w:rPr>
        <w:t xml:space="preserve">Всего по базовому варианту прогноза численность детей данной возрастной группы к 2021 году увеличится </w:t>
      </w:r>
      <w:r w:rsidR="007C0AAC" w:rsidRPr="004272BD">
        <w:rPr>
          <w:rFonts w:ascii="Times New Roman" w:hAnsi="Times New Roman"/>
          <w:sz w:val="24"/>
          <w:szCs w:val="24"/>
        </w:rPr>
        <w:t>на 6 466 человек к 2018 году.</w:t>
      </w:r>
      <w:r w:rsidRPr="004272BD">
        <w:rPr>
          <w:rFonts w:ascii="Times New Roman" w:hAnsi="Times New Roman"/>
          <w:sz w:val="24"/>
          <w:szCs w:val="24"/>
        </w:rPr>
        <w:t xml:space="preserve"> </w:t>
      </w:r>
    </w:p>
    <w:p w:rsidR="00DA5647" w:rsidRDefault="00DA5647" w:rsidP="00E11BE7">
      <w:pPr>
        <w:pStyle w:val="af1"/>
        <w:spacing w:line="276" w:lineRule="auto"/>
        <w:rPr>
          <w:sz w:val="24"/>
          <w:szCs w:val="24"/>
        </w:rPr>
      </w:pPr>
      <w:r w:rsidRPr="004272BD">
        <w:rPr>
          <w:sz w:val="24"/>
          <w:szCs w:val="24"/>
        </w:rPr>
        <w:t>Доля детей, занимающихся в первую смену, в прогнозном периоде увеличится за сч</w:t>
      </w:r>
      <w:r w:rsidR="00383022" w:rsidRPr="004272BD">
        <w:rPr>
          <w:sz w:val="24"/>
          <w:szCs w:val="24"/>
        </w:rPr>
        <w:t>е</w:t>
      </w:r>
      <w:r w:rsidRPr="004272BD">
        <w:rPr>
          <w:sz w:val="24"/>
          <w:szCs w:val="24"/>
        </w:rPr>
        <w:t>т роста численности детей в первых классах и составит в 2021 году 98,2</w:t>
      </w:r>
      <w:r w:rsidR="008E1CE1" w:rsidRPr="004272BD">
        <w:rPr>
          <w:sz w:val="24"/>
          <w:szCs w:val="24"/>
        </w:rPr>
        <w:t xml:space="preserve"> </w:t>
      </w:r>
      <w:r w:rsidRPr="004272BD">
        <w:rPr>
          <w:sz w:val="24"/>
          <w:szCs w:val="24"/>
        </w:rPr>
        <w:t>%</w:t>
      </w:r>
      <w:r w:rsidR="00383022" w:rsidRPr="004272BD">
        <w:rPr>
          <w:sz w:val="24"/>
          <w:szCs w:val="24"/>
        </w:rPr>
        <w:t xml:space="preserve">, </w:t>
      </w:r>
      <w:r w:rsidRPr="004272BD">
        <w:rPr>
          <w:sz w:val="24"/>
          <w:szCs w:val="24"/>
        </w:rPr>
        <w:t>98,5</w:t>
      </w:r>
      <w:r w:rsidR="008E1CE1" w:rsidRPr="004272BD">
        <w:rPr>
          <w:sz w:val="24"/>
          <w:szCs w:val="24"/>
        </w:rPr>
        <w:t xml:space="preserve"> </w:t>
      </w:r>
      <w:r w:rsidRPr="004272BD">
        <w:rPr>
          <w:sz w:val="24"/>
          <w:szCs w:val="24"/>
        </w:rPr>
        <w:t>%</w:t>
      </w:r>
      <w:r w:rsidR="00383022" w:rsidRPr="004272BD">
        <w:rPr>
          <w:sz w:val="24"/>
          <w:szCs w:val="24"/>
        </w:rPr>
        <w:t xml:space="preserve">, </w:t>
      </w:r>
      <w:r w:rsidRPr="004272BD">
        <w:rPr>
          <w:sz w:val="24"/>
          <w:szCs w:val="24"/>
        </w:rPr>
        <w:lastRenderedPageBreak/>
        <w:t>98,5</w:t>
      </w:r>
      <w:r w:rsidR="008E1CE1" w:rsidRPr="004272BD">
        <w:rPr>
          <w:sz w:val="24"/>
          <w:szCs w:val="24"/>
        </w:rPr>
        <w:t> </w:t>
      </w:r>
      <w:r w:rsidRPr="004272BD">
        <w:rPr>
          <w:sz w:val="24"/>
          <w:szCs w:val="24"/>
        </w:rPr>
        <w:t>% по трем вариантам прогноза соответственно.</w:t>
      </w:r>
    </w:p>
    <w:p w:rsidR="00DA5647" w:rsidRPr="004272BD" w:rsidRDefault="00DA5647" w:rsidP="00E11BE7">
      <w:pPr>
        <w:pStyle w:val="af1"/>
        <w:spacing w:line="276" w:lineRule="auto"/>
        <w:rPr>
          <w:sz w:val="24"/>
          <w:szCs w:val="24"/>
        </w:rPr>
      </w:pPr>
      <w:r w:rsidRPr="004272BD">
        <w:rPr>
          <w:sz w:val="24"/>
          <w:szCs w:val="24"/>
        </w:rPr>
        <w:t>Согласно Ген</w:t>
      </w:r>
      <w:r w:rsidR="002D4C8D" w:rsidRPr="004272BD">
        <w:rPr>
          <w:sz w:val="24"/>
          <w:szCs w:val="24"/>
        </w:rPr>
        <w:t>плана</w:t>
      </w:r>
      <w:r w:rsidRPr="004272BD">
        <w:rPr>
          <w:sz w:val="24"/>
          <w:szCs w:val="24"/>
        </w:rPr>
        <w:t xml:space="preserve"> до 2038 </w:t>
      </w:r>
      <w:r w:rsidR="007C0AAC" w:rsidRPr="004272BD">
        <w:rPr>
          <w:sz w:val="24"/>
          <w:szCs w:val="24"/>
        </w:rPr>
        <w:t xml:space="preserve">года в городском округе Тольятти </w:t>
      </w:r>
      <w:r w:rsidRPr="004272BD">
        <w:rPr>
          <w:sz w:val="24"/>
          <w:szCs w:val="24"/>
        </w:rPr>
        <w:t xml:space="preserve">существует потребность в строительстве 37 школ, в реконструкции 6 зданий школ, в строительстве 2 </w:t>
      </w:r>
      <w:proofErr w:type="spellStart"/>
      <w:r w:rsidRPr="004272BD">
        <w:rPr>
          <w:sz w:val="24"/>
          <w:szCs w:val="24"/>
        </w:rPr>
        <w:t>пристроев</w:t>
      </w:r>
      <w:proofErr w:type="spellEnd"/>
      <w:r w:rsidRPr="004272BD">
        <w:rPr>
          <w:sz w:val="24"/>
          <w:szCs w:val="24"/>
        </w:rPr>
        <w:t xml:space="preserve"> к школам.</w:t>
      </w:r>
    </w:p>
    <w:p w:rsidR="00DA5647" w:rsidRPr="004272BD" w:rsidRDefault="00DA5647" w:rsidP="00E11BE7">
      <w:pPr>
        <w:pStyle w:val="af1"/>
        <w:spacing w:line="276" w:lineRule="auto"/>
        <w:rPr>
          <w:sz w:val="24"/>
          <w:szCs w:val="24"/>
        </w:rPr>
      </w:pPr>
      <w:r w:rsidRPr="004272BD">
        <w:rPr>
          <w:sz w:val="24"/>
          <w:szCs w:val="24"/>
        </w:rPr>
        <w:t>Кроме того, для приведения зданий, сетей, оборудования муниципальных образовательных учреждений в должное техническое состояние требуется капитальный ремонт 69 школ (согласно сроку постановки зданий на капитальный ремонт).</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В государственную программу «Строительство, реконструкция и капитальный ремонт образовательных учреждений Самарской области» до 2025 года включено:</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 строительство школы на 630 мест в 18 квартале Автозаводского района на 2019 - 2020 годы (повторно проводится подбор типового проекта из федерального реестра), строительство школы на 1600 мест в 20 квартале Автозаводского района на 2019 - 2020 годы (получена государственная экспертиза проектной документации, проводится государственная экспертиза сметной документации); </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 строительство </w:t>
      </w:r>
      <w:proofErr w:type="spellStart"/>
      <w:r w:rsidRPr="004272BD">
        <w:rPr>
          <w:rFonts w:ascii="Times New Roman" w:hAnsi="Times New Roman"/>
          <w:sz w:val="24"/>
          <w:szCs w:val="24"/>
          <w:lang w:eastAsia="ar-SA"/>
        </w:rPr>
        <w:t>пристроев</w:t>
      </w:r>
      <w:proofErr w:type="spellEnd"/>
      <w:r w:rsidRPr="004272BD">
        <w:rPr>
          <w:rFonts w:ascii="Times New Roman" w:hAnsi="Times New Roman"/>
          <w:sz w:val="24"/>
          <w:szCs w:val="24"/>
          <w:lang w:eastAsia="ar-SA"/>
        </w:rPr>
        <w:t xml:space="preserve">: на 300 мест к МБУ «Школа № 4» </w:t>
      </w:r>
      <w:r w:rsidRPr="004272BD">
        <w:rPr>
          <w:rFonts w:ascii="Times New Roman" w:hAnsi="Times New Roman"/>
          <w:sz w:val="24"/>
          <w:szCs w:val="24"/>
          <w:lang w:eastAsia="ar-SA"/>
        </w:rPr>
        <w:br/>
        <w:t>на 2020 - 2021 годы; к МБУ «Школа № 58» - на 2018 год. По данным объектам отсутствует проектно-сметная документация.</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В муниципальную программу «Развитие системы образования городского округа </w:t>
      </w:r>
      <w:r w:rsidRPr="005E6B91">
        <w:rPr>
          <w:rFonts w:ascii="Times New Roman" w:hAnsi="Times New Roman"/>
          <w:sz w:val="24"/>
          <w:szCs w:val="24"/>
          <w:lang w:eastAsia="ar-SA"/>
        </w:rPr>
        <w:t>Тольятти на 2017 - 2020 г</w:t>
      </w:r>
      <w:r w:rsidR="006F4FBC" w:rsidRPr="005E6B91">
        <w:rPr>
          <w:rFonts w:ascii="Times New Roman" w:hAnsi="Times New Roman"/>
          <w:sz w:val="24"/>
          <w:szCs w:val="24"/>
          <w:lang w:eastAsia="ar-SA"/>
        </w:rPr>
        <w:t>г.»</w:t>
      </w:r>
      <w:r w:rsidRPr="005E6B91">
        <w:rPr>
          <w:rFonts w:ascii="Times New Roman" w:hAnsi="Times New Roman"/>
          <w:sz w:val="24"/>
          <w:szCs w:val="24"/>
          <w:lang w:eastAsia="ar-SA"/>
        </w:rPr>
        <w:t xml:space="preserve"> включены</w:t>
      </w:r>
      <w:r w:rsidRPr="004272BD">
        <w:rPr>
          <w:rFonts w:ascii="Times New Roman" w:hAnsi="Times New Roman"/>
          <w:sz w:val="24"/>
          <w:szCs w:val="24"/>
          <w:lang w:eastAsia="ar-SA"/>
        </w:rPr>
        <w:t xml:space="preserve"> следующие объекты:</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 строительство школ в 14А квартале, микрорайон «Калина», </w:t>
      </w:r>
      <w:r w:rsidRPr="004272BD">
        <w:rPr>
          <w:rFonts w:ascii="Times New Roman" w:hAnsi="Times New Roman"/>
          <w:sz w:val="24"/>
          <w:szCs w:val="24"/>
          <w:lang w:eastAsia="ar-SA"/>
        </w:rPr>
        <w:br/>
        <w:t>по ул. Л. Толстого;</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 реконструкция МБУ «Школа № 15» для создания дополнительных дошкольных (54 мест) и школьных мест (100 мест). </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Дополнительно требуется строительство: школы в 11А квартале; </w:t>
      </w:r>
      <w:proofErr w:type="spellStart"/>
      <w:r w:rsidRPr="004272BD">
        <w:rPr>
          <w:rFonts w:ascii="Times New Roman" w:hAnsi="Times New Roman"/>
          <w:sz w:val="24"/>
          <w:szCs w:val="24"/>
          <w:lang w:eastAsia="ar-SA"/>
        </w:rPr>
        <w:t>пристроя</w:t>
      </w:r>
      <w:proofErr w:type="spellEnd"/>
      <w:r w:rsidRPr="004272BD">
        <w:rPr>
          <w:rFonts w:ascii="Times New Roman" w:hAnsi="Times New Roman"/>
          <w:sz w:val="24"/>
          <w:szCs w:val="24"/>
          <w:lang w:eastAsia="ar-SA"/>
        </w:rPr>
        <w:t xml:space="preserve"> к </w:t>
      </w:r>
      <w:proofErr w:type="spellStart"/>
      <w:r w:rsidRPr="004272BD">
        <w:rPr>
          <w:rFonts w:ascii="Times New Roman" w:hAnsi="Times New Roman"/>
          <w:sz w:val="24"/>
          <w:szCs w:val="24"/>
          <w:lang w:eastAsia="ar-SA"/>
        </w:rPr>
        <w:t>МБУ</w:t>
      </w:r>
      <w:proofErr w:type="spellEnd"/>
      <w:r w:rsidRPr="004272BD">
        <w:rPr>
          <w:rFonts w:ascii="Times New Roman" w:hAnsi="Times New Roman"/>
          <w:sz w:val="24"/>
          <w:szCs w:val="24"/>
          <w:lang w:eastAsia="ar-SA"/>
        </w:rPr>
        <w:t xml:space="preserve"> «Школа № 21».</w:t>
      </w:r>
    </w:p>
    <w:p w:rsidR="00DA5647" w:rsidRPr="004272BD" w:rsidRDefault="00DA5647" w:rsidP="00E11BE7">
      <w:pPr>
        <w:pStyle w:val="af1"/>
        <w:spacing w:line="276" w:lineRule="auto"/>
        <w:rPr>
          <w:sz w:val="24"/>
          <w:szCs w:val="24"/>
        </w:rPr>
      </w:pPr>
      <w:r w:rsidRPr="004272BD">
        <w:rPr>
          <w:sz w:val="24"/>
          <w:szCs w:val="24"/>
        </w:rPr>
        <w:t xml:space="preserve">В </w:t>
      </w:r>
      <w:r w:rsidR="00144879">
        <w:rPr>
          <w:sz w:val="24"/>
          <w:szCs w:val="24"/>
        </w:rPr>
        <w:t>М</w:t>
      </w:r>
      <w:r w:rsidRPr="004272BD">
        <w:rPr>
          <w:sz w:val="24"/>
          <w:szCs w:val="24"/>
        </w:rPr>
        <w:t xml:space="preserve">инистерство образования и науки Самарской области поданы заявки на выделение областных субсидий на капитальный ремонт </w:t>
      </w:r>
      <w:r w:rsidRPr="004272BD">
        <w:rPr>
          <w:sz w:val="24"/>
          <w:szCs w:val="24"/>
        </w:rPr>
        <w:br/>
        <w:t>17 школ (21 здание).</w:t>
      </w:r>
    </w:p>
    <w:p w:rsidR="00DA5647" w:rsidRPr="004272BD" w:rsidRDefault="00DA5647" w:rsidP="00E11BE7">
      <w:pPr>
        <w:pStyle w:val="af1"/>
        <w:spacing w:line="276" w:lineRule="auto"/>
        <w:rPr>
          <w:sz w:val="24"/>
          <w:szCs w:val="24"/>
        </w:rPr>
      </w:pPr>
      <w:r w:rsidRPr="004272BD">
        <w:rPr>
          <w:sz w:val="24"/>
          <w:szCs w:val="24"/>
        </w:rPr>
        <w:t>Кроме того, поданы заявки на выделение областных субсидий на выполнение мероприятий по организации доступности зданий для маломобильных категорий населения в 23 образовательных учреждениях.</w:t>
      </w:r>
    </w:p>
    <w:p w:rsidR="00DA5647" w:rsidRPr="004272BD" w:rsidRDefault="00DA5647" w:rsidP="00E11BE7">
      <w:pPr>
        <w:pStyle w:val="af1"/>
        <w:spacing w:line="276" w:lineRule="auto"/>
        <w:rPr>
          <w:sz w:val="24"/>
          <w:szCs w:val="24"/>
        </w:rPr>
      </w:pPr>
      <w:r w:rsidRPr="004272BD">
        <w:rPr>
          <w:sz w:val="24"/>
          <w:szCs w:val="24"/>
        </w:rPr>
        <w:t xml:space="preserve">Общая потребность в капитальном ремонте кровли имеется </w:t>
      </w:r>
      <w:r w:rsidRPr="004272BD">
        <w:rPr>
          <w:sz w:val="24"/>
          <w:szCs w:val="24"/>
        </w:rPr>
        <w:br/>
        <w:t xml:space="preserve">в 100 образовательных учреждениях на сумму 100 </w:t>
      </w:r>
      <w:r w:rsidR="00BF0444" w:rsidRPr="004272BD">
        <w:rPr>
          <w:sz w:val="24"/>
          <w:szCs w:val="24"/>
        </w:rPr>
        <w:t>млн.рублей</w:t>
      </w:r>
      <w:r w:rsidR="007C0AAC" w:rsidRPr="004272BD">
        <w:rPr>
          <w:sz w:val="24"/>
          <w:szCs w:val="24"/>
        </w:rPr>
        <w:t>.</w:t>
      </w:r>
      <w:r w:rsidRPr="004272BD">
        <w:rPr>
          <w:sz w:val="24"/>
          <w:szCs w:val="24"/>
        </w:rPr>
        <w:t xml:space="preserve"> </w:t>
      </w:r>
    </w:p>
    <w:p w:rsidR="00DA5647" w:rsidRPr="004272BD" w:rsidRDefault="00DA5647" w:rsidP="00E11BE7">
      <w:pPr>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В настоящее время существует потребность в реконструкции и капитальном ремонте:</w:t>
      </w:r>
    </w:p>
    <w:p w:rsidR="00DA5647" w:rsidRPr="004272BD" w:rsidRDefault="00DA5647" w:rsidP="00E11BE7">
      <w:pPr>
        <w:tabs>
          <w:tab w:val="left" w:pos="720"/>
          <w:tab w:val="left" w:pos="993"/>
          <w:tab w:val="left" w:pos="5580"/>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 загородного лагеря МБОУ ДО «Гранит» с круглогодичным функционированием, строительством современных корпусов с удобствами, физкультурно-спортивного комплекса (ФОК) и спортивных </w:t>
      </w:r>
      <w:r w:rsidR="007C26B6" w:rsidRPr="004272BD">
        <w:rPr>
          <w:rFonts w:ascii="Times New Roman" w:hAnsi="Times New Roman"/>
          <w:sz w:val="24"/>
          <w:szCs w:val="24"/>
          <w:lang w:eastAsia="ar-SA"/>
        </w:rPr>
        <w:t>объектов, которые</w:t>
      </w:r>
      <w:r w:rsidRPr="004272BD">
        <w:rPr>
          <w:rFonts w:ascii="Times New Roman" w:hAnsi="Times New Roman"/>
          <w:sz w:val="24"/>
          <w:szCs w:val="24"/>
          <w:lang w:eastAsia="ar-SA"/>
        </w:rPr>
        <w:t xml:space="preserve"> можно использовать для отдыха детей и организации учебно-тренировочного процесса, с увеличением плановой мощности в три раза (350 мест), годового охвата в 6 - 7 раз более 3000 детей (имеется положительное заключение государственной </w:t>
      </w:r>
      <w:r w:rsidR="007C26B6" w:rsidRPr="004272BD">
        <w:rPr>
          <w:rFonts w:ascii="Times New Roman" w:hAnsi="Times New Roman"/>
          <w:sz w:val="24"/>
          <w:szCs w:val="24"/>
          <w:lang w:eastAsia="ar-SA"/>
        </w:rPr>
        <w:t>экспертизы на</w:t>
      </w:r>
      <w:r w:rsidRPr="004272BD">
        <w:rPr>
          <w:rFonts w:ascii="Times New Roman" w:hAnsi="Times New Roman"/>
          <w:sz w:val="24"/>
          <w:szCs w:val="24"/>
          <w:lang w:eastAsia="ar-SA"/>
        </w:rPr>
        <w:t xml:space="preserve"> проведение проектно-изыскательских работ);</w:t>
      </w:r>
    </w:p>
    <w:p w:rsidR="00DA5647" w:rsidRPr="004272BD" w:rsidRDefault="00DA5647" w:rsidP="00E11BE7">
      <w:pPr>
        <w:tabs>
          <w:tab w:val="left" w:pos="720"/>
          <w:tab w:val="left" w:pos="993"/>
          <w:tab w:val="left" w:pos="5580"/>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базы отдыха «</w:t>
      </w:r>
      <w:proofErr w:type="spellStart"/>
      <w:r w:rsidRPr="004272BD">
        <w:rPr>
          <w:rFonts w:ascii="Times New Roman" w:hAnsi="Times New Roman"/>
          <w:sz w:val="24"/>
          <w:szCs w:val="24"/>
          <w:lang w:eastAsia="ar-SA"/>
        </w:rPr>
        <w:t>Лесобон</w:t>
      </w:r>
      <w:proofErr w:type="spellEnd"/>
      <w:r w:rsidRPr="004272BD">
        <w:rPr>
          <w:rFonts w:ascii="Times New Roman" w:hAnsi="Times New Roman"/>
          <w:sz w:val="24"/>
          <w:szCs w:val="24"/>
          <w:lang w:eastAsia="ar-SA"/>
        </w:rPr>
        <w:t xml:space="preserve">» </w:t>
      </w:r>
      <w:proofErr w:type="spellStart"/>
      <w:r w:rsidRPr="004272BD">
        <w:rPr>
          <w:rFonts w:ascii="Times New Roman" w:hAnsi="Times New Roman"/>
          <w:sz w:val="24"/>
          <w:szCs w:val="24"/>
          <w:lang w:eastAsia="ar-SA"/>
        </w:rPr>
        <w:t>МБОУ</w:t>
      </w:r>
      <w:proofErr w:type="spellEnd"/>
      <w:r w:rsidRPr="004272BD">
        <w:rPr>
          <w:rFonts w:ascii="Times New Roman" w:hAnsi="Times New Roman"/>
          <w:sz w:val="24"/>
          <w:szCs w:val="24"/>
          <w:lang w:eastAsia="ar-SA"/>
        </w:rPr>
        <w:t xml:space="preserve"> ДО «Эдельвейс» в детский оздоровительный лагерь со строительством жилых домов, физкультурно-спортивного комплекса (ФОК) и спортивных объектов, с увеличением плановой мощности в два раза (200 мест), годового охвата более 1500 детей;</w:t>
      </w:r>
    </w:p>
    <w:p w:rsidR="00DA5647" w:rsidRPr="004272BD" w:rsidRDefault="00DA5647" w:rsidP="00E11BE7">
      <w:pPr>
        <w:tabs>
          <w:tab w:val="left" w:pos="720"/>
          <w:tab w:val="left" w:pos="993"/>
          <w:tab w:val="left" w:pos="5580"/>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lastRenderedPageBreak/>
        <w:t>- детского оздоровительного лагеря «Звездочка» МАООУ «Пансионат «Радуга» со строительством современных жилых корпусов с удобствами, капительного ремонта зданий столовой и медицинского кабинета, соответствующих СанПиН, с увеличением плановой мощности в два раза (500 мест), годового охвата 1500 детей.</w:t>
      </w:r>
    </w:p>
    <w:p w:rsidR="008320B9" w:rsidRPr="004272BD" w:rsidRDefault="00144879" w:rsidP="00E11BE7">
      <w:pPr>
        <w:pStyle w:val="af1"/>
        <w:spacing w:line="276" w:lineRule="auto"/>
        <w:rPr>
          <w:sz w:val="24"/>
          <w:szCs w:val="24"/>
        </w:rPr>
      </w:pPr>
      <w:r>
        <w:rPr>
          <w:sz w:val="24"/>
          <w:szCs w:val="24"/>
        </w:rPr>
        <w:t>В М</w:t>
      </w:r>
      <w:r w:rsidR="008320B9" w:rsidRPr="004272BD">
        <w:rPr>
          <w:sz w:val="24"/>
          <w:szCs w:val="24"/>
        </w:rPr>
        <w:t xml:space="preserve">инистерство социально-демографической и семейной политики Самарской области направлены заявки с приложением требуемого пакета документов в государственную программу «Развитие системы отдыха и оздоровления детей в Самарской области на 2019-2023 годы» на проведение капитального ремонта, приобретение основных средств и инвентаря детских оздоровительных лагерей. </w:t>
      </w:r>
    </w:p>
    <w:p w:rsidR="008320B9" w:rsidRPr="004272BD" w:rsidRDefault="008320B9" w:rsidP="00E11BE7">
      <w:pPr>
        <w:tabs>
          <w:tab w:val="left" w:pos="720"/>
          <w:tab w:val="left" w:pos="993"/>
          <w:tab w:val="left" w:pos="5580"/>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Это позволит максимально обеспечить полноценный отдых и оздоровление детей в период каникул, увеличение количества детей, охваченных дополнительным образованием.</w:t>
      </w:r>
    </w:p>
    <w:p w:rsidR="002E7C86" w:rsidRPr="004272BD" w:rsidRDefault="002E7C86" w:rsidP="00E11BE7">
      <w:pPr>
        <w:shd w:val="clear" w:color="auto" w:fill="FFFFFF"/>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Ключевыми задачами системы дополнительного образования  городского округа Тольятти в прогнозном периоде являются: формирование технологического мышления, воспитание будущих инженерных кадров, создание условий для активизации исследовательской и проектной деятельности обучающихся, повышения интереса к  изучению ими естественных, физико-математических и технических наук, создание современной инфраструктуры  для занятия  научно-техническим творчеством, организации тематического отдыха и сетевого проектного взаимодействия. Особую актуальность приобретает решение задач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w:t>
      </w:r>
    </w:p>
    <w:p w:rsidR="002E7C86" w:rsidRPr="004272BD" w:rsidRDefault="002E7C86" w:rsidP="00E11BE7">
      <w:pPr>
        <w:shd w:val="clear" w:color="auto" w:fill="FFFFFF"/>
        <w:tabs>
          <w:tab w:val="left" w:pos="1080"/>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xml:space="preserve">Мероприятия по развитию технического творчества среди детей и молодежи предусматриваются также в перспективных планах работы по направлениям развития городской системы образования. Они будут содействовать решению актуальной для городского округа Тольятти задачи обеспечения отраслей экономики новым поколением высококвалифицированных кадров. Ожидаемые результаты работы по данному направлению к 2021 году: </w:t>
      </w:r>
    </w:p>
    <w:p w:rsidR="002E7C86" w:rsidRPr="004272BD" w:rsidRDefault="002E7C86" w:rsidP="00E11BE7">
      <w:pPr>
        <w:shd w:val="clear" w:color="auto" w:fill="FFFFFF"/>
        <w:tabs>
          <w:tab w:val="left" w:pos="142"/>
          <w:tab w:val="left" w:pos="1134"/>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повышение социального статуса технических профессий;</w:t>
      </w:r>
    </w:p>
    <w:p w:rsidR="002E7C86" w:rsidRPr="004272BD" w:rsidRDefault="002E7C86" w:rsidP="00E11BE7">
      <w:pPr>
        <w:shd w:val="clear" w:color="auto" w:fill="FFFFFF"/>
        <w:tabs>
          <w:tab w:val="left" w:pos="142"/>
          <w:tab w:val="left" w:pos="1134"/>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увеличение количества выпускников школы, выбравших профессии по техническим специальностям, на 5 %;</w:t>
      </w:r>
    </w:p>
    <w:p w:rsidR="002E7C86" w:rsidRPr="004272BD" w:rsidRDefault="002E7C86" w:rsidP="00E11BE7">
      <w:pPr>
        <w:shd w:val="clear" w:color="auto" w:fill="FFFFFF"/>
        <w:tabs>
          <w:tab w:val="left" w:pos="142"/>
          <w:tab w:val="left" w:pos="1134"/>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доступность образовательных услуг по техническому творчеству (реализация программ технического творчества в 100 % учреждений дополнительного образования);</w:t>
      </w:r>
    </w:p>
    <w:p w:rsidR="002E7C86" w:rsidRPr="004272BD" w:rsidRDefault="002E7C86" w:rsidP="00E11BE7">
      <w:pPr>
        <w:shd w:val="clear" w:color="auto" w:fill="FFFFFF"/>
        <w:tabs>
          <w:tab w:val="left" w:pos="142"/>
          <w:tab w:val="left" w:pos="1134"/>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увеличение доли дополнительных образовательных программ технического творчества, реализуемых муниципальными образовательными учреждениями дополнительного образования, до 20 %;</w:t>
      </w:r>
    </w:p>
    <w:p w:rsidR="002E7C86" w:rsidRPr="004272BD" w:rsidRDefault="002E7C86" w:rsidP="00E11BE7">
      <w:pPr>
        <w:shd w:val="clear" w:color="auto" w:fill="FFFFFF"/>
        <w:tabs>
          <w:tab w:val="left" w:pos="142"/>
          <w:tab w:val="left" w:pos="1134"/>
        </w:tabs>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 ежегодное увеличение доли школьников на 1 % (в том числе с ограниченными возможностями здоровья), занятых по программам технического творчества.</w:t>
      </w:r>
    </w:p>
    <w:p w:rsidR="002E7C86" w:rsidRPr="004272BD" w:rsidRDefault="002E7C86" w:rsidP="00E11BE7">
      <w:pPr>
        <w:shd w:val="clear" w:color="auto" w:fill="FFFFFF"/>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t>С сентября 2019 года количество обучающихся тольяттинского детского технопарка «</w:t>
      </w:r>
      <w:proofErr w:type="spellStart"/>
      <w:r w:rsidRPr="004272BD">
        <w:rPr>
          <w:rFonts w:ascii="Times New Roman" w:hAnsi="Times New Roman"/>
          <w:sz w:val="24"/>
          <w:szCs w:val="24"/>
          <w:lang w:eastAsia="ar-SA"/>
        </w:rPr>
        <w:t>Кванториум</w:t>
      </w:r>
      <w:proofErr w:type="spellEnd"/>
      <w:r w:rsidRPr="004272BD">
        <w:rPr>
          <w:rFonts w:ascii="Times New Roman" w:hAnsi="Times New Roman"/>
          <w:sz w:val="24"/>
          <w:szCs w:val="24"/>
          <w:lang w:eastAsia="ar-SA"/>
        </w:rPr>
        <w:t xml:space="preserve"> - 63 регион» увеличится с 800 до 1000 человек.</w:t>
      </w:r>
    </w:p>
    <w:p w:rsidR="00DA5647" w:rsidRPr="004272BD" w:rsidRDefault="002E7C86" w:rsidP="00E11BE7">
      <w:pPr>
        <w:pStyle w:val="af1"/>
        <w:spacing w:line="276" w:lineRule="auto"/>
        <w:rPr>
          <w:sz w:val="24"/>
          <w:szCs w:val="24"/>
        </w:rPr>
      </w:pPr>
      <w:r w:rsidRPr="004272BD">
        <w:rPr>
          <w:sz w:val="24"/>
          <w:szCs w:val="24"/>
        </w:rPr>
        <w:t>С</w:t>
      </w:r>
      <w:r w:rsidR="00DA5647" w:rsidRPr="004272BD">
        <w:rPr>
          <w:sz w:val="24"/>
          <w:szCs w:val="24"/>
        </w:rPr>
        <w:t xml:space="preserve">огласно </w:t>
      </w:r>
      <w:r w:rsidR="003F168E" w:rsidRPr="004272BD">
        <w:rPr>
          <w:sz w:val="24"/>
          <w:szCs w:val="24"/>
        </w:rPr>
        <w:t>Генплану,</w:t>
      </w:r>
      <w:r w:rsidR="00DA5647" w:rsidRPr="004272BD">
        <w:rPr>
          <w:sz w:val="24"/>
          <w:szCs w:val="24"/>
        </w:rPr>
        <w:t xml:space="preserve"> существует потребность в строительстве 4 зданий учреждений дополнительного образования.</w:t>
      </w:r>
    </w:p>
    <w:p w:rsidR="00DA5647" w:rsidRPr="004272BD" w:rsidRDefault="007C0AAC" w:rsidP="00E11BE7">
      <w:pPr>
        <w:pStyle w:val="af1"/>
        <w:spacing w:line="276" w:lineRule="auto"/>
        <w:rPr>
          <w:sz w:val="24"/>
          <w:szCs w:val="24"/>
        </w:rPr>
      </w:pPr>
      <w:r w:rsidRPr="004272BD">
        <w:rPr>
          <w:sz w:val="24"/>
          <w:szCs w:val="24"/>
        </w:rPr>
        <w:t xml:space="preserve">В </w:t>
      </w:r>
      <w:r w:rsidR="00144879">
        <w:rPr>
          <w:sz w:val="24"/>
          <w:szCs w:val="24"/>
        </w:rPr>
        <w:t>М</w:t>
      </w:r>
      <w:r w:rsidR="00DA5647" w:rsidRPr="004272BD">
        <w:rPr>
          <w:sz w:val="24"/>
          <w:szCs w:val="24"/>
        </w:rPr>
        <w:t>инистерство образования и науки Самарской области поданы заявки на выделение областных субсидий на капитальный ремонт 1 учреждения дополнительного образования (1 здание).</w:t>
      </w:r>
    </w:p>
    <w:p w:rsidR="00DA5647" w:rsidRPr="004272BD" w:rsidRDefault="00DB2297" w:rsidP="00E11BE7">
      <w:pPr>
        <w:tabs>
          <w:tab w:val="left" w:pos="993"/>
        </w:tabs>
        <w:snapToGrid w:val="0"/>
        <w:spacing w:after="0"/>
        <w:ind w:firstLine="709"/>
        <w:jc w:val="both"/>
        <w:rPr>
          <w:rFonts w:ascii="Times New Roman" w:hAnsi="Times New Roman"/>
          <w:sz w:val="24"/>
          <w:szCs w:val="24"/>
          <w:lang w:eastAsia="ar-SA"/>
        </w:rPr>
      </w:pPr>
      <w:r w:rsidRPr="004272BD">
        <w:rPr>
          <w:rFonts w:ascii="Times New Roman" w:hAnsi="Times New Roman"/>
          <w:sz w:val="24"/>
          <w:szCs w:val="24"/>
          <w:lang w:eastAsia="ar-SA"/>
        </w:rPr>
        <w:lastRenderedPageBreak/>
        <w:t>П</w:t>
      </w:r>
      <w:r w:rsidR="00DA5647" w:rsidRPr="004272BD">
        <w:rPr>
          <w:rFonts w:ascii="Times New Roman" w:hAnsi="Times New Roman"/>
          <w:sz w:val="24"/>
          <w:szCs w:val="24"/>
          <w:lang w:eastAsia="ar-SA"/>
        </w:rPr>
        <w:t>оказатель охвата дополнительным образованием детей в прогнозном периоде будет снижаться, в связи с тем, что количество детей в возрасте 5-18 лет в городском округе Тольятти будет расти более высокими темпами (8,5</w:t>
      </w:r>
      <w:r w:rsidR="008E1CE1" w:rsidRPr="004272BD">
        <w:rPr>
          <w:rFonts w:ascii="Times New Roman" w:hAnsi="Times New Roman"/>
          <w:sz w:val="24"/>
          <w:szCs w:val="24"/>
          <w:lang w:eastAsia="ar-SA"/>
        </w:rPr>
        <w:t xml:space="preserve"> </w:t>
      </w:r>
      <w:r w:rsidR="00DA5647" w:rsidRPr="004272BD">
        <w:rPr>
          <w:rFonts w:ascii="Times New Roman" w:hAnsi="Times New Roman"/>
          <w:sz w:val="24"/>
          <w:szCs w:val="24"/>
          <w:lang w:eastAsia="ar-SA"/>
        </w:rPr>
        <w:t>% по консервативному и базовому варианту и 8,8</w:t>
      </w:r>
      <w:r w:rsidR="00520251">
        <w:rPr>
          <w:rFonts w:ascii="Times New Roman" w:hAnsi="Times New Roman"/>
          <w:sz w:val="24"/>
          <w:szCs w:val="24"/>
          <w:lang w:eastAsia="ar-SA"/>
        </w:rPr>
        <w:t xml:space="preserve"> </w:t>
      </w:r>
      <w:r w:rsidR="00DA5647" w:rsidRPr="004272BD">
        <w:rPr>
          <w:rFonts w:ascii="Times New Roman" w:hAnsi="Times New Roman"/>
          <w:sz w:val="24"/>
          <w:szCs w:val="24"/>
          <w:lang w:eastAsia="ar-SA"/>
        </w:rPr>
        <w:t>% - по целевому варианту прогноза), чем количество детей, охваченных дополнительным образованием (снижение на 0,1</w:t>
      </w:r>
      <w:r w:rsidR="008E1CE1" w:rsidRPr="004272BD">
        <w:rPr>
          <w:rFonts w:ascii="Times New Roman" w:hAnsi="Times New Roman"/>
          <w:sz w:val="24"/>
          <w:szCs w:val="24"/>
          <w:lang w:eastAsia="ar-SA"/>
        </w:rPr>
        <w:t xml:space="preserve"> </w:t>
      </w:r>
      <w:r w:rsidR="00DA5647" w:rsidRPr="004272BD">
        <w:rPr>
          <w:rFonts w:ascii="Times New Roman" w:hAnsi="Times New Roman"/>
          <w:sz w:val="24"/>
          <w:szCs w:val="24"/>
          <w:lang w:eastAsia="ar-SA"/>
        </w:rPr>
        <w:t xml:space="preserve">% по консервативному варианту, рост на 0,2% по базовому варианту и </w:t>
      </w:r>
      <w:r w:rsidR="00520251">
        <w:rPr>
          <w:rFonts w:ascii="Times New Roman" w:hAnsi="Times New Roman"/>
          <w:sz w:val="24"/>
          <w:szCs w:val="24"/>
          <w:lang w:eastAsia="ar-SA"/>
        </w:rPr>
        <w:t xml:space="preserve">на </w:t>
      </w:r>
      <w:r w:rsidR="00DA5647" w:rsidRPr="004272BD">
        <w:rPr>
          <w:rFonts w:ascii="Times New Roman" w:hAnsi="Times New Roman"/>
          <w:sz w:val="24"/>
          <w:szCs w:val="24"/>
          <w:lang w:eastAsia="ar-SA"/>
        </w:rPr>
        <w:t>0,9% - по целевому варианту прогноза).</w:t>
      </w:r>
      <w:r w:rsidR="00997412" w:rsidRPr="004272BD">
        <w:rPr>
          <w:rFonts w:ascii="Times New Roman" w:hAnsi="Times New Roman"/>
          <w:sz w:val="24"/>
          <w:szCs w:val="24"/>
          <w:lang w:eastAsia="ar-SA"/>
        </w:rPr>
        <w:t xml:space="preserve"> </w:t>
      </w:r>
    </w:p>
    <w:p w:rsidR="00DA5647" w:rsidRPr="004272BD" w:rsidRDefault="00DA5647" w:rsidP="00E11BE7">
      <w:pPr>
        <w:tabs>
          <w:tab w:val="left" w:pos="993"/>
        </w:tabs>
        <w:snapToGrid w:val="0"/>
        <w:spacing w:after="0"/>
        <w:ind w:firstLine="709"/>
        <w:jc w:val="both"/>
        <w:rPr>
          <w:rFonts w:ascii="Times New Roman" w:hAnsi="Times New Roman"/>
          <w:bCs/>
          <w:sz w:val="24"/>
          <w:szCs w:val="24"/>
        </w:rPr>
      </w:pPr>
      <w:r w:rsidRPr="004272BD">
        <w:rPr>
          <w:rFonts w:ascii="Times New Roman" w:hAnsi="Times New Roman"/>
          <w:bCs/>
          <w:sz w:val="24"/>
          <w:szCs w:val="24"/>
        </w:rPr>
        <w:t xml:space="preserve">Показатель охвата дополнительным образованием детей </w:t>
      </w:r>
      <w:r w:rsidRPr="004272BD">
        <w:rPr>
          <w:rFonts w:ascii="Times New Roman" w:hAnsi="Times New Roman"/>
          <w:sz w:val="24"/>
          <w:szCs w:val="24"/>
          <w:lang w:eastAsia="ar-SA"/>
        </w:rPr>
        <w:t xml:space="preserve">в возрасте от 5 до 18 лет </w:t>
      </w:r>
      <w:r w:rsidRPr="004272BD">
        <w:rPr>
          <w:rFonts w:ascii="Times New Roman" w:hAnsi="Times New Roman"/>
          <w:bCs/>
          <w:sz w:val="24"/>
          <w:szCs w:val="24"/>
        </w:rPr>
        <w:t>к 2021 году составит 72,9</w:t>
      </w:r>
      <w:r w:rsidR="008E1CE1" w:rsidRPr="004272BD">
        <w:rPr>
          <w:rFonts w:ascii="Times New Roman" w:hAnsi="Times New Roman"/>
          <w:bCs/>
          <w:sz w:val="24"/>
          <w:szCs w:val="24"/>
        </w:rPr>
        <w:t xml:space="preserve"> </w:t>
      </w:r>
      <w:r w:rsidRPr="004272BD">
        <w:rPr>
          <w:rFonts w:ascii="Times New Roman" w:hAnsi="Times New Roman"/>
          <w:bCs/>
          <w:sz w:val="24"/>
          <w:szCs w:val="24"/>
        </w:rPr>
        <w:t>%</w:t>
      </w:r>
      <w:r w:rsidR="007C0AAC" w:rsidRPr="004272BD">
        <w:rPr>
          <w:rFonts w:ascii="Times New Roman" w:hAnsi="Times New Roman"/>
          <w:bCs/>
          <w:sz w:val="24"/>
          <w:szCs w:val="24"/>
        </w:rPr>
        <w:t xml:space="preserve">, </w:t>
      </w:r>
      <w:r w:rsidRPr="004272BD">
        <w:rPr>
          <w:rFonts w:ascii="Times New Roman" w:hAnsi="Times New Roman"/>
          <w:bCs/>
          <w:sz w:val="24"/>
          <w:szCs w:val="24"/>
        </w:rPr>
        <w:t>73,1</w:t>
      </w:r>
      <w:r w:rsidR="008E1CE1" w:rsidRPr="004272BD">
        <w:rPr>
          <w:rFonts w:ascii="Times New Roman" w:hAnsi="Times New Roman"/>
          <w:bCs/>
          <w:sz w:val="24"/>
          <w:szCs w:val="24"/>
        </w:rPr>
        <w:t xml:space="preserve"> </w:t>
      </w:r>
      <w:r w:rsidRPr="004272BD">
        <w:rPr>
          <w:rFonts w:ascii="Times New Roman" w:hAnsi="Times New Roman"/>
          <w:bCs/>
          <w:sz w:val="24"/>
          <w:szCs w:val="24"/>
        </w:rPr>
        <w:t>%</w:t>
      </w:r>
      <w:r w:rsidR="007C0AAC" w:rsidRPr="004272BD">
        <w:rPr>
          <w:rFonts w:ascii="Times New Roman" w:hAnsi="Times New Roman"/>
          <w:bCs/>
          <w:sz w:val="24"/>
          <w:szCs w:val="24"/>
        </w:rPr>
        <w:t xml:space="preserve">, </w:t>
      </w:r>
      <w:r w:rsidRPr="004272BD">
        <w:rPr>
          <w:rFonts w:ascii="Times New Roman" w:hAnsi="Times New Roman"/>
          <w:bCs/>
          <w:sz w:val="24"/>
          <w:szCs w:val="24"/>
        </w:rPr>
        <w:t>73,3</w:t>
      </w:r>
      <w:r w:rsidR="008E1CE1" w:rsidRPr="004272BD">
        <w:rPr>
          <w:rFonts w:ascii="Times New Roman" w:hAnsi="Times New Roman"/>
          <w:bCs/>
          <w:sz w:val="24"/>
          <w:szCs w:val="24"/>
        </w:rPr>
        <w:t xml:space="preserve"> </w:t>
      </w:r>
      <w:r w:rsidRPr="004272BD">
        <w:rPr>
          <w:rFonts w:ascii="Times New Roman" w:hAnsi="Times New Roman"/>
          <w:bCs/>
          <w:sz w:val="24"/>
          <w:szCs w:val="24"/>
        </w:rPr>
        <w:t>% по трем вариантам прогноза</w:t>
      </w:r>
      <w:r w:rsidR="00520251">
        <w:rPr>
          <w:rFonts w:ascii="Times New Roman" w:hAnsi="Times New Roman"/>
          <w:bCs/>
          <w:sz w:val="24"/>
          <w:szCs w:val="24"/>
        </w:rPr>
        <w:t xml:space="preserve"> соответственно</w:t>
      </w:r>
      <w:r w:rsidRPr="004272BD">
        <w:rPr>
          <w:rFonts w:ascii="Times New Roman" w:hAnsi="Times New Roman"/>
          <w:bCs/>
          <w:sz w:val="24"/>
          <w:szCs w:val="24"/>
        </w:rPr>
        <w:t xml:space="preserve">. </w:t>
      </w:r>
    </w:p>
    <w:p w:rsidR="0024525F" w:rsidRPr="004272BD" w:rsidRDefault="0024525F" w:rsidP="004272BD">
      <w:pPr>
        <w:tabs>
          <w:tab w:val="left" w:pos="993"/>
        </w:tabs>
        <w:snapToGrid w:val="0"/>
        <w:spacing w:after="0"/>
        <w:ind w:firstLine="709"/>
        <w:jc w:val="both"/>
        <w:rPr>
          <w:rFonts w:ascii="Times New Roman" w:hAnsi="Times New Roman"/>
          <w:bCs/>
          <w:sz w:val="24"/>
          <w:szCs w:val="24"/>
          <w:highlight w:val="yellow"/>
        </w:rPr>
      </w:pPr>
    </w:p>
    <w:p w:rsidR="0024525F" w:rsidRPr="004272BD" w:rsidRDefault="0024525F" w:rsidP="004272BD">
      <w:pPr>
        <w:tabs>
          <w:tab w:val="left" w:pos="993"/>
        </w:tabs>
        <w:snapToGrid w:val="0"/>
        <w:spacing w:after="0"/>
        <w:jc w:val="center"/>
        <w:rPr>
          <w:rFonts w:ascii="Times New Roman" w:hAnsi="Times New Roman"/>
          <w:b/>
          <w:bCs/>
          <w:sz w:val="24"/>
          <w:szCs w:val="24"/>
        </w:rPr>
      </w:pPr>
      <w:r w:rsidRPr="004272BD">
        <w:rPr>
          <w:rFonts w:ascii="Times New Roman" w:hAnsi="Times New Roman"/>
          <w:b/>
          <w:bCs/>
          <w:sz w:val="24"/>
          <w:szCs w:val="24"/>
        </w:rPr>
        <w:t>Культура</w:t>
      </w:r>
    </w:p>
    <w:p w:rsidR="00B35559" w:rsidRPr="004272BD" w:rsidRDefault="00B35559" w:rsidP="004272BD">
      <w:pPr>
        <w:tabs>
          <w:tab w:val="left" w:pos="993"/>
        </w:tabs>
        <w:snapToGrid w:val="0"/>
        <w:spacing w:after="0"/>
        <w:ind w:firstLine="709"/>
        <w:jc w:val="both"/>
        <w:rPr>
          <w:rFonts w:ascii="Times New Roman" w:hAnsi="Times New Roman"/>
          <w:b/>
          <w:bCs/>
          <w:sz w:val="24"/>
          <w:szCs w:val="24"/>
          <w:highlight w:val="yellow"/>
        </w:rPr>
      </w:pPr>
    </w:p>
    <w:p w:rsidR="00280E9F" w:rsidRPr="004272BD" w:rsidRDefault="00280E9F" w:rsidP="00E11BE7">
      <w:pPr>
        <w:spacing w:after="0"/>
        <w:ind w:firstLine="709"/>
        <w:jc w:val="both"/>
        <w:rPr>
          <w:rFonts w:ascii="Times New Roman" w:hAnsi="Times New Roman"/>
          <w:sz w:val="24"/>
          <w:szCs w:val="24"/>
        </w:rPr>
      </w:pPr>
      <w:r w:rsidRPr="004272BD">
        <w:rPr>
          <w:rFonts w:ascii="Times New Roman" w:hAnsi="Times New Roman"/>
          <w:sz w:val="24"/>
          <w:szCs w:val="24"/>
        </w:rPr>
        <w:t>В 2019 году и плановом периоде 2020-2021 годов развитие отрасли культуры на территории городского округа Тольятти будет осуществляться с учетом оптимизации и эффективного использования ресурсов муниципальных учреждений культуры и искусства. Разработка прогноза осуществлена в соответствии со стратегическими документами, действующими муниципальными и государственными программами, планом мероприятий («дорожная карта») «Изменения в отраслях социальной сферы, направленные на повышение эффективности сферы культуры» и др</w:t>
      </w:r>
      <w:r w:rsidR="00144879">
        <w:rPr>
          <w:rFonts w:ascii="Times New Roman" w:hAnsi="Times New Roman"/>
          <w:sz w:val="24"/>
          <w:szCs w:val="24"/>
        </w:rPr>
        <w:t>уг</w:t>
      </w:r>
      <w:r w:rsidR="00520251">
        <w:rPr>
          <w:rFonts w:ascii="Times New Roman" w:hAnsi="Times New Roman"/>
          <w:sz w:val="24"/>
          <w:szCs w:val="24"/>
        </w:rPr>
        <w:t>их</w:t>
      </w:r>
      <w:r w:rsidRPr="004272BD">
        <w:rPr>
          <w:rFonts w:ascii="Times New Roman" w:hAnsi="Times New Roman"/>
          <w:sz w:val="24"/>
          <w:szCs w:val="24"/>
        </w:rPr>
        <w:t xml:space="preserve">. </w:t>
      </w:r>
    </w:p>
    <w:p w:rsidR="00280E9F" w:rsidRPr="004272BD" w:rsidRDefault="00280E9F" w:rsidP="00E11BE7">
      <w:pPr>
        <w:pStyle w:val="2"/>
        <w:spacing w:after="0" w:line="276" w:lineRule="auto"/>
        <w:ind w:firstLine="709"/>
        <w:jc w:val="both"/>
        <w:rPr>
          <w:rFonts w:ascii="Times New Roman" w:hAnsi="Times New Roman"/>
          <w:sz w:val="24"/>
          <w:szCs w:val="24"/>
        </w:rPr>
      </w:pPr>
      <w:r w:rsidRPr="004272BD">
        <w:rPr>
          <w:rFonts w:ascii="Times New Roman" w:hAnsi="Times New Roman"/>
          <w:sz w:val="24"/>
          <w:szCs w:val="24"/>
        </w:rPr>
        <w:t xml:space="preserve">В перспективе ожидается поступление средств вышестоящих бюджетов на решение ключевой проблемы по укреплению материально-технической базы МБУК «Тольяттинский краеведческий музей», </w:t>
      </w:r>
      <w:proofErr w:type="spellStart"/>
      <w:r w:rsidRPr="004272BD">
        <w:rPr>
          <w:rFonts w:ascii="Times New Roman" w:hAnsi="Times New Roman"/>
          <w:sz w:val="24"/>
          <w:szCs w:val="24"/>
        </w:rPr>
        <w:t>МАУИиК</w:t>
      </w:r>
      <w:proofErr w:type="spellEnd"/>
      <w:r w:rsidRPr="004272BD">
        <w:rPr>
          <w:rFonts w:ascii="Times New Roman" w:hAnsi="Times New Roman"/>
          <w:sz w:val="24"/>
          <w:szCs w:val="24"/>
        </w:rPr>
        <w:t xml:space="preserve"> «Тольяттинская филармония» и др</w:t>
      </w:r>
      <w:r w:rsidR="00144879">
        <w:rPr>
          <w:rFonts w:ascii="Times New Roman" w:hAnsi="Times New Roman"/>
          <w:sz w:val="24"/>
          <w:szCs w:val="24"/>
        </w:rPr>
        <w:t>уг</w:t>
      </w:r>
      <w:r w:rsidR="00520251">
        <w:rPr>
          <w:rFonts w:ascii="Times New Roman" w:hAnsi="Times New Roman"/>
          <w:sz w:val="24"/>
          <w:szCs w:val="24"/>
        </w:rPr>
        <w:t>их</w:t>
      </w:r>
      <w:r w:rsidRPr="004272BD">
        <w:rPr>
          <w:rFonts w:ascii="Times New Roman" w:hAnsi="Times New Roman"/>
          <w:sz w:val="24"/>
          <w:szCs w:val="24"/>
        </w:rPr>
        <w:t xml:space="preserve">. Общая запрашиваемая сумма по заявкам из средств областного бюджета на прогнозный период составила 38 296,5 тыс. </w:t>
      </w:r>
      <w:r w:rsidR="00BF0444" w:rsidRPr="004272BD">
        <w:rPr>
          <w:rFonts w:ascii="Times New Roman" w:hAnsi="Times New Roman"/>
          <w:sz w:val="24"/>
          <w:szCs w:val="24"/>
        </w:rPr>
        <w:t>рублей</w:t>
      </w:r>
      <w:r w:rsidR="00997412" w:rsidRPr="004272BD">
        <w:rPr>
          <w:rFonts w:ascii="Times New Roman" w:hAnsi="Times New Roman"/>
          <w:sz w:val="24"/>
          <w:szCs w:val="24"/>
        </w:rPr>
        <w:t>.</w:t>
      </w:r>
    </w:p>
    <w:p w:rsidR="00280E9F" w:rsidRPr="004272BD" w:rsidRDefault="00280E9F" w:rsidP="00E11BE7">
      <w:pPr>
        <w:pStyle w:val="2"/>
        <w:spacing w:after="0" w:line="276" w:lineRule="auto"/>
        <w:ind w:firstLine="709"/>
        <w:jc w:val="both"/>
        <w:rPr>
          <w:rFonts w:ascii="Times New Roman" w:hAnsi="Times New Roman"/>
          <w:sz w:val="24"/>
          <w:szCs w:val="24"/>
        </w:rPr>
      </w:pPr>
      <w:proofErr w:type="gramStart"/>
      <w:r w:rsidRPr="004272BD">
        <w:rPr>
          <w:rFonts w:ascii="Times New Roman" w:hAnsi="Times New Roman"/>
          <w:sz w:val="24"/>
          <w:szCs w:val="24"/>
        </w:rPr>
        <w:t>В целях дальнейшего социально-экономического развития, создания условий и возможностей для самореализации и раскрытия таланта каждого человека,  формирование культурной политики в прогнозн</w:t>
      </w:r>
      <w:r w:rsidR="00997412" w:rsidRPr="004272BD">
        <w:rPr>
          <w:rFonts w:ascii="Times New Roman" w:hAnsi="Times New Roman"/>
          <w:sz w:val="24"/>
          <w:szCs w:val="24"/>
        </w:rPr>
        <w:t>ом</w:t>
      </w:r>
      <w:r w:rsidRPr="004272BD">
        <w:rPr>
          <w:rFonts w:ascii="Times New Roman" w:hAnsi="Times New Roman"/>
          <w:sz w:val="24"/>
          <w:szCs w:val="24"/>
        </w:rPr>
        <w:t xml:space="preserve"> период</w:t>
      </w:r>
      <w:r w:rsidR="00997412" w:rsidRPr="004272BD">
        <w:rPr>
          <w:rFonts w:ascii="Times New Roman" w:hAnsi="Times New Roman"/>
          <w:sz w:val="24"/>
          <w:szCs w:val="24"/>
        </w:rPr>
        <w:t>е</w:t>
      </w:r>
      <w:r w:rsidRPr="004272BD">
        <w:rPr>
          <w:rFonts w:ascii="Times New Roman" w:hAnsi="Times New Roman"/>
          <w:sz w:val="24"/>
          <w:szCs w:val="24"/>
        </w:rPr>
        <w:t xml:space="preserve"> предполагается в соответствии с Указом Президента Российской Федерации от 07.05.2018 г. № 204 «О национальных целях и стратегических задачах развития Российской Федерации на период до 2024 года».</w:t>
      </w:r>
      <w:proofErr w:type="gramEnd"/>
      <w:r w:rsidRPr="004272BD">
        <w:rPr>
          <w:rFonts w:ascii="Times New Roman" w:hAnsi="Times New Roman"/>
          <w:sz w:val="24"/>
          <w:szCs w:val="24"/>
        </w:rPr>
        <w:t xml:space="preserve"> </w:t>
      </w:r>
      <w:r w:rsidR="00997412" w:rsidRPr="004272BD">
        <w:rPr>
          <w:rFonts w:ascii="Times New Roman" w:hAnsi="Times New Roman"/>
          <w:sz w:val="24"/>
          <w:szCs w:val="24"/>
        </w:rPr>
        <w:t>Администрацией городского округа Тольятти</w:t>
      </w:r>
      <w:r w:rsidRPr="004272BD">
        <w:rPr>
          <w:rFonts w:ascii="Times New Roman" w:hAnsi="Times New Roman"/>
          <w:sz w:val="24"/>
          <w:szCs w:val="24"/>
        </w:rPr>
        <w:t xml:space="preserve"> в инициативном порядке подготовлены и направлены в </w:t>
      </w:r>
      <w:r w:rsidR="00144879">
        <w:rPr>
          <w:rFonts w:ascii="Times New Roman" w:hAnsi="Times New Roman"/>
          <w:sz w:val="24"/>
          <w:szCs w:val="24"/>
        </w:rPr>
        <w:t>М</w:t>
      </w:r>
      <w:r w:rsidRPr="004272BD">
        <w:rPr>
          <w:rFonts w:ascii="Times New Roman" w:hAnsi="Times New Roman"/>
          <w:sz w:val="24"/>
          <w:szCs w:val="24"/>
        </w:rPr>
        <w:t xml:space="preserve">инистерство культуры Самарской области предложения  для рассмотрения  и учета при формировании заявки от Самарской области в национальный проект «Культура» на 2019 -2024 гг. на общую сумму  900 096,2 тыс. </w:t>
      </w:r>
      <w:r w:rsidR="00BF0444" w:rsidRPr="004272BD">
        <w:rPr>
          <w:rFonts w:ascii="Times New Roman" w:hAnsi="Times New Roman"/>
          <w:sz w:val="24"/>
          <w:szCs w:val="24"/>
        </w:rPr>
        <w:t>рублей</w:t>
      </w:r>
      <w:r w:rsidR="00997412" w:rsidRPr="004272BD">
        <w:rPr>
          <w:rFonts w:ascii="Times New Roman" w:hAnsi="Times New Roman"/>
          <w:sz w:val="24"/>
          <w:szCs w:val="24"/>
        </w:rPr>
        <w:t>.</w:t>
      </w:r>
    </w:p>
    <w:p w:rsidR="00280E9F" w:rsidRPr="004272BD" w:rsidRDefault="00280E9F" w:rsidP="00E11BE7">
      <w:pPr>
        <w:spacing w:after="0"/>
        <w:ind w:firstLine="709"/>
        <w:jc w:val="both"/>
        <w:rPr>
          <w:rFonts w:ascii="Times New Roman" w:hAnsi="Times New Roman"/>
          <w:sz w:val="24"/>
          <w:szCs w:val="24"/>
        </w:rPr>
      </w:pPr>
      <w:proofErr w:type="gramStart"/>
      <w:r w:rsidRPr="004272BD">
        <w:rPr>
          <w:rFonts w:ascii="Times New Roman" w:hAnsi="Times New Roman"/>
          <w:sz w:val="24"/>
          <w:szCs w:val="24"/>
        </w:rPr>
        <w:t xml:space="preserve">При сохранении количества общедоступных библиотек в прогнозном периоде в 2019 году ожидается сохранение обеспеченности общедоступными библиотеками на уровне 0,61 учреждение на 10 тыс. населения,  в период 2020-2021 годов за счет прогнозируемого снижения численности населения городского округа </w:t>
      </w:r>
      <w:r w:rsidR="00997412" w:rsidRPr="004272BD">
        <w:rPr>
          <w:rFonts w:ascii="Times New Roman" w:hAnsi="Times New Roman"/>
          <w:sz w:val="24"/>
          <w:szCs w:val="24"/>
        </w:rPr>
        <w:t xml:space="preserve">Тольятти </w:t>
      </w:r>
      <w:r w:rsidRPr="004272BD">
        <w:rPr>
          <w:rFonts w:ascii="Times New Roman" w:hAnsi="Times New Roman"/>
          <w:sz w:val="24"/>
          <w:szCs w:val="24"/>
        </w:rPr>
        <w:t>значение показателя ожидается на уровне 0,62 учреждения на 10 тыс. населения.</w:t>
      </w:r>
      <w:proofErr w:type="gramEnd"/>
    </w:p>
    <w:p w:rsidR="00280E9F" w:rsidRPr="004272BD" w:rsidRDefault="00280E9F" w:rsidP="00E11BE7">
      <w:pPr>
        <w:spacing w:after="0"/>
        <w:ind w:firstLine="709"/>
        <w:jc w:val="both"/>
        <w:rPr>
          <w:rFonts w:ascii="Times New Roman" w:hAnsi="Times New Roman"/>
          <w:sz w:val="24"/>
          <w:szCs w:val="24"/>
        </w:rPr>
      </w:pPr>
      <w:r w:rsidRPr="004272BD">
        <w:rPr>
          <w:rFonts w:ascii="Times New Roman" w:hAnsi="Times New Roman"/>
          <w:sz w:val="24"/>
          <w:szCs w:val="24"/>
        </w:rPr>
        <w:t xml:space="preserve">Количество действующих в настоящее время  учреждений культурно-досугового типа (5 единиц) не планируется к увеличению, обеспеченность учреждениями культурно-досугового типа в прогнозном периоде составит  стабильное значение 0,07 учреждений на 10 тыс. населения.  </w:t>
      </w:r>
    </w:p>
    <w:p w:rsidR="00280E9F" w:rsidRPr="004272BD" w:rsidRDefault="00280E9F" w:rsidP="00E11BE7">
      <w:pPr>
        <w:spacing w:after="0"/>
        <w:ind w:firstLine="709"/>
        <w:jc w:val="both"/>
        <w:rPr>
          <w:rFonts w:ascii="Times New Roman" w:hAnsi="Times New Roman"/>
          <w:sz w:val="24"/>
          <w:szCs w:val="24"/>
        </w:rPr>
      </w:pPr>
      <w:proofErr w:type="gramStart"/>
      <w:r w:rsidRPr="004272BD">
        <w:rPr>
          <w:rFonts w:ascii="Times New Roman" w:hAnsi="Times New Roman"/>
          <w:sz w:val="24"/>
          <w:szCs w:val="24"/>
        </w:rPr>
        <w:t xml:space="preserve">В целом за прогнозный период с учетом планируемых мероприятий количество посещений социокультурных мероприятий может увеличиться относительно оценки 2018 года по консервативному и базовому вариантам на 6,3 %, по целевому  варианту – на 6,4 </w:t>
      </w:r>
      <w:r w:rsidRPr="004272BD">
        <w:rPr>
          <w:rFonts w:ascii="Times New Roman" w:hAnsi="Times New Roman"/>
          <w:sz w:val="24"/>
          <w:szCs w:val="24"/>
        </w:rPr>
        <w:lastRenderedPageBreak/>
        <w:t xml:space="preserve">%, достигнув к 2021 году 2400-2403 посещений на 1000 </w:t>
      </w:r>
      <w:r w:rsidR="00BD29CE" w:rsidRPr="004272BD">
        <w:rPr>
          <w:rFonts w:ascii="Times New Roman" w:hAnsi="Times New Roman"/>
          <w:sz w:val="24"/>
          <w:szCs w:val="24"/>
        </w:rPr>
        <w:t>человек</w:t>
      </w:r>
      <w:r w:rsidRPr="004272BD">
        <w:rPr>
          <w:rFonts w:ascii="Times New Roman" w:hAnsi="Times New Roman"/>
          <w:sz w:val="24"/>
          <w:szCs w:val="24"/>
        </w:rPr>
        <w:t xml:space="preserve"> населения в зависимости от вариантов развития. </w:t>
      </w:r>
      <w:proofErr w:type="gramEnd"/>
    </w:p>
    <w:p w:rsidR="00280E9F" w:rsidRPr="004272BD" w:rsidRDefault="00280E9F" w:rsidP="00E11BE7">
      <w:pPr>
        <w:spacing w:after="0"/>
        <w:ind w:firstLine="709"/>
        <w:jc w:val="both"/>
        <w:rPr>
          <w:rFonts w:ascii="Times New Roman" w:hAnsi="Times New Roman"/>
          <w:sz w:val="24"/>
          <w:szCs w:val="24"/>
        </w:rPr>
      </w:pPr>
      <w:r w:rsidRPr="004272BD">
        <w:rPr>
          <w:rFonts w:ascii="Times New Roman" w:hAnsi="Times New Roman"/>
          <w:sz w:val="24"/>
          <w:szCs w:val="24"/>
        </w:rPr>
        <w:t>Увеличение значений показателя «Количество посещений социокультурных мероприятий на территории муниципального образования» прогнозируется с учетом основных направлений деятельности, осуществляемых и планируемых к осуществлению органами местного самоуправления в целях проведения крупных праздничных культурно-массовых мероприятий и вовлечения населения к участию в этих мероприятиях, в том числе в мероприятиях по празднованию 50-летия выпуска первого легкового автомобиля ВАЗ</w:t>
      </w:r>
      <w:r w:rsidR="00EB7739">
        <w:rPr>
          <w:rFonts w:ascii="Times New Roman" w:hAnsi="Times New Roman"/>
          <w:sz w:val="24"/>
          <w:szCs w:val="24"/>
        </w:rPr>
        <w:t xml:space="preserve"> в г.о. Тольятти</w:t>
      </w:r>
      <w:r w:rsidRPr="004272BD">
        <w:rPr>
          <w:rFonts w:ascii="Times New Roman" w:hAnsi="Times New Roman"/>
          <w:sz w:val="24"/>
          <w:szCs w:val="24"/>
        </w:rPr>
        <w:t>, 75-летия Победы в Великой Отечественной войне и др</w:t>
      </w:r>
      <w:r w:rsidR="00144879">
        <w:rPr>
          <w:rFonts w:ascii="Times New Roman" w:hAnsi="Times New Roman"/>
          <w:sz w:val="24"/>
          <w:szCs w:val="24"/>
        </w:rPr>
        <w:t>уг</w:t>
      </w:r>
      <w:r w:rsidR="00520251">
        <w:rPr>
          <w:rFonts w:ascii="Times New Roman" w:hAnsi="Times New Roman"/>
          <w:sz w:val="24"/>
          <w:szCs w:val="24"/>
        </w:rPr>
        <w:t>их</w:t>
      </w:r>
      <w:r w:rsidRPr="004272BD">
        <w:rPr>
          <w:rFonts w:ascii="Times New Roman" w:hAnsi="Times New Roman"/>
          <w:sz w:val="24"/>
          <w:szCs w:val="24"/>
        </w:rPr>
        <w:t xml:space="preserve">. Благоустройство городской среды в моногороде позволит расширить места отдыха для населения и создать условия для проведения мероприятий на открытых площадках по месту жительства. </w:t>
      </w:r>
    </w:p>
    <w:p w:rsidR="00280E9F" w:rsidRPr="004272BD" w:rsidRDefault="00280E9F" w:rsidP="00E11BE7">
      <w:pPr>
        <w:pStyle w:val="2"/>
        <w:spacing w:after="0" w:line="276" w:lineRule="auto"/>
        <w:ind w:firstLine="709"/>
        <w:jc w:val="both"/>
        <w:rPr>
          <w:rFonts w:ascii="Times New Roman" w:hAnsi="Times New Roman"/>
          <w:sz w:val="24"/>
          <w:szCs w:val="24"/>
        </w:rPr>
      </w:pPr>
      <w:r w:rsidRPr="004272BD">
        <w:rPr>
          <w:rFonts w:ascii="Times New Roman" w:hAnsi="Times New Roman"/>
          <w:sz w:val="24"/>
          <w:szCs w:val="24"/>
        </w:rPr>
        <w:t>Прогнозируемое увеличение количества посещений социокультурных мероприятий предполагается также через участие в программах различных статусов: за счет средств вышестоящих бюджетов предполагается завершение капитального ремонта здания МБУК «ДЦ «Русич», МАУИ «ТЮЗ «Дилижанс», реконструкция корпуса МАУИ ДТ «Колесо» им. народного артиста России Г.Б. Дроздова (ул. Свердлова, 11а) и строительство Выставочного зала с созданием благоустроенных многофункциональных площадок в городской среде и современных залов.</w:t>
      </w:r>
    </w:p>
    <w:p w:rsidR="00280E9F" w:rsidRPr="004272BD" w:rsidRDefault="00280E9F" w:rsidP="00E11BE7">
      <w:pPr>
        <w:pStyle w:val="2"/>
        <w:spacing w:after="0" w:line="276" w:lineRule="auto"/>
        <w:ind w:firstLine="709"/>
        <w:jc w:val="both"/>
        <w:rPr>
          <w:rFonts w:ascii="Times New Roman" w:hAnsi="Times New Roman"/>
          <w:sz w:val="24"/>
          <w:szCs w:val="24"/>
        </w:rPr>
      </w:pPr>
      <w:r w:rsidRPr="004272BD">
        <w:rPr>
          <w:rFonts w:ascii="Times New Roman" w:hAnsi="Times New Roman"/>
          <w:sz w:val="24"/>
          <w:szCs w:val="24"/>
        </w:rPr>
        <w:t>С 2019 года начнет свое действие новая муниципальная программа «Культура Тольятти на 2019 – 2023 годы», целью которой является повышение стратегической роли культуры в создании благоприятных условий для поддержки творческих инициатив, досуговой и образовательной деятельности, сохранения исторического наследия и развития культурной среды в городском округе Тольятти.</w:t>
      </w:r>
    </w:p>
    <w:p w:rsidR="00280E9F" w:rsidRPr="004272BD" w:rsidRDefault="00280E9F" w:rsidP="00E11BE7">
      <w:pPr>
        <w:pStyle w:val="2"/>
        <w:spacing w:after="0" w:line="276" w:lineRule="auto"/>
        <w:ind w:firstLine="709"/>
        <w:jc w:val="both"/>
        <w:rPr>
          <w:rFonts w:ascii="Times New Roman" w:hAnsi="Times New Roman"/>
          <w:sz w:val="24"/>
          <w:szCs w:val="24"/>
        </w:rPr>
      </w:pPr>
      <w:r w:rsidRPr="004272BD">
        <w:rPr>
          <w:rFonts w:ascii="Times New Roman" w:hAnsi="Times New Roman"/>
          <w:sz w:val="24"/>
          <w:szCs w:val="24"/>
        </w:rPr>
        <w:t xml:space="preserve">Таким образом, несмотря на ограниченность собственных ресурсов,  прогнозируется сохранение динамики развития отрасли «Культура». </w:t>
      </w:r>
      <w:proofErr w:type="gramStart"/>
      <w:r w:rsidRPr="004272BD">
        <w:rPr>
          <w:rFonts w:ascii="Times New Roman" w:hAnsi="Times New Roman"/>
          <w:sz w:val="24"/>
          <w:szCs w:val="24"/>
        </w:rPr>
        <w:t xml:space="preserve">Основными  направлениями деятельности отрасли в прогнозном периоде остаются: укрепление материально-технической базы учреждений (приобретение специализированного оборудования, обеспечение безопасности посетителей, повышение комфортности и привлекательности учреждений); совершенствование системы оплаты труда работников культуры; улучшение качества оказываемых услуг. </w:t>
      </w:r>
      <w:proofErr w:type="gramEnd"/>
    </w:p>
    <w:p w:rsidR="00280E9F" w:rsidRPr="004272BD" w:rsidRDefault="00280E9F" w:rsidP="00E11BE7">
      <w:pPr>
        <w:pStyle w:val="32"/>
        <w:spacing w:after="0"/>
        <w:ind w:left="0" w:firstLine="709"/>
        <w:jc w:val="both"/>
        <w:rPr>
          <w:rFonts w:ascii="Times New Roman" w:hAnsi="Times New Roman"/>
          <w:sz w:val="24"/>
          <w:szCs w:val="24"/>
        </w:rPr>
      </w:pPr>
      <w:proofErr w:type="gramStart"/>
      <w:r w:rsidRPr="004272BD">
        <w:rPr>
          <w:rFonts w:ascii="Times New Roman" w:hAnsi="Times New Roman"/>
          <w:sz w:val="24"/>
          <w:szCs w:val="24"/>
        </w:rPr>
        <w:t>Существенным препятствием в эффективном развитии отрасли культуры, ускорении темпов проектирования и строительства новых объектов, привлечении высококвалифицированных кадров, значительном увеличении объема услуг в соответствии с современными потребностями населения, а также в сохранении историко-культурного наследия,  остаются недостаточность объемов  инвестиций из бюджетов различных уровней и невысокий уровень доходов населения.</w:t>
      </w:r>
      <w:proofErr w:type="gramEnd"/>
    </w:p>
    <w:p w:rsidR="0024525F" w:rsidRPr="004272BD" w:rsidRDefault="0024525F" w:rsidP="004272BD">
      <w:pPr>
        <w:pStyle w:val="32"/>
        <w:widowControl w:val="0"/>
        <w:spacing w:after="0"/>
        <w:ind w:left="0" w:firstLine="709"/>
        <w:jc w:val="both"/>
        <w:rPr>
          <w:rFonts w:ascii="Times New Roman" w:hAnsi="Times New Roman"/>
          <w:sz w:val="24"/>
          <w:szCs w:val="24"/>
          <w:highlight w:val="yellow"/>
        </w:rPr>
      </w:pPr>
    </w:p>
    <w:p w:rsidR="0024525F" w:rsidRPr="004272BD" w:rsidRDefault="0024525F" w:rsidP="004272BD">
      <w:pPr>
        <w:pStyle w:val="32"/>
        <w:widowControl w:val="0"/>
        <w:spacing w:after="0"/>
        <w:ind w:left="0"/>
        <w:jc w:val="center"/>
        <w:rPr>
          <w:rFonts w:ascii="Times New Roman" w:hAnsi="Times New Roman"/>
          <w:b/>
          <w:sz w:val="24"/>
          <w:szCs w:val="24"/>
        </w:rPr>
      </w:pPr>
      <w:r w:rsidRPr="004272BD">
        <w:rPr>
          <w:rFonts w:ascii="Times New Roman" w:hAnsi="Times New Roman"/>
          <w:b/>
          <w:sz w:val="24"/>
          <w:szCs w:val="24"/>
        </w:rPr>
        <w:t>Физическая культура и спорт</w:t>
      </w:r>
    </w:p>
    <w:p w:rsidR="0024525F" w:rsidRPr="004272BD" w:rsidRDefault="0024525F" w:rsidP="004272BD">
      <w:pPr>
        <w:pStyle w:val="32"/>
        <w:widowControl w:val="0"/>
        <w:spacing w:after="0"/>
        <w:ind w:left="0" w:firstLine="709"/>
        <w:jc w:val="both"/>
        <w:rPr>
          <w:rFonts w:ascii="Times New Roman" w:hAnsi="Times New Roman"/>
          <w:b/>
          <w:sz w:val="24"/>
          <w:szCs w:val="24"/>
          <w:highlight w:val="yellow"/>
        </w:rPr>
      </w:pP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Основной целью развития отрасли является создание в городском округе Тольятти условий для роста численности населения, систематически занимающегося физической культурой и спортом.</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Для положительной динамики численности населения</w:t>
      </w:r>
      <w:r w:rsidR="00283D22" w:rsidRPr="004272BD">
        <w:rPr>
          <w:rFonts w:ascii="Times New Roman" w:hAnsi="Times New Roman"/>
          <w:sz w:val="24"/>
          <w:szCs w:val="24"/>
        </w:rPr>
        <w:t>,</w:t>
      </w:r>
      <w:r w:rsidRPr="004272BD">
        <w:rPr>
          <w:rFonts w:ascii="Times New Roman" w:hAnsi="Times New Roman"/>
          <w:sz w:val="24"/>
          <w:szCs w:val="24"/>
        </w:rPr>
        <w:t xml:space="preserve"> систематически занимающихся физической культурой и спортом планируется введение ставок </w:t>
      </w:r>
      <w:r w:rsidRPr="004272BD">
        <w:rPr>
          <w:rFonts w:ascii="Times New Roman" w:hAnsi="Times New Roman"/>
          <w:sz w:val="24"/>
          <w:szCs w:val="24"/>
        </w:rPr>
        <w:lastRenderedPageBreak/>
        <w:t>инструкторов. В целях создания необходимых условий для увеличения количества населения постоянно занимающихся физкультурой и спортом по месту жительства, необходимо постепенно увеличить количество ставок инструкторов по спорту в МБУС Центр физической культуры и спорта, введенных в 2016-2017 годах с 17 ед</w:t>
      </w:r>
      <w:r w:rsidR="00997412" w:rsidRPr="004272BD">
        <w:rPr>
          <w:rFonts w:ascii="Times New Roman" w:hAnsi="Times New Roman"/>
          <w:sz w:val="24"/>
          <w:szCs w:val="24"/>
        </w:rPr>
        <w:t>иниц</w:t>
      </w:r>
      <w:r w:rsidRPr="004272BD">
        <w:rPr>
          <w:rFonts w:ascii="Times New Roman" w:hAnsi="Times New Roman"/>
          <w:sz w:val="24"/>
          <w:szCs w:val="24"/>
        </w:rPr>
        <w:t xml:space="preserve"> до 89 ед</w:t>
      </w:r>
      <w:r w:rsidR="00997412" w:rsidRPr="004272BD">
        <w:rPr>
          <w:rFonts w:ascii="Times New Roman" w:hAnsi="Times New Roman"/>
          <w:sz w:val="24"/>
          <w:szCs w:val="24"/>
        </w:rPr>
        <w:t>иниц</w:t>
      </w:r>
      <w:r w:rsidRPr="004272BD">
        <w:rPr>
          <w:rFonts w:ascii="Times New Roman" w:hAnsi="Times New Roman"/>
          <w:sz w:val="24"/>
          <w:szCs w:val="24"/>
        </w:rPr>
        <w:t>, в соответствии с рекомендациями Министерства спорта Самарской области, устанавливающими показатель из расч</w:t>
      </w:r>
      <w:r w:rsidR="00997412" w:rsidRPr="004272BD">
        <w:rPr>
          <w:rFonts w:ascii="Times New Roman" w:hAnsi="Times New Roman"/>
          <w:sz w:val="24"/>
          <w:szCs w:val="24"/>
        </w:rPr>
        <w:t>е</w:t>
      </w:r>
      <w:r w:rsidRPr="004272BD">
        <w:rPr>
          <w:rFonts w:ascii="Times New Roman" w:hAnsi="Times New Roman"/>
          <w:sz w:val="24"/>
          <w:szCs w:val="24"/>
        </w:rPr>
        <w:t>та - 1 инструктор на 8 000 жителей.</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Приоритетным направлением работы по развитию физической культуры и спорта в прогноз</w:t>
      </w:r>
      <w:r w:rsidR="00997412" w:rsidRPr="004272BD">
        <w:rPr>
          <w:rFonts w:ascii="Times New Roman" w:hAnsi="Times New Roman"/>
          <w:sz w:val="24"/>
          <w:szCs w:val="24"/>
        </w:rPr>
        <w:t>ном</w:t>
      </w:r>
      <w:r w:rsidRPr="004272BD">
        <w:rPr>
          <w:rFonts w:ascii="Times New Roman" w:hAnsi="Times New Roman"/>
          <w:sz w:val="24"/>
          <w:szCs w:val="24"/>
        </w:rPr>
        <w:t xml:space="preserve"> период</w:t>
      </w:r>
      <w:r w:rsidR="00997412" w:rsidRPr="004272BD">
        <w:rPr>
          <w:rFonts w:ascii="Times New Roman" w:hAnsi="Times New Roman"/>
          <w:sz w:val="24"/>
          <w:szCs w:val="24"/>
        </w:rPr>
        <w:t>е</w:t>
      </w:r>
      <w:r w:rsidRPr="004272BD">
        <w:rPr>
          <w:rFonts w:ascii="Times New Roman" w:hAnsi="Times New Roman"/>
          <w:sz w:val="24"/>
          <w:szCs w:val="24"/>
        </w:rPr>
        <w:t xml:space="preserve"> </w:t>
      </w:r>
      <w:r w:rsidR="00902642" w:rsidRPr="004272BD">
        <w:rPr>
          <w:rFonts w:ascii="Times New Roman" w:hAnsi="Times New Roman"/>
          <w:sz w:val="24"/>
          <w:szCs w:val="24"/>
        </w:rPr>
        <w:t>определено</w:t>
      </w:r>
      <w:r w:rsidRPr="004272BD">
        <w:rPr>
          <w:rFonts w:ascii="Times New Roman" w:hAnsi="Times New Roman"/>
          <w:sz w:val="24"/>
          <w:szCs w:val="24"/>
        </w:rPr>
        <w:t xml:space="preserve">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rsidR="006711B5" w:rsidRPr="004272BD" w:rsidRDefault="00F40A2A"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В целях </w:t>
      </w:r>
      <w:r w:rsidR="006711B5" w:rsidRPr="004272BD">
        <w:rPr>
          <w:rFonts w:ascii="Times New Roman" w:hAnsi="Times New Roman"/>
          <w:sz w:val="24"/>
          <w:szCs w:val="24"/>
        </w:rPr>
        <w:t>проведения учебно-тренировочных занятий</w:t>
      </w:r>
      <w:r w:rsidRPr="004272BD">
        <w:rPr>
          <w:rFonts w:ascii="Times New Roman" w:hAnsi="Times New Roman"/>
          <w:sz w:val="24"/>
          <w:szCs w:val="24"/>
        </w:rPr>
        <w:t>,</w:t>
      </w:r>
      <w:r w:rsidR="006711B5" w:rsidRPr="004272BD">
        <w:rPr>
          <w:rFonts w:ascii="Times New Roman" w:hAnsi="Times New Roman"/>
          <w:sz w:val="24"/>
          <w:szCs w:val="24"/>
        </w:rPr>
        <w:t xml:space="preserve"> физкультурных и спортивных мероприятий, привлечения обучающихся образовательных организаций к регулярным занятиям физической культурой и спортом, необходимо обеспечить модернизацию пришкольных спортивных площадок и оснащение их оборудованием в соответствии с современными требованиями.</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В связи с наличием проблемы недостаточности материально-технической базы для занятий физической культурой и спортом на территории городского округа Тольятти разработана муниципальная программа «Развитие физической культуры и спорта в городском округе Тольятти на 2017-2021 годы», одной из задач которой предусматривается строительство, реконструкция и капитальный ремонт спортивных объектов в прогноз</w:t>
      </w:r>
      <w:r w:rsidR="00144879">
        <w:rPr>
          <w:rFonts w:ascii="Times New Roman" w:hAnsi="Times New Roman"/>
          <w:sz w:val="24"/>
          <w:szCs w:val="24"/>
        </w:rPr>
        <w:t>ном</w:t>
      </w:r>
      <w:r w:rsidRPr="004272BD">
        <w:rPr>
          <w:rFonts w:ascii="Times New Roman" w:hAnsi="Times New Roman"/>
          <w:sz w:val="24"/>
          <w:szCs w:val="24"/>
        </w:rPr>
        <w:t xml:space="preserve"> периоде. </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Учитывая проблему городского округа Тольятти с дефицитом бюджетных средств для планомерного строительства, ремонта и реконструкции спортивных сооружений, и принимая во внимание необходимость реализации приоритетных направлений отрасли по увеличению низкого уровня обеспеченности населения спортивными сооружениями подг</w:t>
      </w:r>
      <w:r w:rsidR="00144879">
        <w:rPr>
          <w:rFonts w:ascii="Times New Roman" w:hAnsi="Times New Roman"/>
          <w:sz w:val="24"/>
          <w:szCs w:val="24"/>
        </w:rPr>
        <w:t>отовлены и направлены заявки в М</w:t>
      </w:r>
      <w:r w:rsidRPr="004272BD">
        <w:rPr>
          <w:rFonts w:ascii="Times New Roman" w:hAnsi="Times New Roman"/>
          <w:sz w:val="24"/>
          <w:szCs w:val="24"/>
        </w:rPr>
        <w:t xml:space="preserve">инистерство спорта Самарской области о </w:t>
      </w:r>
      <w:proofErr w:type="spellStart"/>
      <w:r w:rsidRPr="004272BD">
        <w:rPr>
          <w:rFonts w:ascii="Times New Roman" w:hAnsi="Times New Roman"/>
          <w:sz w:val="24"/>
          <w:szCs w:val="24"/>
        </w:rPr>
        <w:t>софинансировании</w:t>
      </w:r>
      <w:proofErr w:type="spellEnd"/>
      <w:r w:rsidRPr="004272BD">
        <w:rPr>
          <w:rFonts w:ascii="Times New Roman" w:hAnsi="Times New Roman"/>
          <w:sz w:val="24"/>
          <w:szCs w:val="24"/>
        </w:rPr>
        <w:t xml:space="preserve"> строительства на территории городского округа Тольятти спортивных объектов.</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Согласно поданным заявкам в государственную программу Самарской области «Развитие физической культуры и спорта в Самарской области на 2014-2020 годы» за счет средств областного и федерального бюджетов запланированы к реализации до 2020 года мероприятия по строительству следующих спортивных объектов:</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1.  Многофункциональные физкультурно-спортивные комплексы (2 ед.), так называемые «тройки» (бассейн, универсальный игровой зал, искусственный лед) в Комсомольском районе около речного порта и в п.Шлюзовой на пересечении улиц Шлюзовая и Железнодорожная, срок реализации 2018-2020 годы.</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2. Легкоатлетический манеж (круговая дорожка 200 метров) на стадионе «Торпедо», срок реализации 2018-2020 годы.</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3. Центр спортивной гимнастики «</w:t>
      </w:r>
      <w:proofErr w:type="spellStart"/>
      <w:r w:rsidRPr="004272BD">
        <w:rPr>
          <w:rFonts w:ascii="Times New Roman" w:hAnsi="Times New Roman"/>
          <w:sz w:val="24"/>
          <w:szCs w:val="24"/>
        </w:rPr>
        <w:t>Немов-центр</w:t>
      </w:r>
      <w:proofErr w:type="spellEnd"/>
      <w:r w:rsidRPr="004272BD">
        <w:rPr>
          <w:rFonts w:ascii="Times New Roman" w:hAnsi="Times New Roman"/>
          <w:sz w:val="24"/>
          <w:szCs w:val="24"/>
        </w:rPr>
        <w:t>», срок реализации 2018-2020 годы в Автозаводском районе.</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4. Физкультурно-спортивные комплексы (2 ед.), так называемые «единички» (универсальный зал 36х18м и раздевалки с подсобными помещениями), срок реализации 2019-2020 годы:</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 физкультурно-спортивный комплекс в 21 квартале Автозаводского района для </w:t>
      </w:r>
      <w:r w:rsidRPr="004272BD">
        <w:rPr>
          <w:rFonts w:ascii="Times New Roman" w:hAnsi="Times New Roman"/>
          <w:sz w:val="24"/>
          <w:szCs w:val="24"/>
        </w:rPr>
        <w:lastRenderedPageBreak/>
        <w:t>МБУДО СДЮСШОР № 7 «Акробат».</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физкультурно-спортивный комплекс с универсальным игровым залом (36х18м) по адресу: Самарская область, г.Тольятти, Автозаводский район, южнее здания № 15 по бул. Кулибина, для МБУДО СДЮСШОР № 8 «Союз».</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Наличие новых спортивных объектов и действующих объектов, приведенных в соответствие с современным требованиям в совокупности будет способствовать созданию сети спортивных клубов по месту жительства,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увеличения количества занимающихся среди инвалидов и соответственно позволит обеспечить рост показателей отрасли.</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Таким образом, в прогнозном периоде предполагается увеличение доли населения, систематически занимающегося физической культурой и спортом. По оценке, данный показатель к 2021 году достигнет значения: 39,5</w:t>
      </w:r>
      <w:r w:rsidR="00902642" w:rsidRPr="004272BD">
        <w:rPr>
          <w:rFonts w:ascii="Times New Roman" w:hAnsi="Times New Roman"/>
          <w:sz w:val="24"/>
          <w:szCs w:val="24"/>
        </w:rPr>
        <w:t xml:space="preserve"> </w:t>
      </w:r>
      <w:r w:rsidRPr="004272BD">
        <w:rPr>
          <w:rFonts w:ascii="Times New Roman" w:hAnsi="Times New Roman"/>
          <w:sz w:val="24"/>
          <w:szCs w:val="24"/>
        </w:rPr>
        <w:t>% - по консервативному варианту, 40,0</w:t>
      </w:r>
      <w:r w:rsidR="00902642" w:rsidRPr="004272BD">
        <w:rPr>
          <w:rFonts w:ascii="Times New Roman" w:hAnsi="Times New Roman"/>
          <w:sz w:val="24"/>
          <w:szCs w:val="24"/>
        </w:rPr>
        <w:t xml:space="preserve"> </w:t>
      </w:r>
      <w:r w:rsidRPr="004272BD">
        <w:rPr>
          <w:rFonts w:ascii="Times New Roman" w:hAnsi="Times New Roman"/>
          <w:sz w:val="24"/>
          <w:szCs w:val="24"/>
        </w:rPr>
        <w:t>% - по базовому варианту развития и 40,5</w:t>
      </w:r>
      <w:r w:rsidR="00902642" w:rsidRPr="004272BD">
        <w:rPr>
          <w:rFonts w:ascii="Times New Roman" w:hAnsi="Times New Roman"/>
          <w:sz w:val="24"/>
          <w:szCs w:val="24"/>
        </w:rPr>
        <w:t xml:space="preserve"> </w:t>
      </w:r>
      <w:r w:rsidRPr="004272BD">
        <w:rPr>
          <w:rFonts w:ascii="Times New Roman" w:hAnsi="Times New Roman"/>
          <w:sz w:val="24"/>
          <w:szCs w:val="24"/>
        </w:rPr>
        <w:t>% - по целевому варианту развития.</w:t>
      </w:r>
    </w:p>
    <w:p w:rsidR="00902642"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Корректировка показателя </w:t>
      </w:r>
      <w:r w:rsidR="00902642" w:rsidRPr="004272BD">
        <w:rPr>
          <w:rFonts w:ascii="Times New Roman" w:hAnsi="Times New Roman"/>
          <w:sz w:val="24"/>
          <w:szCs w:val="24"/>
        </w:rPr>
        <w:t xml:space="preserve">в сторону увеличения </w:t>
      </w:r>
      <w:r w:rsidRPr="004272BD">
        <w:rPr>
          <w:rFonts w:ascii="Times New Roman" w:hAnsi="Times New Roman"/>
          <w:sz w:val="24"/>
          <w:szCs w:val="24"/>
        </w:rPr>
        <w:t>по сравнению с пр</w:t>
      </w:r>
      <w:r w:rsidR="00CC3F9B" w:rsidRPr="004272BD">
        <w:rPr>
          <w:rFonts w:ascii="Times New Roman" w:hAnsi="Times New Roman"/>
          <w:sz w:val="24"/>
          <w:szCs w:val="24"/>
        </w:rPr>
        <w:t>ошлогодними параметрами (на 2,2 </w:t>
      </w:r>
      <w:r w:rsidR="00902642" w:rsidRPr="004272BD">
        <w:rPr>
          <w:rFonts w:ascii="Times New Roman" w:hAnsi="Times New Roman"/>
          <w:sz w:val="24"/>
          <w:szCs w:val="24"/>
        </w:rPr>
        <w:t>процентных пункта</w:t>
      </w:r>
      <w:r w:rsidRPr="004272BD">
        <w:rPr>
          <w:rFonts w:ascii="Times New Roman" w:hAnsi="Times New Roman"/>
          <w:sz w:val="24"/>
          <w:szCs w:val="24"/>
        </w:rPr>
        <w:t xml:space="preserve"> в 2019 и 2020 годах по базовому варианту) произведена на основании фактически сложившихся значений показателя, а также в связи с предполагаемым ростом числа занимающихся, а также </w:t>
      </w:r>
      <w:r w:rsidR="00902642" w:rsidRPr="004272BD">
        <w:rPr>
          <w:rFonts w:ascii="Times New Roman" w:hAnsi="Times New Roman"/>
          <w:sz w:val="24"/>
          <w:szCs w:val="24"/>
        </w:rPr>
        <w:t xml:space="preserve">ростом количества </w:t>
      </w:r>
      <w:r w:rsidRPr="004272BD">
        <w:rPr>
          <w:rFonts w:ascii="Times New Roman" w:hAnsi="Times New Roman"/>
          <w:sz w:val="24"/>
          <w:szCs w:val="24"/>
        </w:rPr>
        <w:t>организаций, осуществляющих работу в сфере физической культуры и спорта.</w:t>
      </w:r>
      <w:r w:rsidR="00902642" w:rsidRPr="004272BD">
        <w:rPr>
          <w:rFonts w:ascii="Times New Roman" w:hAnsi="Times New Roman"/>
          <w:sz w:val="24"/>
          <w:szCs w:val="24"/>
        </w:rPr>
        <w:t xml:space="preserve"> </w:t>
      </w:r>
    </w:p>
    <w:p w:rsidR="006711B5" w:rsidRPr="004272BD" w:rsidRDefault="006711B5" w:rsidP="00E11BE7">
      <w:pPr>
        <w:widowControl w:val="0"/>
        <w:spacing w:after="0"/>
        <w:ind w:firstLine="709"/>
        <w:jc w:val="both"/>
        <w:rPr>
          <w:rFonts w:ascii="Times New Roman" w:hAnsi="Times New Roman"/>
          <w:sz w:val="24"/>
          <w:szCs w:val="24"/>
        </w:rPr>
      </w:pPr>
      <w:r w:rsidRPr="004272BD">
        <w:rPr>
          <w:rFonts w:ascii="Times New Roman" w:hAnsi="Times New Roman"/>
          <w:sz w:val="24"/>
          <w:szCs w:val="24"/>
        </w:rPr>
        <w:t xml:space="preserve">В прогнозном периоде предполагается рост уровня фактической обеспеченности населения объектами спорта от нормативной потребности: данный показатель к 2021 году достигнет значения </w:t>
      </w:r>
      <w:r w:rsidR="00094FEB" w:rsidRPr="004272BD">
        <w:rPr>
          <w:rFonts w:ascii="Times New Roman" w:hAnsi="Times New Roman"/>
          <w:sz w:val="24"/>
          <w:szCs w:val="24"/>
        </w:rPr>
        <w:t xml:space="preserve">30 </w:t>
      </w:r>
      <w:r w:rsidRPr="004272BD">
        <w:rPr>
          <w:rFonts w:ascii="Times New Roman" w:hAnsi="Times New Roman"/>
          <w:sz w:val="24"/>
          <w:szCs w:val="24"/>
        </w:rPr>
        <w:t xml:space="preserve">% </w:t>
      </w:r>
      <w:r w:rsidR="00094FEB" w:rsidRPr="004272BD">
        <w:rPr>
          <w:rFonts w:ascii="Times New Roman" w:hAnsi="Times New Roman"/>
          <w:sz w:val="24"/>
          <w:szCs w:val="24"/>
        </w:rPr>
        <w:t>по трем вариантам прогноза</w:t>
      </w:r>
      <w:r w:rsidR="00902642" w:rsidRPr="004272BD">
        <w:rPr>
          <w:rFonts w:ascii="Times New Roman" w:hAnsi="Times New Roman"/>
          <w:sz w:val="24"/>
          <w:szCs w:val="24"/>
        </w:rPr>
        <w:t xml:space="preserve"> за счёт</w:t>
      </w:r>
      <w:r w:rsidR="00BF5A40" w:rsidRPr="004272BD">
        <w:rPr>
          <w:rFonts w:ascii="Times New Roman" w:hAnsi="Times New Roman"/>
          <w:sz w:val="24"/>
          <w:szCs w:val="24"/>
        </w:rPr>
        <w:t xml:space="preserve"> строительства</w:t>
      </w:r>
      <w:r w:rsidR="00C13A1E" w:rsidRPr="004272BD">
        <w:rPr>
          <w:rFonts w:ascii="Times New Roman" w:hAnsi="Times New Roman"/>
          <w:sz w:val="24"/>
          <w:szCs w:val="24"/>
        </w:rPr>
        <w:t xml:space="preserve"> универсальных спортивных площадок и </w:t>
      </w:r>
      <w:r w:rsidR="003B73CA">
        <w:rPr>
          <w:rFonts w:ascii="Times New Roman" w:hAnsi="Times New Roman"/>
          <w:sz w:val="24"/>
          <w:szCs w:val="24"/>
        </w:rPr>
        <w:t>двух</w:t>
      </w:r>
      <w:r w:rsidR="00C13A1E" w:rsidRPr="004272BD">
        <w:rPr>
          <w:rFonts w:ascii="Times New Roman" w:hAnsi="Times New Roman"/>
          <w:sz w:val="24"/>
          <w:szCs w:val="24"/>
        </w:rPr>
        <w:t xml:space="preserve"> физкультурно-спортивных комплексов.</w:t>
      </w:r>
    </w:p>
    <w:p w:rsidR="00486E2E" w:rsidRPr="004272BD" w:rsidRDefault="00486E2E" w:rsidP="004272BD">
      <w:pPr>
        <w:widowControl w:val="0"/>
        <w:spacing w:after="0"/>
        <w:ind w:firstLine="709"/>
        <w:jc w:val="both"/>
        <w:rPr>
          <w:rFonts w:ascii="Times New Roman" w:hAnsi="Times New Roman"/>
          <w:b/>
          <w:sz w:val="24"/>
          <w:szCs w:val="24"/>
        </w:rPr>
      </w:pPr>
    </w:p>
    <w:p w:rsidR="00252845" w:rsidRPr="004272BD" w:rsidRDefault="00252845" w:rsidP="004272BD">
      <w:pPr>
        <w:widowControl w:val="0"/>
        <w:spacing w:after="0"/>
        <w:jc w:val="center"/>
        <w:rPr>
          <w:rFonts w:ascii="Times New Roman" w:hAnsi="Times New Roman"/>
          <w:b/>
          <w:sz w:val="24"/>
          <w:szCs w:val="24"/>
        </w:rPr>
      </w:pPr>
      <w:r w:rsidRPr="004272BD">
        <w:rPr>
          <w:rFonts w:ascii="Times New Roman" w:hAnsi="Times New Roman"/>
          <w:b/>
          <w:sz w:val="24"/>
          <w:szCs w:val="24"/>
        </w:rPr>
        <w:t>Потребительский рынок товаров</w:t>
      </w:r>
    </w:p>
    <w:p w:rsidR="002B4DA0" w:rsidRPr="004272BD" w:rsidRDefault="002B4DA0" w:rsidP="003B73CA">
      <w:pPr>
        <w:widowControl w:val="0"/>
        <w:spacing w:after="0"/>
        <w:jc w:val="center"/>
        <w:rPr>
          <w:rFonts w:ascii="Times New Roman" w:hAnsi="Times New Roman"/>
          <w:b/>
          <w:sz w:val="24"/>
          <w:szCs w:val="24"/>
          <w:highlight w:val="yellow"/>
        </w:rPr>
      </w:pPr>
    </w:p>
    <w:p w:rsidR="000B30A0" w:rsidRPr="004272BD" w:rsidRDefault="000B30A0" w:rsidP="00E11BE7">
      <w:pPr>
        <w:suppressAutoHyphens/>
        <w:spacing w:after="0"/>
        <w:ind w:firstLine="709"/>
        <w:jc w:val="both"/>
        <w:rPr>
          <w:rFonts w:ascii="Times New Roman" w:hAnsi="Times New Roman"/>
          <w:sz w:val="24"/>
          <w:szCs w:val="24"/>
        </w:rPr>
      </w:pPr>
      <w:r w:rsidRPr="004272BD">
        <w:rPr>
          <w:rFonts w:ascii="Times New Roman" w:hAnsi="Times New Roman"/>
          <w:sz w:val="24"/>
          <w:szCs w:val="24"/>
        </w:rPr>
        <w:t xml:space="preserve">Состояние рынка потребительских товаров в прогнозном периоде будет характеризоваться </w:t>
      </w:r>
      <w:r w:rsidR="00FE123D" w:rsidRPr="004272BD">
        <w:rPr>
          <w:rFonts w:ascii="Times New Roman" w:hAnsi="Times New Roman"/>
          <w:sz w:val="24"/>
          <w:szCs w:val="24"/>
        </w:rPr>
        <w:t xml:space="preserve">уровнем </w:t>
      </w:r>
      <w:r w:rsidRPr="004272BD">
        <w:rPr>
          <w:rFonts w:ascii="Times New Roman" w:hAnsi="Times New Roman"/>
          <w:sz w:val="24"/>
          <w:szCs w:val="24"/>
        </w:rPr>
        <w:t>потребительск</w:t>
      </w:r>
      <w:r w:rsidR="00FE123D" w:rsidRPr="004272BD">
        <w:rPr>
          <w:rFonts w:ascii="Times New Roman" w:hAnsi="Times New Roman"/>
          <w:sz w:val="24"/>
          <w:szCs w:val="24"/>
        </w:rPr>
        <w:t>ого</w:t>
      </w:r>
      <w:r w:rsidRPr="004272BD">
        <w:rPr>
          <w:rFonts w:ascii="Times New Roman" w:hAnsi="Times New Roman"/>
          <w:sz w:val="24"/>
          <w:szCs w:val="24"/>
        </w:rPr>
        <w:t xml:space="preserve"> спрос</w:t>
      </w:r>
      <w:r w:rsidR="00FE123D" w:rsidRPr="004272BD">
        <w:rPr>
          <w:rFonts w:ascii="Times New Roman" w:hAnsi="Times New Roman"/>
          <w:sz w:val="24"/>
          <w:szCs w:val="24"/>
        </w:rPr>
        <w:t>а</w:t>
      </w:r>
      <w:r w:rsidRPr="004272BD">
        <w:rPr>
          <w:rFonts w:ascii="Times New Roman" w:hAnsi="Times New Roman"/>
          <w:sz w:val="24"/>
          <w:szCs w:val="24"/>
        </w:rPr>
        <w:t xml:space="preserve"> со стороны домашних хозяйств, основанным на динамике роста заработной платы, сохранении инфляции на достаточно низком уровне, оживлении потребительского кредитования.</w:t>
      </w:r>
    </w:p>
    <w:p w:rsidR="000B30A0" w:rsidRPr="004272BD" w:rsidRDefault="000B30A0" w:rsidP="00E11BE7">
      <w:pPr>
        <w:autoSpaceDE w:val="0"/>
        <w:autoSpaceDN w:val="0"/>
        <w:adjustRightInd w:val="0"/>
        <w:spacing w:after="0"/>
        <w:ind w:firstLine="709"/>
        <w:jc w:val="both"/>
        <w:rPr>
          <w:rFonts w:ascii="Times New Roman" w:hAnsi="Times New Roman"/>
          <w:sz w:val="24"/>
          <w:szCs w:val="24"/>
        </w:rPr>
      </w:pPr>
      <w:r w:rsidRPr="004272BD">
        <w:rPr>
          <w:rFonts w:ascii="Times New Roman" w:hAnsi="Times New Roman"/>
          <w:sz w:val="24"/>
          <w:szCs w:val="24"/>
        </w:rPr>
        <w:t xml:space="preserve">Консервативный вариант развития рынка потребительских товаров городского округа Тольятти предусматривает незначительный потребительский спрос, обусловленный достаточно сдержанным ростом доходов населения, а также ожидаемым снижением численности населения города (к 2021 году численность населения по консервативному варианту снизится на 10,2 тыс. человек).  В итоге </w:t>
      </w:r>
      <w:r w:rsidR="00FE123D" w:rsidRPr="004272BD">
        <w:rPr>
          <w:rFonts w:ascii="Times New Roman" w:hAnsi="Times New Roman"/>
          <w:sz w:val="24"/>
          <w:szCs w:val="24"/>
        </w:rPr>
        <w:t>к</w:t>
      </w:r>
      <w:r w:rsidRPr="004272BD">
        <w:rPr>
          <w:rFonts w:ascii="Times New Roman" w:hAnsi="Times New Roman"/>
          <w:sz w:val="24"/>
          <w:szCs w:val="24"/>
        </w:rPr>
        <w:t xml:space="preserve"> 2021 году оборот розничной торговли снизится в сопоставимых ценах на 1,4 % к 2018 году. </w:t>
      </w:r>
    </w:p>
    <w:p w:rsidR="00FE123D" w:rsidRPr="004272BD" w:rsidRDefault="000B30A0" w:rsidP="00E11BE7">
      <w:pPr>
        <w:suppressAutoHyphens/>
        <w:spacing w:after="0"/>
        <w:ind w:firstLine="709"/>
        <w:jc w:val="both"/>
        <w:rPr>
          <w:rFonts w:ascii="Times New Roman" w:hAnsi="Times New Roman"/>
          <w:sz w:val="24"/>
          <w:szCs w:val="24"/>
        </w:rPr>
      </w:pPr>
      <w:r w:rsidRPr="004272BD">
        <w:rPr>
          <w:rFonts w:ascii="Times New Roman" w:hAnsi="Times New Roman"/>
          <w:sz w:val="24"/>
          <w:szCs w:val="24"/>
        </w:rPr>
        <w:t xml:space="preserve">В 2019–2021 годах по второму (базовому) варианту ожидаются умеренные темпы роста потребительского спроса на рынке товаров. </w:t>
      </w:r>
      <w:r w:rsidR="00FE123D" w:rsidRPr="004272BD">
        <w:rPr>
          <w:rFonts w:ascii="Times New Roman" w:hAnsi="Times New Roman"/>
          <w:sz w:val="24"/>
          <w:szCs w:val="24"/>
        </w:rPr>
        <w:t xml:space="preserve">В 2021 году рост оборота розничной торговли к 2018 году в </w:t>
      </w:r>
      <w:r w:rsidR="00EB7739">
        <w:rPr>
          <w:rFonts w:ascii="Times New Roman" w:hAnsi="Times New Roman"/>
          <w:sz w:val="24"/>
          <w:szCs w:val="24"/>
        </w:rPr>
        <w:t>сопоставимых</w:t>
      </w:r>
      <w:r w:rsidR="00FE123D" w:rsidRPr="004272BD">
        <w:rPr>
          <w:rFonts w:ascii="Times New Roman" w:hAnsi="Times New Roman"/>
          <w:sz w:val="24"/>
          <w:szCs w:val="24"/>
        </w:rPr>
        <w:t xml:space="preserve"> ценах составит около </w:t>
      </w:r>
      <w:r w:rsidR="00EB7739">
        <w:rPr>
          <w:rFonts w:ascii="Times New Roman" w:hAnsi="Times New Roman"/>
          <w:sz w:val="24"/>
          <w:szCs w:val="24"/>
        </w:rPr>
        <w:t>1,5 % (</w:t>
      </w:r>
      <w:r w:rsidR="00FE123D" w:rsidRPr="004272BD">
        <w:rPr>
          <w:rFonts w:ascii="Times New Roman" w:hAnsi="Times New Roman"/>
          <w:sz w:val="24"/>
          <w:szCs w:val="24"/>
        </w:rPr>
        <w:t>13,0 %</w:t>
      </w:r>
      <w:r w:rsidR="00EB7739">
        <w:rPr>
          <w:rFonts w:ascii="Times New Roman" w:hAnsi="Times New Roman"/>
          <w:sz w:val="24"/>
          <w:szCs w:val="24"/>
        </w:rPr>
        <w:t xml:space="preserve"> в действующих ценах)</w:t>
      </w:r>
      <w:r w:rsidR="00FE123D" w:rsidRPr="004272BD">
        <w:rPr>
          <w:rFonts w:ascii="Times New Roman" w:hAnsi="Times New Roman"/>
          <w:sz w:val="24"/>
          <w:szCs w:val="24"/>
        </w:rPr>
        <w:t>.</w:t>
      </w:r>
    </w:p>
    <w:p w:rsidR="000B30A0" w:rsidRPr="004272BD" w:rsidRDefault="000B30A0" w:rsidP="00E11BE7">
      <w:pPr>
        <w:suppressAutoHyphens/>
        <w:spacing w:after="0"/>
        <w:ind w:firstLine="709"/>
        <w:jc w:val="both"/>
        <w:rPr>
          <w:rFonts w:ascii="Times New Roman" w:hAnsi="Times New Roman"/>
          <w:sz w:val="24"/>
          <w:szCs w:val="24"/>
        </w:rPr>
      </w:pPr>
      <w:r w:rsidRPr="004272BD">
        <w:rPr>
          <w:rFonts w:ascii="Times New Roman" w:hAnsi="Times New Roman"/>
          <w:sz w:val="24"/>
          <w:szCs w:val="24"/>
        </w:rPr>
        <w:t xml:space="preserve">Увеличению розничного товарооборота будет способствовать информационная прозрачность и открытость рынка потребительского кредитования, сокращение разрыва в уровнях сбережений и потребления. Кроме того, в условиях среднесрочной перспективы </w:t>
      </w:r>
      <w:r w:rsidRPr="004272BD">
        <w:rPr>
          <w:rFonts w:ascii="Times New Roman" w:hAnsi="Times New Roman"/>
          <w:sz w:val="24"/>
          <w:szCs w:val="24"/>
        </w:rPr>
        <w:lastRenderedPageBreak/>
        <w:t>базовыми ценностями будут оставаться для потребителя ассортимент и привлекательная цена.</w:t>
      </w:r>
    </w:p>
    <w:p w:rsidR="000B30A0" w:rsidRDefault="000B30A0" w:rsidP="00E11BE7">
      <w:pPr>
        <w:suppressAutoHyphens/>
        <w:spacing w:after="0"/>
        <w:ind w:firstLine="709"/>
        <w:jc w:val="both"/>
        <w:rPr>
          <w:rFonts w:ascii="Times New Roman" w:hAnsi="Times New Roman"/>
          <w:sz w:val="24"/>
          <w:szCs w:val="24"/>
        </w:rPr>
      </w:pPr>
      <w:r w:rsidRPr="004272BD">
        <w:rPr>
          <w:rFonts w:ascii="Times New Roman" w:hAnsi="Times New Roman"/>
          <w:sz w:val="24"/>
          <w:szCs w:val="24"/>
        </w:rPr>
        <w:t>По третьему (целевому) варианту ожидается ускорение экономического роста, расширение потребительского кредитования, более высокие темпы роста реальных располагаемых доходов населения и постепенное снижение нормы сбережения</w:t>
      </w:r>
      <w:r w:rsidR="00FE123D" w:rsidRPr="004272BD">
        <w:rPr>
          <w:rFonts w:ascii="Times New Roman" w:hAnsi="Times New Roman"/>
          <w:sz w:val="24"/>
          <w:szCs w:val="24"/>
        </w:rPr>
        <w:t>, которые</w:t>
      </w:r>
      <w:r w:rsidRPr="004272BD">
        <w:rPr>
          <w:rFonts w:ascii="Times New Roman" w:hAnsi="Times New Roman"/>
          <w:sz w:val="24"/>
          <w:szCs w:val="24"/>
        </w:rPr>
        <w:t xml:space="preserve"> будут способствовать повышению потребительской уверенности населения. В 2021 году по сравнению с 2018 годом оборот розничной торговли может увеличиться на </w:t>
      </w:r>
      <w:r w:rsidR="00EB7739">
        <w:rPr>
          <w:rFonts w:ascii="Times New Roman" w:hAnsi="Times New Roman"/>
          <w:sz w:val="24"/>
          <w:szCs w:val="24"/>
        </w:rPr>
        <w:t xml:space="preserve">8,7 % в сопоставимых ценах (на </w:t>
      </w:r>
      <w:r w:rsidRPr="004272BD">
        <w:rPr>
          <w:rFonts w:ascii="Times New Roman" w:hAnsi="Times New Roman"/>
          <w:sz w:val="24"/>
          <w:szCs w:val="24"/>
        </w:rPr>
        <w:t>21,0 % в действующих ценах</w:t>
      </w:r>
      <w:r w:rsidR="00EB7739">
        <w:rPr>
          <w:rFonts w:ascii="Times New Roman" w:hAnsi="Times New Roman"/>
          <w:sz w:val="24"/>
          <w:szCs w:val="24"/>
        </w:rPr>
        <w:t>)</w:t>
      </w:r>
      <w:r w:rsidRPr="004272BD">
        <w:rPr>
          <w:rFonts w:ascii="Times New Roman" w:hAnsi="Times New Roman"/>
          <w:sz w:val="24"/>
          <w:szCs w:val="24"/>
        </w:rPr>
        <w:t xml:space="preserve">. </w:t>
      </w:r>
    </w:p>
    <w:p w:rsidR="004F1CB2" w:rsidRPr="004272BD" w:rsidRDefault="004F1CB2" w:rsidP="00E11BE7">
      <w:pPr>
        <w:spacing w:after="0"/>
        <w:ind w:firstLine="709"/>
        <w:jc w:val="both"/>
        <w:rPr>
          <w:rFonts w:ascii="Times New Roman" w:hAnsi="Times New Roman"/>
          <w:sz w:val="24"/>
          <w:szCs w:val="24"/>
        </w:rPr>
      </w:pPr>
      <w:r>
        <w:rPr>
          <w:rFonts w:ascii="Times New Roman" w:hAnsi="Times New Roman"/>
          <w:color w:val="000000"/>
          <w:sz w:val="24"/>
          <w:szCs w:val="24"/>
        </w:rPr>
        <w:t>Корректировка показателя оборота розничной торговли</w:t>
      </w:r>
      <w:r w:rsidRPr="004272BD">
        <w:rPr>
          <w:rFonts w:ascii="Times New Roman" w:hAnsi="Times New Roman"/>
          <w:color w:val="000000"/>
          <w:sz w:val="24"/>
          <w:szCs w:val="24"/>
        </w:rPr>
        <w:t xml:space="preserve"> по сравнению с прошлогодними параметрами прои</w:t>
      </w:r>
      <w:r>
        <w:rPr>
          <w:rFonts w:ascii="Times New Roman" w:hAnsi="Times New Roman"/>
          <w:color w:val="000000"/>
          <w:sz w:val="24"/>
          <w:szCs w:val="24"/>
        </w:rPr>
        <w:t>зведена на основании фактических данных</w:t>
      </w:r>
      <w:r w:rsidRPr="004272BD">
        <w:rPr>
          <w:rFonts w:ascii="Times New Roman" w:hAnsi="Times New Roman"/>
          <w:color w:val="000000"/>
          <w:sz w:val="24"/>
          <w:szCs w:val="24"/>
        </w:rPr>
        <w:t xml:space="preserve"> </w:t>
      </w:r>
      <w:r>
        <w:rPr>
          <w:rFonts w:ascii="Times New Roman" w:hAnsi="Times New Roman"/>
          <w:color w:val="000000"/>
          <w:sz w:val="24"/>
          <w:szCs w:val="24"/>
        </w:rPr>
        <w:t xml:space="preserve">за 2017 год, которые сложились ниже, чем ожидалось, </w:t>
      </w:r>
      <w:r w:rsidRPr="004272BD">
        <w:rPr>
          <w:rFonts w:ascii="Times New Roman" w:hAnsi="Times New Roman"/>
          <w:color w:val="000000"/>
          <w:sz w:val="24"/>
          <w:szCs w:val="24"/>
        </w:rPr>
        <w:t xml:space="preserve">с учетом </w:t>
      </w:r>
      <w:r>
        <w:rPr>
          <w:rFonts w:ascii="Times New Roman" w:hAnsi="Times New Roman"/>
          <w:color w:val="000000"/>
          <w:sz w:val="24"/>
          <w:szCs w:val="24"/>
        </w:rPr>
        <w:t>сложившегося за 1 полугодие и оценочного показателя за 2018 год</w:t>
      </w:r>
      <w:r w:rsidRPr="004272BD">
        <w:rPr>
          <w:rFonts w:ascii="Times New Roman" w:hAnsi="Times New Roman"/>
          <w:color w:val="000000"/>
          <w:sz w:val="24"/>
          <w:szCs w:val="24"/>
        </w:rPr>
        <w:t xml:space="preserve">. Прогнозное значение показателя скорректировано в сторону </w:t>
      </w:r>
      <w:r w:rsidRPr="004272BD">
        <w:rPr>
          <w:rFonts w:ascii="Times New Roman" w:hAnsi="Times New Roman"/>
          <w:sz w:val="24"/>
          <w:szCs w:val="24"/>
        </w:rPr>
        <w:t xml:space="preserve">снижения в среднем на </w:t>
      </w:r>
      <w:r>
        <w:rPr>
          <w:rFonts w:ascii="Times New Roman" w:hAnsi="Times New Roman"/>
          <w:sz w:val="24"/>
          <w:szCs w:val="24"/>
        </w:rPr>
        <w:t>2</w:t>
      </w:r>
      <w:r w:rsidRPr="004272BD">
        <w:rPr>
          <w:rFonts w:ascii="Times New Roman" w:hAnsi="Times New Roman"/>
          <w:sz w:val="24"/>
          <w:szCs w:val="24"/>
        </w:rPr>
        <w:t>,</w:t>
      </w:r>
      <w:r>
        <w:rPr>
          <w:rFonts w:ascii="Times New Roman" w:hAnsi="Times New Roman"/>
          <w:sz w:val="24"/>
          <w:szCs w:val="24"/>
        </w:rPr>
        <w:t>5</w:t>
      </w:r>
      <w:r w:rsidRPr="004272BD">
        <w:rPr>
          <w:rFonts w:ascii="Times New Roman" w:hAnsi="Times New Roman"/>
          <w:sz w:val="24"/>
          <w:szCs w:val="24"/>
        </w:rPr>
        <w:t xml:space="preserve"> млрд.рублей ежегодно.</w:t>
      </w:r>
    </w:p>
    <w:p w:rsidR="000B30A0" w:rsidRPr="004272BD" w:rsidRDefault="000B30A0" w:rsidP="00E11BE7">
      <w:pPr>
        <w:spacing w:after="0"/>
        <w:ind w:right="-1" w:firstLine="709"/>
        <w:jc w:val="both"/>
        <w:textAlignment w:val="top"/>
        <w:rPr>
          <w:rFonts w:ascii="Times New Roman" w:hAnsi="Times New Roman"/>
          <w:sz w:val="24"/>
          <w:szCs w:val="24"/>
        </w:rPr>
      </w:pPr>
      <w:r w:rsidRPr="004272BD">
        <w:rPr>
          <w:rFonts w:ascii="Times New Roman" w:hAnsi="Times New Roman"/>
          <w:sz w:val="24"/>
          <w:szCs w:val="24"/>
        </w:rPr>
        <w:t xml:space="preserve">В прогнозном периоде реализация мероприятий в сфере потребительского рынка будет осуществляться в рамках муниципальной программы «Развитие потребительского рынка в городском округе Тольятти на 2017–2021 гг.», утвержденной постановлением мэрии </w:t>
      </w:r>
      <w:r w:rsidR="00FE123D" w:rsidRPr="004272BD">
        <w:rPr>
          <w:rFonts w:ascii="Times New Roman" w:hAnsi="Times New Roman"/>
          <w:sz w:val="24"/>
          <w:szCs w:val="24"/>
        </w:rPr>
        <w:t xml:space="preserve">городского округа Тольятти </w:t>
      </w:r>
      <w:r w:rsidRPr="004272BD">
        <w:rPr>
          <w:rFonts w:ascii="Times New Roman" w:hAnsi="Times New Roman"/>
          <w:sz w:val="24"/>
          <w:szCs w:val="24"/>
        </w:rPr>
        <w:t>от 21.10.2016 № 3307-п/1. В рамках данной Программы предусмотрено проведение мониторинга мелкорозничной торговли, размещенной на территории городского округа Тольятти, организация работы по вывозу незаконно размещенных объектов потребительского рынка и др</w:t>
      </w:r>
      <w:r w:rsidR="00144879">
        <w:rPr>
          <w:rFonts w:ascii="Times New Roman" w:hAnsi="Times New Roman"/>
          <w:sz w:val="24"/>
          <w:szCs w:val="24"/>
        </w:rPr>
        <w:t>угое</w:t>
      </w:r>
      <w:r w:rsidRPr="004272BD">
        <w:rPr>
          <w:rFonts w:ascii="Times New Roman" w:hAnsi="Times New Roman"/>
          <w:sz w:val="24"/>
          <w:szCs w:val="24"/>
        </w:rPr>
        <w:t>.</w:t>
      </w:r>
    </w:p>
    <w:p w:rsidR="000B30A0" w:rsidRPr="004272BD" w:rsidRDefault="000B30A0" w:rsidP="00E11BE7">
      <w:pPr>
        <w:spacing w:after="0"/>
        <w:ind w:right="-1" w:firstLine="709"/>
        <w:jc w:val="both"/>
        <w:textAlignment w:val="top"/>
        <w:rPr>
          <w:rFonts w:ascii="Times New Roman" w:hAnsi="Times New Roman"/>
          <w:sz w:val="24"/>
          <w:szCs w:val="24"/>
        </w:rPr>
      </w:pPr>
      <w:r w:rsidRPr="004272BD">
        <w:rPr>
          <w:rFonts w:ascii="Times New Roman" w:hAnsi="Times New Roman"/>
          <w:sz w:val="24"/>
          <w:szCs w:val="24"/>
        </w:rPr>
        <w:t>Кроме того, в целях развития потребительского рынка, поддержки местных товаропроизводителей, конкурентной среды, а также снижения и стабилизации цен на товары и услуги в прогнозном периоде планируется реализация следующих мероприятий: определение обеспеченности жителей городского округа Тольятти торговыми площадями, посадочными местами предприятий общественного питания и рабочими местами предприятий бытового обслуживания; мониторинг цен на отдельные виды социально значимых товаров;  развитие локальных сетей розничной торговли шаговой доступности и др</w:t>
      </w:r>
      <w:r w:rsidR="00144879">
        <w:rPr>
          <w:rFonts w:ascii="Times New Roman" w:hAnsi="Times New Roman"/>
          <w:sz w:val="24"/>
          <w:szCs w:val="24"/>
        </w:rPr>
        <w:t>угое</w:t>
      </w:r>
      <w:r w:rsidRPr="004272BD">
        <w:rPr>
          <w:rFonts w:ascii="Times New Roman" w:hAnsi="Times New Roman"/>
          <w:sz w:val="24"/>
          <w:szCs w:val="24"/>
        </w:rPr>
        <w:t>.</w:t>
      </w:r>
      <w:r w:rsidR="00FE123D" w:rsidRPr="004272BD">
        <w:rPr>
          <w:rFonts w:ascii="Times New Roman" w:hAnsi="Times New Roman"/>
          <w:sz w:val="24"/>
          <w:szCs w:val="24"/>
        </w:rPr>
        <w:t xml:space="preserve"> </w:t>
      </w:r>
      <w:r w:rsidRPr="004272BD">
        <w:rPr>
          <w:rFonts w:ascii="Times New Roman" w:hAnsi="Times New Roman"/>
          <w:sz w:val="24"/>
          <w:szCs w:val="24"/>
        </w:rPr>
        <w:t xml:space="preserve">Также, с целью реализации продукции местных товаропроизводителей, в прогнозном периоде будет осуществляться ярмарочная торговля. </w:t>
      </w:r>
    </w:p>
    <w:p w:rsidR="005149C9" w:rsidRDefault="005149C9" w:rsidP="004272BD">
      <w:pPr>
        <w:widowControl w:val="0"/>
        <w:spacing w:after="0"/>
        <w:jc w:val="center"/>
        <w:rPr>
          <w:rFonts w:ascii="Times New Roman" w:hAnsi="Times New Roman"/>
          <w:b/>
          <w:sz w:val="24"/>
          <w:szCs w:val="24"/>
        </w:rPr>
      </w:pPr>
    </w:p>
    <w:p w:rsidR="00065A6A" w:rsidRPr="004272BD" w:rsidRDefault="00065A6A" w:rsidP="004272BD">
      <w:pPr>
        <w:widowControl w:val="0"/>
        <w:spacing w:after="0"/>
        <w:jc w:val="center"/>
        <w:rPr>
          <w:rFonts w:ascii="Times New Roman" w:hAnsi="Times New Roman"/>
          <w:b/>
          <w:sz w:val="24"/>
          <w:szCs w:val="24"/>
        </w:rPr>
      </w:pPr>
      <w:r w:rsidRPr="004272BD">
        <w:rPr>
          <w:rFonts w:ascii="Times New Roman" w:hAnsi="Times New Roman"/>
          <w:b/>
          <w:sz w:val="24"/>
          <w:szCs w:val="24"/>
        </w:rPr>
        <w:t>Охрана окружающей среды</w:t>
      </w:r>
    </w:p>
    <w:p w:rsidR="00065A6A" w:rsidRPr="004272BD" w:rsidRDefault="00065A6A" w:rsidP="004272BD">
      <w:pPr>
        <w:widowControl w:val="0"/>
        <w:spacing w:after="0"/>
        <w:jc w:val="center"/>
        <w:rPr>
          <w:rFonts w:ascii="Times New Roman" w:hAnsi="Times New Roman"/>
          <w:b/>
          <w:sz w:val="24"/>
          <w:szCs w:val="24"/>
          <w:highlight w:val="yellow"/>
        </w:rPr>
      </w:pPr>
    </w:p>
    <w:p w:rsidR="0025726A" w:rsidRDefault="0025726A" w:rsidP="00E11BE7">
      <w:pPr>
        <w:widowControl w:val="0"/>
        <w:spacing w:after="0"/>
        <w:ind w:firstLine="709"/>
        <w:jc w:val="both"/>
        <w:textAlignment w:val="top"/>
        <w:rPr>
          <w:rFonts w:ascii="Times New Roman" w:hAnsi="Times New Roman"/>
          <w:sz w:val="24"/>
          <w:szCs w:val="24"/>
        </w:rPr>
      </w:pPr>
      <w:r w:rsidRPr="0025726A">
        <w:rPr>
          <w:rFonts w:ascii="Times New Roman" w:hAnsi="Times New Roman"/>
          <w:sz w:val="24"/>
          <w:szCs w:val="24"/>
        </w:rPr>
        <w:t>В 2019 – 2021 годах окружающая среда города по-прежнему будет испытывать значительную антропогенную и техногенную нагрузку, связанную с высокой концентрацией крупных промышленных предприятий и функционированием транспортной системы.</w:t>
      </w:r>
    </w:p>
    <w:p w:rsidR="00BE15AF" w:rsidRDefault="0025726A" w:rsidP="00E11BE7">
      <w:pPr>
        <w:widowControl w:val="0"/>
        <w:spacing w:after="0"/>
        <w:ind w:firstLine="709"/>
        <w:jc w:val="both"/>
        <w:textAlignment w:val="top"/>
        <w:rPr>
          <w:rFonts w:ascii="Times New Roman" w:hAnsi="Times New Roman"/>
          <w:sz w:val="24"/>
          <w:szCs w:val="24"/>
        </w:rPr>
      </w:pPr>
      <w:r w:rsidRPr="0025726A">
        <w:rPr>
          <w:rFonts w:ascii="Times New Roman" w:hAnsi="Times New Roman"/>
          <w:sz w:val="24"/>
          <w:szCs w:val="24"/>
        </w:rPr>
        <w:t>В прогнозном периоде уровень экологической безопасности будет зависеть от динамики развития экономики</w:t>
      </w:r>
      <w:r w:rsidR="00065A6A" w:rsidRPr="004272BD">
        <w:rPr>
          <w:rFonts w:ascii="Times New Roman" w:hAnsi="Times New Roman"/>
          <w:sz w:val="24"/>
          <w:szCs w:val="24"/>
        </w:rPr>
        <w:t xml:space="preserve">, а также </w:t>
      </w:r>
      <w:r w:rsidR="00BE15AF" w:rsidRPr="00BE15AF">
        <w:rPr>
          <w:rFonts w:ascii="Times New Roman" w:hAnsi="Times New Roman"/>
          <w:sz w:val="24"/>
          <w:szCs w:val="24"/>
        </w:rPr>
        <w:t>масштаб</w:t>
      </w:r>
      <w:r w:rsidR="00BE15AF">
        <w:rPr>
          <w:rFonts w:ascii="Times New Roman" w:hAnsi="Times New Roman"/>
          <w:sz w:val="24"/>
          <w:szCs w:val="24"/>
        </w:rPr>
        <w:t>ами</w:t>
      </w:r>
      <w:r w:rsidR="00BE15AF" w:rsidRPr="00BE15AF">
        <w:rPr>
          <w:rFonts w:ascii="Times New Roman" w:hAnsi="Times New Roman"/>
          <w:sz w:val="24"/>
          <w:szCs w:val="24"/>
        </w:rPr>
        <w:t xml:space="preserve"> инвестирования в сферу охраны окружающей среды и рационального использования природных ресурсов</w:t>
      </w:r>
      <w:r w:rsidR="00BE15AF">
        <w:rPr>
          <w:rFonts w:ascii="Times New Roman" w:hAnsi="Times New Roman"/>
          <w:sz w:val="24"/>
          <w:szCs w:val="24"/>
        </w:rPr>
        <w:t>.</w:t>
      </w:r>
      <w:r w:rsidR="00BE15AF" w:rsidRPr="00BE15AF">
        <w:rPr>
          <w:rFonts w:ascii="Times New Roman" w:hAnsi="Times New Roman"/>
          <w:sz w:val="24"/>
          <w:szCs w:val="24"/>
        </w:rPr>
        <w:t xml:space="preserve"> </w:t>
      </w:r>
    </w:p>
    <w:p w:rsidR="00EF2C24" w:rsidRPr="00EF2C24" w:rsidRDefault="00EF2C24" w:rsidP="00E11BE7">
      <w:pPr>
        <w:widowControl w:val="0"/>
        <w:spacing w:after="0"/>
        <w:ind w:firstLine="709"/>
        <w:jc w:val="both"/>
        <w:textAlignment w:val="top"/>
        <w:rPr>
          <w:rFonts w:ascii="Times New Roman" w:hAnsi="Times New Roman"/>
          <w:sz w:val="24"/>
          <w:szCs w:val="24"/>
        </w:rPr>
      </w:pPr>
      <w:r w:rsidRPr="00EF2C24">
        <w:rPr>
          <w:rFonts w:ascii="Times New Roman" w:hAnsi="Times New Roman"/>
          <w:sz w:val="24"/>
          <w:szCs w:val="24"/>
        </w:rPr>
        <w:t xml:space="preserve">При условии реализации первого варианта прогноза объем вредных веществ, выбрасываемых в атмосферный воздух стационарными источниками загрязнения, </w:t>
      </w:r>
      <w:r w:rsidR="00EB7739">
        <w:rPr>
          <w:rFonts w:ascii="Times New Roman" w:hAnsi="Times New Roman"/>
          <w:sz w:val="24"/>
          <w:szCs w:val="24"/>
        </w:rPr>
        <w:t>в</w:t>
      </w:r>
      <w:r w:rsidRPr="00EF2C24">
        <w:rPr>
          <w:rFonts w:ascii="Times New Roman" w:hAnsi="Times New Roman"/>
          <w:sz w:val="24"/>
          <w:szCs w:val="24"/>
        </w:rPr>
        <w:t xml:space="preserve"> 2021 году предположительно останется на уровне 2018 года (31,4 тыс.тонн).</w:t>
      </w:r>
    </w:p>
    <w:p w:rsidR="00EF2C24" w:rsidRPr="00EF2C24" w:rsidRDefault="00EF2C24" w:rsidP="00E11BE7">
      <w:pPr>
        <w:widowControl w:val="0"/>
        <w:spacing w:after="0"/>
        <w:ind w:firstLine="709"/>
        <w:jc w:val="both"/>
        <w:textAlignment w:val="top"/>
        <w:rPr>
          <w:rFonts w:ascii="Times New Roman" w:hAnsi="Times New Roman"/>
          <w:sz w:val="24"/>
          <w:szCs w:val="24"/>
        </w:rPr>
      </w:pPr>
      <w:r w:rsidRPr="00EF2C24">
        <w:rPr>
          <w:rFonts w:ascii="Times New Roman" w:hAnsi="Times New Roman"/>
          <w:sz w:val="24"/>
          <w:szCs w:val="24"/>
        </w:rPr>
        <w:t xml:space="preserve">В случае реализации предприятиями городского округа Тольятти экологических обязательств по внедрению современных </w:t>
      </w:r>
      <w:proofErr w:type="spellStart"/>
      <w:r w:rsidRPr="00EF2C24">
        <w:rPr>
          <w:rFonts w:ascii="Times New Roman" w:hAnsi="Times New Roman"/>
          <w:sz w:val="24"/>
          <w:szCs w:val="24"/>
        </w:rPr>
        <w:t>воздухоочистных</w:t>
      </w:r>
      <w:proofErr w:type="spellEnd"/>
      <w:r w:rsidRPr="00EF2C24">
        <w:rPr>
          <w:rFonts w:ascii="Times New Roman" w:hAnsi="Times New Roman"/>
          <w:sz w:val="24"/>
          <w:szCs w:val="24"/>
        </w:rPr>
        <w:t xml:space="preserve"> технологий, более совершенного оборудования газоочистки и мероприятий по внедрению новых технологий </w:t>
      </w:r>
      <w:r w:rsidRPr="00EF2C24">
        <w:rPr>
          <w:rFonts w:ascii="Times New Roman" w:hAnsi="Times New Roman"/>
          <w:sz w:val="24"/>
          <w:szCs w:val="24"/>
        </w:rPr>
        <w:lastRenderedPageBreak/>
        <w:t>к 2021 году объем вредных веществ, выбрасываемых в атмосферный воздух стационарными источниками загрязнения, снизится на 0,3 % до 31,3 тыс. тонн и на 2,2 % до 30,7 тыс. тонн относительно 2018 года по базовому и целевому вариантам соответственно.</w:t>
      </w:r>
    </w:p>
    <w:p w:rsidR="00EF2C24" w:rsidRDefault="00EF2C24" w:rsidP="00E11BE7">
      <w:pPr>
        <w:widowControl w:val="0"/>
        <w:spacing w:after="0"/>
        <w:ind w:firstLine="709"/>
        <w:jc w:val="both"/>
        <w:textAlignment w:val="top"/>
        <w:rPr>
          <w:rFonts w:ascii="Times New Roman" w:hAnsi="Times New Roman"/>
          <w:sz w:val="24"/>
          <w:szCs w:val="24"/>
        </w:rPr>
      </w:pPr>
      <w:r w:rsidRPr="00EF2C24">
        <w:rPr>
          <w:rFonts w:ascii="Times New Roman" w:hAnsi="Times New Roman"/>
          <w:sz w:val="24"/>
          <w:szCs w:val="24"/>
        </w:rPr>
        <w:t>Объем сброса загрязненных сточных вод в поверхностные водные объекты к 2021 году уменьшится к уровню 2018 года по всем вариантам прогноза на 3,5 %, 3,7 % и 4,4 % соответственно.</w:t>
      </w:r>
    </w:p>
    <w:p w:rsidR="0025726A" w:rsidRDefault="00EF2C24" w:rsidP="00E11BE7">
      <w:pPr>
        <w:widowControl w:val="0"/>
        <w:spacing w:after="0"/>
        <w:ind w:firstLine="709"/>
        <w:jc w:val="both"/>
        <w:textAlignment w:val="top"/>
        <w:rPr>
          <w:rFonts w:ascii="Times New Roman" w:hAnsi="Times New Roman"/>
          <w:sz w:val="24"/>
          <w:szCs w:val="24"/>
        </w:rPr>
      </w:pPr>
      <w:r>
        <w:rPr>
          <w:rFonts w:ascii="Times New Roman" w:hAnsi="Times New Roman"/>
          <w:sz w:val="24"/>
          <w:szCs w:val="24"/>
        </w:rPr>
        <w:t>В прогнозном периоде п</w:t>
      </w:r>
      <w:r w:rsidR="0025726A" w:rsidRPr="0025726A">
        <w:rPr>
          <w:rFonts w:ascii="Times New Roman" w:hAnsi="Times New Roman"/>
          <w:sz w:val="24"/>
          <w:szCs w:val="24"/>
        </w:rPr>
        <w:t xml:space="preserve">родолжится реализация </w:t>
      </w:r>
      <w:r w:rsidR="0025726A">
        <w:rPr>
          <w:rFonts w:ascii="Times New Roman" w:hAnsi="Times New Roman"/>
          <w:sz w:val="24"/>
          <w:szCs w:val="24"/>
        </w:rPr>
        <w:t xml:space="preserve">муниципальной </w:t>
      </w:r>
      <w:r w:rsidR="0025726A" w:rsidRPr="0025726A">
        <w:rPr>
          <w:rFonts w:ascii="Times New Roman" w:hAnsi="Times New Roman"/>
          <w:sz w:val="24"/>
          <w:szCs w:val="24"/>
        </w:rPr>
        <w:t>программ</w:t>
      </w:r>
      <w:r w:rsidR="0025726A">
        <w:rPr>
          <w:rFonts w:ascii="Times New Roman" w:hAnsi="Times New Roman"/>
          <w:sz w:val="24"/>
          <w:szCs w:val="24"/>
        </w:rPr>
        <w:t>ы</w:t>
      </w:r>
      <w:r w:rsidR="0025726A" w:rsidRPr="0025726A">
        <w:rPr>
          <w:rFonts w:ascii="Times New Roman" w:hAnsi="Times New Roman"/>
          <w:sz w:val="24"/>
          <w:szCs w:val="24"/>
        </w:rPr>
        <w:t xml:space="preserve"> «Охрана окружающей среды на территории городского округа Тольятти на 2017-2021 годы».</w:t>
      </w:r>
    </w:p>
    <w:p w:rsidR="0025726A" w:rsidRPr="0025726A" w:rsidRDefault="0025726A" w:rsidP="00E11BE7">
      <w:pPr>
        <w:widowControl w:val="0"/>
        <w:spacing w:after="0"/>
        <w:ind w:firstLine="709"/>
        <w:jc w:val="both"/>
        <w:textAlignment w:val="top"/>
        <w:rPr>
          <w:rFonts w:ascii="Times New Roman" w:hAnsi="Times New Roman"/>
          <w:sz w:val="24"/>
          <w:szCs w:val="24"/>
        </w:rPr>
      </w:pPr>
      <w:r>
        <w:rPr>
          <w:rFonts w:ascii="Times New Roman" w:hAnsi="Times New Roman"/>
          <w:sz w:val="24"/>
          <w:szCs w:val="24"/>
        </w:rPr>
        <w:t>Кроме этого, в</w:t>
      </w:r>
      <w:r w:rsidRPr="0025726A">
        <w:rPr>
          <w:rFonts w:ascii="Times New Roman" w:hAnsi="Times New Roman"/>
          <w:sz w:val="24"/>
          <w:szCs w:val="24"/>
        </w:rPr>
        <w:t xml:space="preserve"> случае выделения </w:t>
      </w:r>
      <w:r>
        <w:rPr>
          <w:rFonts w:ascii="Times New Roman" w:hAnsi="Times New Roman"/>
          <w:sz w:val="24"/>
          <w:szCs w:val="24"/>
        </w:rPr>
        <w:t>средств</w:t>
      </w:r>
      <w:r w:rsidRPr="0025726A">
        <w:rPr>
          <w:rFonts w:ascii="Times New Roman" w:hAnsi="Times New Roman"/>
          <w:sz w:val="24"/>
          <w:szCs w:val="24"/>
        </w:rPr>
        <w:t xml:space="preserve"> из бюджета Российской Федерации в 2020-2021 гг. предполагается проведение организации производства работ по ликвидации и рекультивации полигона ТБО с. </w:t>
      </w:r>
      <w:proofErr w:type="spellStart"/>
      <w:r w:rsidRPr="0025726A">
        <w:rPr>
          <w:rFonts w:ascii="Times New Roman" w:hAnsi="Times New Roman"/>
          <w:sz w:val="24"/>
          <w:szCs w:val="24"/>
        </w:rPr>
        <w:t>Узюково</w:t>
      </w:r>
      <w:proofErr w:type="spellEnd"/>
      <w:r w:rsidRPr="0025726A">
        <w:rPr>
          <w:rFonts w:ascii="Times New Roman" w:hAnsi="Times New Roman"/>
          <w:sz w:val="24"/>
          <w:szCs w:val="24"/>
        </w:rPr>
        <w:t>, в том числе реконструкции его элементов.</w:t>
      </w:r>
    </w:p>
    <w:p w:rsidR="0025726A" w:rsidRDefault="0025726A" w:rsidP="00E11BE7">
      <w:pPr>
        <w:widowControl w:val="0"/>
        <w:spacing w:after="0"/>
        <w:ind w:firstLine="709"/>
        <w:jc w:val="both"/>
        <w:textAlignment w:val="top"/>
        <w:rPr>
          <w:rFonts w:ascii="Times New Roman" w:hAnsi="Times New Roman"/>
          <w:sz w:val="24"/>
          <w:szCs w:val="24"/>
        </w:rPr>
      </w:pPr>
      <w:proofErr w:type="gramStart"/>
      <w:r>
        <w:rPr>
          <w:rFonts w:ascii="Times New Roman" w:hAnsi="Times New Roman"/>
          <w:sz w:val="24"/>
          <w:szCs w:val="24"/>
        </w:rPr>
        <w:t>В</w:t>
      </w:r>
      <w:r w:rsidRPr="0025726A">
        <w:rPr>
          <w:rFonts w:ascii="Times New Roman" w:hAnsi="Times New Roman"/>
          <w:sz w:val="24"/>
          <w:szCs w:val="24"/>
        </w:rPr>
        <w:t xml:space="preserve"> случае выделения </w:t>
      </w:r>
      <w:r>
        <w:rPr>
          <w:rFonts w:ascii="Times New Roman" w:hAnsi="Times New Roman"/>
          <w:sz w:val="24"/>
          <w:szCs w:val="24"/>
        </w:rPr>
        <w:t>средств</w:t>
      </w:r>
      <w:r w:rsidRPr="0025726A">
        <w:rPr>
          <w:rFonts w:ascii="Times New Roman" w:hAnsi="Times New Roman"/>
          <w:sz w:val="24"/>
          <w:szCs w:val="24"/>
        </w:rPr>
        <w:t xml:space="preserve"> из бюджета Самарской области в 2020-2021 гг. предполагается проведение проектно-изыскательских работ, разработка проектно-сметной документации, получение соответствующих заключений  на мероприятие «Обезвреживание, утилизация отходов, находящихся на территории бывшего ОАО «Фосфор» с целью дальнейшего включения мероприятия в государственную программу Российской Федерации «Охрана окружающей среды» на 2012-2020 годы.</w:t>
      </w:r>
      <w:proofErr w:type="gramEnd"/>
    </w:p>
    <w:p w:rsidR="00EF2C24" w:rsidRPr="0025726A" w:rsidRDefault="00EF2C24" w:rsidP="00E11BE7">
      <w:pPr>
        <w:widowControl w:val="0"/>
        <w:spacing w:after="0"/>
        <w:ind w:firstLine="709"/>
        <w:jc w:val="both"/>
        <w:textAlignment w:val="top"/>
        <w:rPr>
          <w:rFonts w:ascii="Times New Roman" w:hAnsi="Times New Roman"/>
          <w:sz w:val="24"/>
          <w:szCs w:val="24"/>
        </w:rPr>
      </w:pPr>
      <w:r w:rsidRPr="00EF2C24">
        <w:rPr>
          <w:rFonts w:ascii="Times New Roman" w:hAnsi="Times New Roman"/>
          <w:sz w:val="24"/>
          <w:szCs w:val="24"/>
        </w:rPr>
        <w:t xml:space="preserve">Учитывая значительные площади лесов, выполняющих </w:t>
      </w:r>
      <w:proofErr w:type="spellStart"/>
      <w:r w:rsidRPr="00EF2C24">
        <w:rPr>
          <w:rFonts w:ascii="Times New Roman" w:hAnsi="Times New Roman"/>
          <w:sz w:val="24"/>
          <w:szCs w:val="24"/>
        </w:rPr>
        <w:t>средообразующие</w:t>
      </w:r>
      <w:proofErr w:type="spellEnd"/>
      <w:r w:rsidRPr="00EF2C24">
        <w:rPr>
          <w:rFonts w:ascii="Times New Roman" w:hAnsi="Times New Roman"/>
          <w:sz w:val="24"/>
          <w:szCs w:val="24"/>
        </w:rPr>
        <w:t xml:space="preserve">, защитные, </w:t>
      </w:r>
      <w:proofErr w:type="spellStart"/>
      <w:r w:rsidRPr="00EF2C24">
        <w:rPr>
          <w:rFonts w:ascii="Times New Roman" w:hAnsi="Times New Roman"/>
          <w:sz w:val="24"/>
          <w:szCs w:val="24"/>
        </w:rPr>
        <w:t>водоохранные</w:t>
      </w:r>
      <w:proofErr w:type="spellEnd"/>
      <w:r w:rsidRPr="00EF2C24">
        <w:rPr>
          <w:rFonts w:ascii="Times New Roman" w:hAnsi="Times New Roman"/>
          <w:sz w:val="24"/>
          <w:szCs w:val="24"/>
        </w:rPr>
        <w:t xml:space="preserve"> и иные функции, положительно влияющие на состояние окружающей среды, в прогнозном периоде планируется продолжение проведения работ по рациональному использованию, охране, защите и воспроизводству лесов.</w:t>
      </w:r>
    </w:p>
    <w:p w:rsidR="000F2637" w:rsidRDefault="000F2637" w:rsidP="00711989">
      <w:pPr>
        <w:widowControl w:val="0"/>
        <w:spacing w:after="0"/>
        <w:ind w:firstLine="709"/>
        <w:jc w:val="both"/>
        <w:textAlignment w:val="top"/>
        <w:rPr>
          <w:rFonts w:ascii="Times New Roman" w:hAnsi="Times New Roman"/>
          <w:sz w:val="24"/>
          <w:szCs w:val="24"/>
        </w:rPr>
      </w:pPr>
    </w:p>
    <w:p w:rsidR="0025726A" w:rsidRDefault="0025726A" w:rsidP="00711989">
      <w:pPr>
        <w:widowControl w:val="0"/>
        <w:spacing w:after="0"/>
        <w:ind w:firstLine="709"/>
        <w:jc w:val="both"/>
        <w:textAlignment w:val="top"/>
        <w:rPr>
          <w:rFonts w:ascii="Times New Roman" w:hAnsi="Times New Roman"/>
          <w:sz w:val="24"/>
          <w:szCs w:val="24"/>
        </w:rPr>
      </w:pPr>
    </w:p>
    <w:p w:rsidR="0025726A" w:rsidRPr="00180BC4" w:rsidRDefault="0025726A" w:rsidP="00711989">
      <w:pPr>
        <w:widowControl w:val="0"/>
        <w:spacing w:after="0"/>
        <w:ind w:firstLine="709"/>
        <w:jc w:val="both"/>
        <w:textAlignment w:val="top"/>
        <w:rPr>
          <w:rFonts w:ascii="Times New Roman" w:hAnsi="Times New Roman"/>
          <w:sz w:val="24"/>
          <w:szCs w:val="24"/>
        </w:rPr>
      </w:pPr>
    </w:p>
    <w:p w:rsidR="002B4DA0" w:rsidRPr="004272BD" w:rsidRDefault="002B4DA0" w:rsidP="004272BD">
      <w:pPr>
        <w:suppressAutoHyphens/>
        <w:spacing w:after="0"/>
        <w:ind w:firstLine="709"/>
        <w:jc w:val="both"/>
        <w:outlineLvl w:val="0"/>
        <w:rPr>
          <w:rFonts w:ascii="Times New Roman" w:hAnsi="Times New Roman"/>
          <w:sz w:val="24"/>
          <w:szCs w:val="24"/>
        </w:rPr>
      </w:pPr>
    </w:p>
    <w:p w:rsidR="0024525F" w:rsidRPr="004272BD" w:rsidRDefault="003A1E26" w:rsidP="0085402B">
      <w:pPr>
        <w:suppressAutoHyphens/>
        <w:spacing w:after="0"/>
        <w:jc w:val="both"/>
        <w:outlineLvl w:val="0"/>
        <w:rPr>
          <w:rFonts w:ascii="Times New Roman" w:hAnsi="Times New Roman"/>
          <w:sz w:val="24"/>
          <w:szCs w:val="24"/>
        </w:rPr>
      </w:pPr>
      <w:r>
        <w:rPr>
          <w:rFonts w:ascii="Times New Roman" w:hAnsi="Times New Roman"/>
          <w:sz w:val="24"/>
          <w:szCs w:val="24"/>
        </w:rPr>
        <w:t>Зам</w:t>
      </w:r>
      <w:r w:rsidR="000A58F0" w:rsidRPr="004272BD">
        <w:rPr>
          <w:rFonts w:ascii="Times New Roman" w:hAnsi="Times New Roman"/>
          <w:sz w:val="24"/>
          <w:szCs w:val="24"/>
        </w:rPr>
        <w:t>. р</w:t>
      </w:r>
      <w:r w:rsidR="0024525F" w:rsidRPr="004272BD">
        <w:rPr>
          <w:rFonts w:ascii="Times New Roman" w:hAnsi="Times New Roman"/>
          <w:sz w:val="24"/>
          <w:szCs w:val="24"/>
        </w:rPr>
        <w:t>уководител</w:t>
      </w:r>
      <w:r w:rsidR="000A58F0" w:rsidRPr="004272BD">
        <w:rPr>
          <w:rFonts w:ascii="Times New Roman" w:hAnsi="Times New Roman"/>
          <w:sz w:val="24"/>
          <w:szCs w:val="24"/>
        </w:rPr>
        <w:t>я</w:t>
      </w:r>
      <w:r w:rsidR="00E34674" w:rsidRPr="004272BD">
        <w:rPr>
          <w:rFonts w:ascii="Times New Roman" w:hAnsi="Times New Roman"/>
          <w:sz w:val="24"/>
          <w:szCs w:val="24"/>
        </w:rPr>
        <w:t xml:space="preserve"> </w:t>
      </w:r>
      <w:r w:rsidR="0024525F" w:rsidRPr="004272BD">
        <w:rPr>
          <w:rFonts w:ascii="Times New Roman" w:hAnsi="Times New Roman"/>
          <w:sz w:val="24"/>
          <w:szCs w:val="24"/>
        </w:rPr>
        <w:t xml:space="preserve">департамента  </w:t>
      </w:r>
    </w:p>
    <w:p w:rsidR="004A3EE1" w:rsidRDefault="0024525F" w:rsidP="0085402B">
      <w:pPr>
        <w:suppressAutoHyphens/>
        <w:spacing w:after="0"/>
        <w:jc w:val="both"/>
        <w:outlineLvl w:val="0"/>
        <w:rPr>
          <w:rFonts w:ascii="Times New Roman" w:hAnsi="Times New Roman"/>
          <w:sz w:val="24"/>
          <w:szCs w:val="24"/>
        </w:rPr>
      </w:pPr>
      <w:r w:rsidRPr="004272BD">
        <w:rPr>
          <w:rFonts w:ascii="Times New Roman" w:hAnsi="Times New Roman"/>
          <w:sz w:val="24"/>
          <w:szCs w:val="24"/>
        </w:rPr>
        <w:t>экономического развития</w:t>
      </w:r>
      <w:r w:rsidR="004A3EE1">
        <w:rPr>
          <w:rFonts w:ascii="Times New Roman" w:hAnsi="Times New Roman"/>
          <w:sz w:val="24"/>
          <w:szCs w:val="24"/>
        </w:rPr>
        <w:t xml:space="preserve"> </w:t>
      </w:r>
      <w:bookmarkStart w:id="1" w:name="_GoBack"/>
      <w:bookmarkEnd w:id="1"/>
      <w:r w:rsidR="004A3EE1">
        <w:rPr>
          <w:rFonts w:ascii="Times New Roman" w:hAnsi="Times New Roman"/>
          <w:sz w:val="24"/>
          <w:szCs w:val="24"/>
        </w:rPr>
        <w:t xml:space="preserve">- </w:t>
      </w:r>
      <w:r w:rsidRPr="004272BD">
        <w:rPr>
          <w:rFonts w:ascii="Times New Roman" w:hAnsi="Times New Roman"/>
          <w:sz w:val="24"/>
          <w:szCs w:val="24"/>
        </w:rPr>
        <w:tab/>
      </w:r>
      <w:r w:rsidR="004A3EE1" w:rsidRPr="004A3EE1">
        <w:rPr>
          <w:rFonts w:ascii="Times New Roman" w:hAnsi="Times New Roman"/>
          <w:sz w:val="24"/>
          <w:szCs w:val="24"/>
        </w:rPr>
        <w:t xml:space="preserve">руководитель управления  </w:t>
      </w:r>
    </w:p>
    <w:p w:rsidR="004A3EE1" w:rsidRDefault="004A3EE1" w:rsidP="0085402B">
      <w:pPr>
        <w:suppressAutoHyphens/>
        <w:spacing w:after="0"/>
        <w:jc w:val="both"/>
        <w:outlineLvl w:val="0"/>
        <w:rPr>
          <w:rFonts w:ascii="Times New Roman" w:hAnsi="Times New Roman"/>
          <w:sz w:val="24"/>
          <w:szCs w:val="24"/>
        </w:rPr>
      </w:pPr>
      <w:r w:rsidRPr="004A3EE1">
        <w:rPr>
          <w:rFonts w:ascii="Times New Roman" w:hAnsi="Times New Roman"/>
          <w:sz w:val="24"/>
          <w:szCs w:val="24"/>
        </w:rPr>
        <w:t xml:space="preserve">коммунального комплекса </w:t>
      </w:r>
    </w:p>
    <w:p w:rsidR="004A3EE1" w:rsidRDefault="004A3EE1" w:rsidP="0085402B">
      <w:pPr>
        <w:suppressAutoHyphens/>
        <w:spacing w:after="0"/>
        <w:jc w:val="both"/>
        <w:outlineLvl w:val="0"/>
        <w:rPr>
          <w:rFonts w:ascii="Times New Roman" w:hAnsi="Times New Roman"/>
          <w:sz w:val="24"/>
          <w:szCs w:val="24"/>
        </w:rPr>
      </w:pPr>
      <w:r w:rsidRPr="004A3EE1">
        <w:rPr>
          <w:rFonts w:ascii="Times New Roman" w:hAnsi="Times New Roman"/>
          <w:sz w:val="24"/>
          <w:szCs w:val="24"/>
        </w:rPr>
        <w:t xml:space="preserve">и муниципального сектора экономики </w:t>
      </w:r>
    </w:p>
    <w:p w:rsidR="0024525F" w:rsidRPr="004272BD" w:rsidRDefault="004A3EE1" w:rsidP="0085402B">
      <w:pPr>
        <w:suppressAutoHyphens/>
        <w:spacing w:after="0"/>
        <w:jc w:val="both"/>
        <w:outlineLvl w:val="0"/>
        <w:rPr>
          <w:rFonts w:ascii="Times New Roman" w:hAnsi="Times New Roman"/>
          <w:sz w:val="24"/>
          <w:szCs w:val="24"/>
        </w:rPr>
      </w:pPr>
      <w:r w:rsidRPr="004A3EE1">
        <w:rPr>
          <w:rFonts w:ascii="Times New Roman" w:hAnsi="Times New Roman"/>
          <w:sz w:val="24"/>
          <w:szCs w:val="24"/>
        </w:rPr>
        <w:t>администрации городского округа Тольятти</w:t>
      </w:r>
      <w:r>
        <w:rPr>
          <w:rFonts w:ascii="Times New Roman" w:hAnsi="Times New Roman"/>
          <w:sz w:val="24"/>
          <w:szCs w:val="24"/>
        </w:rPr>
        <w:t xml:space="preserve">  </w:t>
      </w:r>
      <w:r w:rsidR="0024525F" w:rsidRPr="004272BD">
        <w:rPr>
          <w:rFonts w:ascii="Times New Roman" w:hAnsi="Times New Roman"/>
          <w:sz w:val="24"/>
          <w:szCs w:val="24"/>
        </w:rPr>
        <w:t xml:space="preserve">                   </w:t>
      </w:r>
      <w:r w:rsidR="004272BD">
        <w:rPr>
          <w:rFonts w:ascii="Times New Roman" w:hAnsi="Times New Roman"/>
          <w:sz w:val="24"/>
          <w:szCs w:val="24"/>
        </w:rPr>
        <w:t xml:space="preserve">             </w:t>
      </w:r>
      <w:r w:rsidR="000A58F0" w:rsidRPr="004272BD">
        <w:rPr>
          <w:rFonts w:ascii="Times New Roman" w:hAnsi="Times New Roman"/>
          <w:sz w:val="24"/>
          <w:szCs w:val="24"/>
        </w:rPr>
        <w:t xml:space="preserve">                    </w:t>
      </w:r>
      <w:r w:rsidR="003A1E26">
        <w:rPr>
          <w:rFonts w:ascii="Times New Roman" w:hAnsi="Times New Roman"/>
          <w:sz w:val="24"/>
          <w:szCs w:val="24"/>
        </w:rPr>
        <w:t>Е.В. Демидова</w:t>
      </w:r>
      <w:r w:rsidR="0024525F" w:rsidRPr="004272BD">
        <w:rPr>
          <w:rFonts w:ascii="Times New Roman" w:hAnsi="Times New Roman"/>
          <w:sz w:val="24"/>
          <w:szCs w:val="24"/>
        </w:rPr>
        <w:t xml:space="preserve">            </w:t>
      </w:r>
      <w:r w:rsidR="00712688" w:rsidRPr="004272BD">
        <w:rPr>
          <w:rFonts w:ascii="Times New Roman" w:hAnsi="Times New Roman"/>
          <w:sz w:val="24"/>
          <w:szCs w:val="24"/>
        </w:rPr>
        <w:t xml:space="preserve">     </w:t>
      </w:r>
      <w:r w:rsidR="0024525F" w:rsidRPr="004272BD">
        <w:rPr>
          <w:rFonts w:ascii="Times New Roman" w:hAnsi="Times New Roman"/>
          <w:sz w:val="24"/>
          <w:szCs w:val="24"/>
        </w:rPr>
        <w:t xml:space="preserve">      </w:t>
      </w:r>
    </w:p>
    <w:p w:rsidR="0024525F" w:rsidRPr="004272BD" w:rsidRDefault="0024525F" w:rsidP="004272BD">
      <w:pPr>
        <w:suppressAutoHyphens/>
        <w:spacing w:after="0"/>
        <w:ind w:firstLine="709"/>
        <w:jc w:val="both"/>
        <w:outlineLvl w:val="0"/>
        <w:rPr>
          <w:rFonts w:ascii="Times New Roman" w:hAnsi="Times New Roman"/>
          <w:sz w:val="24"/>
          <w:szCs w:val="24"/>
        </w:rPr>
      </w:pPr>
    </w:p>
    <w:p w:rsidR="00712688" w:rsidRPr="004272BD" w:rsidRDefault="00712688" w:rsidP="004272BD">
      <w:pPr>
        <w:suppressAutoHyphens/>
        <w:spacing w:after="0"/>
        <w:ind w:firstLine="709"/>
        <w:jc w:val="both"/>
        <w:outlineLvl w:val="0"/>
        <w:rPr>
          <w:rFonts w:ascii="Times New Roman" w:hAnsi="Times New Roman"/>
          <w:sz w:val="24"/>
          <w:szCs w:val="24"/>
        </w:rPr>
      </w:pPr>
    </w:p>
    <w:p w:rsidR="00712688" w:rsidRPr="004272BD" w:rsidRDefault="00712688" w:rsidP="004272BD">
      <w:pPr>
        <w:suppressAutoHyphens/>
        <w:spacing w:after="0"/>
        <w:ind w:firstLine="709"/>
        <w:jc w:val="both"/>
        <w:outlineLvl w:val="0"/>
        <w:rPr>
          <w:rFonts w:ascii="Times New Roman" w:hAnsi="Times New Roman"/>
          <w:sz w:val="24"/>
          <w:szCs w:val="24"/>
        </w:rPr>
      </w:pPr>
    </w:p>
    <w:p w:rsidR="00D123EB" w:rsidRPr="004272BD" w:rsidRDefault="00D123EB" w:rsidP="004272BD">
      <w:pPr>
        <w:suppressAutoHyphens/>
        <w:spacing w:after="0"/>
        <w:ind w:firstLine="709"/>
        <w:jc w:val="both"/>
        <w:outlineLvl w:val="0"/>
        <w:rPr>
          <w:rFonts w:ascii="Times New Roman" w:hAnsi="Times New Roman"/>
          <w:sz w:val="24"/>
          <w:szCs w:val="24"/>
        </w:rPr>
      </w:pPr>
    </w:p>
    <w:sectPr w:rsidR="00D123EB" w:rsidRPr="004272BD" w:rsidSect="00986F9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E7" w:rsidRDefault="00E11BE7" w:rsidP="006A2B6C">
      <w:pPr>
        <w:spacing w:after="0" w:line="240" w:lineRule="auto"/>
      </w:pPr>
      <w:r>
        <w:separator/>
      </w:r>
    </w:p>
  </w:endnote>
  <w:endnote w:type="continuationSeparator" w:id="0">
    <w:p w:rsidR="00E11BE7" w:rsidRDefault="00E11BE7" w:rsidP="006A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E7" w:rsidRDefault="00E11BE7" w:rsidP="006A2B6C">
      <w:pPr>
        <w:spacing w:after="0" w:line="240" w:lineRule="auto"/>
      </w:pPr>
      <w:r>
        <w:separator/>
      </w:r>
    </w:p>
  </w:footnote>
  <w:footnote w:type="continuationSeparator" w:id="0">
    <w:p w:rsidR="00E11BE7" w:rsidRDefault="00E11BE7" w:rsidP="006A2B6C">
      <w:pPr>
        <w:spacing w:after="0" w:line="240" w:lineRule="auto"/>
      </w:pPr>
      <w:r>
        <w:continuationSeparator/>
      </w:r>
    </w:p>
  </w:footnote>
  <w:footnote w:id="1">
    <w:p w:rsidR="00E11BE7" w:rsidRPr="004B2407" w:rsidRDefault="00E11BE7" w:rsidP="004837CC">
      <w:pPr>
        <w:pStyle w:val="af9"/>
        <w:rPr>
          <w:rFonts w:ascii="Times New Roman" w:hAnsi="Times New Roman"/>
        </w:rPr>
      </w:pPr>
      <w:r w:rsidRPr="004B2407">
        <w:rPr>
          <w:rStyle w:val="afb"/>
          <w:rFonts w:ascii="Times New Roman" w:hAnsi="Times New Roman"/>
        </w:rPr>
        <w:footnoteRef/>
      </w:r>
      <w:r w:rsidRPr="004B2407">
        <w:rPr>
          <w:rFonts w:ascii="Times New Roman" w:hAnsi="Times New Roman"/>
        </w:rPr>
        <w:t xml:space="preserve"> Разница между прибылью прибыльных организаций и убытком убыточных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E7" w:rsidRDefault="00216383">
    <w:pPr>
      <w:pStyle w:val="ab"/>
      <w:jc w:val="center"/>
    </w:pPr>
    <w:r>
      <w:fldChar w:fldCharType="begin"/>
    </w:r>
    <w:r w:rsidR="00D97270">
      <w:instrText xml:space="preserve"> PAGE   \* MERGEFORMAT </w:instrText>
    </w:r>
    <w:r>
      <w:fldChar w:fldCharType="separate"/>
    </w:r>
    <w:r w:rsidR="00E837D2">
      <w:rPr>
        <w:noProof/>
      </w:rPr>
      <w:t>28</w:t>
    </w:r>
    <w:r>
      <w:rPr>
        <w:noProof/>
      </w:rPr>
      <w:fldChar w:fldCharType="end"/>
    </w:r>
  </w:p>
  <w:p w:rsidR="00E11BE7" w:rsidRDefault="00E11B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E0B9A6"/>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800"/>
        </w:tabs>
        <w:ind w:left="1800" w:hanging="360"/>
      </w:pPr>
      <w:rPr>
        <w:rFonts w:ascii="Symbol" w:hAnsi="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Symbol" w:hAnsi="Symbol"/>
      </w:rPr>
    </w:lvl>
    <w:lvl w:ilvl="8">
      <w:start w:val="1"/>
      <w:numFmt w:val="bullet"/>
      <w:lvlText w:val=""/>
      <w:lvlJc w:val="left"/>
      <w:pPr>
        <w:tabs>
          <w:tab w:val="num" w:pos="2880"/>
        </w:tabs>
        <w:ind w:left="2880" w:hanging="360"/>
      </w:pPr>
      <w:rPr>
        <w:rFonts w:ascii="Symbol" w:hAnsi="Symbol"/>
      </w:rPr>
    </w:lvl>
  </w:abstractNum>
  <w:abstractNum w:abstractNumId="5">
    <w:nsid w:val="060D4A64"/>
    <w:multiLevelType w:val="hybridMultilevel"/>
    <w:tmpl w:val="712C0DB0"/>
    <w:lvl w:ilvl="0" w:tplc="25E0736C">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466CD"/>
    <w:multiLevelType w:val="multilevel"/>
    <w:tmpl w:val="394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135C3"/>
    <w:multiLevelType w:val="hybridMultilevel"/>
    <w:tmpl w:val="D1FE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50AC0"/>
    <w:multiLevelType w:val="hybridMultilevel"/>
    <w:tmpl w:val="75245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892534"/>
    <w:multiLevelType w:val="multilevel"/>
    <w:tmpl w:val="E230C6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9311A52"/>
    <w:multiLevelType w:val="hybridMultilevel"/>
    <w:tmpl w:val="E3D2A776"/>
    <w:lvl w:ilvl="0" w:tplc="8AD0F9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021A3C"/>
    <w:multiLevelType w:val="hybridMultilevel"/>
    <w:tmpl w:val="39FC001E"/>
    <w:lvl w:ilvl="0" w:tplc="FBBAD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90A6A"/>
    <w:multiLevelType w:val="hybridMultilevel"/>
    <w:tmpl w:val="77321C6E"/>
    <w:lvl w:ilvl="0" w:tplc="25E073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6"/>
  </w:num>
  <w:num w:numId="7">
    <w:abstractNumId w:val="11"/>
  </w:num>
  <w:num w:numId="8">
    <w:abstractNumId w:val="12"/>
  </w:num>
  <w:num w:numId="9">
    <w:abstractNumId w:val="5"/>
  </w:num>
  <w:num w:numId="10">
    <w:abstractNumId w:val="8"/>
  </w:num>
  <w:num w:numId="11">
    <w:abstractNumId w:val="7"/>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D07CCC"/>
    <w:rsid w:val="00000706"/>
    <w:rsid w:val="00000731"/>
    <w:rsid w:val="00000D0A"/>
    <w:rsid w:val="00010311"/>
    <w:rsid w:val="00010C3F"/>
    <w:rsid w:val="0001321B"/>
    <w:rsid w:val="0001396C"/>
    <w:rsid w:val="00014071"/>
    <w:rsid w:val="0001441B"/>
    <w:rsid w:val="00014A04"/>
    <w:rsid w:val="00014F6F"/>
    <w:rsid w:val="0001569D"/>
    <w:rsid w:val="0001618C"/>
    <w:rsid w:val="000167FA"/>
    <w:rsid w:val="00016C04"/>
    <w:rsid w:val="00020589"/>
    <w:rsid w:val="00022B64"/>
    <w:rsid w:val="00023055"/>
    <w:rsid w:val="00030141"/>
    <w:rsid w:val="00032E66"/>
    <w:rsid w:val="00033143"/>
    <w:rsid w:val="000333BE"/>
    <w:rsid w:val="00033497"/>
    <w:rsid w:val="00034F15"/>
    <w:rsid w:val="00035910"/>
    <w:rsid w:val="0003614B"/>
    <w:rsid w:val="000362FD"/>
    <w:rsid w:val="00036FE9"/>
    <w:rsid w:val="00040D71"/>
    <w:rsid w:val="000410A0"/>
    <w:rsid w:val="000419B3"/>
    <w:rsid w:val="00044618"/>
    <w:rsid w:val="00045B43"/>
    <w:rsid w:val="00050F25"/>
    <w:rsid w:val="00054BAC"/>
    <w:rsid w:val="00056511"/>
    <w:rsid w:val="00056809"/>
    <w:rsid w:val="000578A8"/>
    <w:rsid w:val="00057D39"/>
    <w:rsid w:val="000600C4"/>
    <w:rsid w:val="00065A6A"/>
    <w:rsid w:val="000660E7"/>
    <w:rsid w:val="0006782A"/>
    <w:rsid w:val="00070B7B"/>
    <w:rsid w:val="00074382"/>
    <w:rsid w:val="00074C58"/>
    <w:rsid w:val="00076B52"/>
    <w:rsid w:val="00080481"/>
    <w:rsid w:val="000812D2"/>
    <w:rsid w:val="000816D2"/>
    <w:rsid w:val="00081727"/>
    <w:rsid w:val="00083DA7"/>
    <w:rsid w:val="00084365"/>
    <w:rsid w:val="0008482D"/>
    <w:rsid w:val="000859C5"/>
    <w:rsid w:val="00087919"/>
    <w:rsid w:val="0009076C"/>
    <w:rsid w:val="000947CA"/>
    <w:rsid w:val="00094FEB"/>
    <w:rsid w:val="000958AF"/>
    <w:rsid w:val="000A0CD3"/>
    <w:rsid w:val="000A1F9F"/>
    <w:rsid w:val="000A2D0C"/>
    <w:rsid w:val="000A40EA"/>
    <w:rsid w:val="000A4AC7"/>
    <w:rsid w:val="000A58F0"/>
    <w:rsid w:val="000A61B4"/>
    <w:rsid w:val="000A77DF"/>
    <w:rsid w:val="000B2870"/>
    <w:rsid w:val="000B2A5E"/>
    <w:rsid w:val="000B30A0"/>
    <w:rsid w:val="000B6A0B"/>
    <w:rsid w:val="000B7455"/>
    <w:rsid w:val="000B76AA"/>
    <w:rsid w:val="000C4212"/>
    <w:rsid w:val="000C4A6D"/>
    <w:rsid w:val="000C6BBA"/>
    <w:rsid w:val="000C71B4"/>
    <w:rsid w:val="000D3F3D"/>
    <w:rsid w:val="000D42FC"/>
    <w:rsid w:val="000D464B"/>
    <w:rsid w:val="000D4D5C"/>
    <w:rsid w:val="000D7C91"/>
    <w:rsid w:val="000E1B4B"/>
    <w:rsid w:val="000E4D2C"/>
    <w:rsid w:val="000E5B3C"/>
    <w:rsid w:val="000E7440"/>
    <w:rsid w:val="000F1F19"/>
    <w:rsid w:val="000F2637"/>
    <w:rsid w:val="000F4009"/>
    <w:rsid w:val="000F536F"/>
    <w:rsid w:val="000F6D2C"/>
    <w:rsid w:val="000F750F"/>
    <w:rsid w:val="000F7FD4"/>
    <w:rsid w:val="00101DD9"/>
    <w:rsid w:val="0010607D"/>
    <w:rsid w:val="00106C1E"/>
    <w:rsid w:val="00111B9D"/>
    <w:rsid w:val="00112CAB"/>
    <w:rsid w:val="00115B9C"/>
    <w:rsid w:val="0011685E"/>
    <w:rsid w:val="00116CA1"/>
    <w:rsid w:val="00116FB6"/>
    <w:rsid w:val="001223D0"/>
    <w:rsid w:val="001236DA"/>
    <w:rsid w:val="0012611C"/>
    <w:rsid w:val="00132ACF"/>
    <w:rsid w:val="001353DB"/>
    <w:rsid w:val="001372ED"/>
    <w:rsid w:val="0014020B"/>
    <w:rsid w:val="0014149C"/>
    <w:rsid w:val="00141853"/>
    <w:rsid w:val="00144879"/>
    <w:rsid w:val="00145CB2"/>
    <w:rsid w:val="00147EE7"/>
    <w:rsid w:val="00151BA1"/>
    <w:rsid w:val="001560F0"/>
    <w:rsid w:val="00160B3D"/>
    <w:rsid w:val="001615AB"/>
    <w:rsid w:val="001634A9"/>
    <w:rsid w:val="001640F5"/>
    <w:rsid w:val="00164A8A"/>
    <w:rsid w:val="00165567"/>
    <w:rsid w:val="001657ED"/>
    <w:rsid w:val="00166F3E"/>
    <w:rsid w:val="00172C5A"/>
    <w:rsid w:val="00174330"/>
    <w:rsid w:val="00177568"/>
    <w:rsid w:val="00180BC4"/>
    <w:rsid w:val="00180FCD"/>
    <w:rsid w:val="00181D4B"/>
    <w:rsid w:val="0018367D"/>
    <w:rsid w:val="001854E1"/>
    <w:rsid w:val="00190DE2"/>
    <w:rsid w:val="00190FF7"/>
    <w:rsid w:val="00191521"/>
    <w:rsid w:val="00196C14"/>
    <w:rsid w:val="001A0FC9"/>
    <w:rsid w:val="001A22AE"/>
    <w:rsid w:val="001A71CC"/>
    <w:rsid w:val="001B59A3"/>
    <w:rsid w:val="001B6E44"/>
    <w:rsid w:val="001B7108"/>
    <w:rsid w:val="001B723B"/>
    <w:rsid w:val="001C4E9F"/>
    <w:rsid w:val="001C6ACE"/>
    <w:rsid w:val="001D4299"/>
    <w:rsid w:val="001D46E2"/>
    <w:rsid w:val="001D7EEB"/>
    <w:rsid w:val="001E0E07"/>
    <w:rsid w:val="001E40D0"/>
    <w:rsid w:val="001F0DED"/>
    <w:rsid w:val="001F6782"/>
    <w:rsid w:val="00200A87"/>
    <w:rsid w:val="0021011E"/>
    <w:rsid w:val="00212024"/>
    <w:rsid w:val="0021447B"/>
    <w:rsid w:val="0021512E"/>
    <w:rsid w:val="00216383"/>
    <w:rsid w:val="002163EF"/>
    <w:rsid w:val="00217814"/>
    <w:rsid w:val="00222B01"/>
    <w:rsid w:val="00223087"/>
    <w:rsid w:val="0022478E"/>
    <w:rsid w:val="00225096"/>
    <w:rsid w:val="002251FC"/>
    <w:rsid w:val="00226CBF"/>
    <w:rsid w:val="00234A20"/>
    <w:rsid w:val="0023672B"/>
    <w:rsid w:val="002376F6"/>
    <w:rsid w:val="00237810"/>
    <w:rsid w:val="00240A72"/>
    <w:rsid w:val="0024199E"/>
    <w:rsid w:val="00241D05"/>
    <w:rsid w:val="0024525F"/>
    <w:rsid w:val="00245C62"/>
    <w:rsid w:val="00246187"/>
    <w:rsid w:val="0024728E"/>
    <w:rsid w:val="002503DF"/>
    <w:rsid w:val="00251837"/>
    <w:rsid w:val="002520A8"/>
    <w:rsid w:val="00252845"/>
    <w:rsid w:val="00252EA7"/>
    <w:rsid w:val="00253A3F"/>
    <w:rsid w:val="00254406"/>
    <w:rsid w:val="00256164"/>
    <w:rsid w:val="0025726A"/>
    <w:rsid w:val="00261348"/>
    <w:rsid w:val="00261B7F"/>
    <w:rsid w:val="0026348F"/>
    <w:rsid w:val="002636A8"/>
    <w:rsid w:val="00271C9B"/>
    <w:rsid w:val="00273F98"/>
    <w:rsid w:val="00276E9D"/>
    <w:rsid w:val="00280E9F"/>
    <w:rsid w:val="00283D22"/>
    <w:rsid w:val="00285A48"/>
    <w:rsid w:val="00285FE4"/>
    <w:rsid w:val="00286325"/>
    <w:rsid w:val="002868BA"/>
    <w:rsid w:val="00287325"/>
    <w:rsid w:val="00290483"/>
    <w:rsid w:val="00291038"/>
    <w:rsid w:val="0029415A"/>
    <w:rsid w:val="00294B83"/>
    <w:rsid w:val="00295A22"/>
    <w:rsid w:val="002969CA"/>
    <w:rsid w:val="002A1449"/>
    <w:rsid w:val="002A2818"/>
    <w:rsid w:val="002A28F7"/>
    <w:rsid w:val="002A41DA"/>
    <w:rsid w:val="002B07F2"/>
    <w:rsid w:val="002B0F1F"/>
    <w:rsid w:val="002B4DA0"/>
    <w:rsid w:val="002B71DF"/>
    <w:rsid w:val="002B7CB9"/>
    <w:rsid w:val="002C1C8C"/>
    <w:rsid w:val="002C1F51"/>
    <w:rsid w:val="002C4510"/>
    <w:rsid w:val="002C4851"/>
    <w:rsid w:val="002C52D6"/>
    <w:rsid w:val="002C5D86"/>
    <w:rsid w:val="002C6321"/>
    <w:rsid w:val="002C69C4"/>
    <w:rsid w:val="002C6EFA"/>
    <w:rsid w:val="002C7FD3"/>
    <w:rsid w:val="002D4AD6"/>
    <w:rsid w:val="002D4C8D"/>
    <w:rsid w:val="002D5FE4"/>
    <w:rsid w:val="002D75DE"/>
    <w:rsid w:val="002D7E7E"/>
    <w:rsid w:val="002E4D89"/>
    <w:rsid w:val="002E7C86"/>
    <w:rsid w:val="002F1921"/>
    <w:rsid w:val="002F32E1"/>
    <w:rsid w:val="002F44E3"/>
    <w:rsid w:val="002F4C09"/>
    <w:rsid w:val="002F622E"/>
    <w:rsid w:val="003016D7"/>
    <w:rsid w:val="0030548E"/>
    <w:rsid w:val="00305CBB"/>
    <w:rsid w:val="00306CE0"/>
    <w:rsid w:val="0030726C"/>
    <w:rsid w:val="00307C91"/>
    <w:rsid w:val="00311DDD"/>
    <w:rsid w:val="0031233D"/>
    <w:rsid w:val="0031243F"/>
    <w:rsid w:val="003129EE"/>
    <w:rsid w:val="00313A2A"/>
    <w:rsid w:val="00315A34"/>
    <w:rsid w:val="00315B0C"/>
    <w:rsid w:val="00320D4C"/>
    <w:rsid w:val="00320DD7"/>
    <w:rsid w:val="00321233"/>
    <w:rsid w:val="00321E65"/>
    <w:rsid w:val="003245E7"/>
    <w:rsid w:val="003269B2"/>
    <w:rsid w:val="00333C33"/>
    <w:rsid w:val="00336F0B"/>
    <w:rsid w:val="003375AD"/>
    <w:rsid w:val="00337B99"/>
    <w:rsid w:val="00337EFA"/>
    <w:rsid w:val="00340CC6"/>
    <w:rsid w:val="00343217"/>
    <w:rsid w:val="00347B6E"/>
    <w:rsid w:val="00351831"/>
    <w:rsid w:val="00351F7D"/>
    <w:rsid w:val="00354DCD"/>
    <w:rsid w:val="00370923"/>
    <w:rsid w:val="0037720F"/>
    <w:rsid w:val="00377BFC"/>
    <w:rsid w:val="00381D2B"/>
    <w:rsid w:val="00383022"/>
    <w:rsid w:val="00383C2D"/>
    <w:rsid w:val="00385C0B"/>
    <w:rsid w:val="00386117"/>
    <w:rsid w:val="00387FA5"/>
    <w:rsid w:val="003923BE"/>
    <w:rsid w:val="003928DA"/>
    <w:rsid w:val="00392FC5"/>
    <w:rsid w:val="003935A6"/>
    <w:rsid w:val="003A07EE"/>
    <w:rsid w:val="003A0DA7"/>
    <w:rsid w:val="003A1850"/>
    <w:rsid w:val="003A1E26"/>
    <w:rsid w:val="003A1F9F"/>
    <w:rsid w:val="003A3C59"/>
    <w:rsid w:val="003A6894"/>
    <w:rsid w:val="003A6978"/>
    <w:rsid w:val="003A725F"/>
    <w:rsid w:val="003B0655"/>
    <w:rsid w:val="003B26A8"/>
    <w:rsid w:val="003B2D82"/>
    <w:rsid w:val="003B43D3"/>
    <w:rsid w:val="003B5792"/>
    <w:rsid w:val="003B678F"/>
    <w:rsid w:val="003B6B61"/>
    <w:rsid w:val="003B73CA"/>
    <w:rsid w:val="003C088D"/>
    <w:rsid w:val="003C0BBE"/>
    <w:rsid w:val="003C0F13"/>
    <w:rsid w:val="003C2D1F"/>
    <w:rsid w:val="003C4E94"/>
    <w:rsid w:val="003C4FB1"/>
    <w:rsid w:val="003C7CBE"/>
    <w:rsid w:val="003D0E44"/>
    <w:rsid w:val="003D3198"/>
    <w:rsid w:val="003D516D"/>
    <w:rsid w:val="003D7120"/>
    <w:rsid w:val="003D7603"/>
    <w:rsid w:val="003E0380"/>
    <w:rsid w:val="003E0469"/>
    <w:rsid w:val="003E086B"/>
    <w:rsid w:val="003E1BBB"/>
    <w:rsid w:val="003E1E4B"/>
    <w:rsid w:val="003E507E"/>
    <w:rsid w:val="003E6FF9"/>
    <w:rsid w:val="003E72E8"/>
    <w:rsid w:val="003F168E"/>
    <w:rsid w:val="003F17E7"/>
    <w:rsid w:val="003F2086"/>
    <w:rsid w:val="003F3209"/>
    <w:rsid w:val="003F5855"/>
    <w:rsid w:val="004004C7"/>
    <w:rsid w:val="00400763"/>
    <w:rsid w:val="004007CE"/>
    <w:rsid w:val="0040228B"/>
    <w:rsid w:val="00404FEB"/>
    <w:rsid w:val="004069B4"/>
    <w:rsid w:val="004137F0"/>
    <w:rsid w:val="00415835"/>
    <w:rsid w:val="004158F0"/>
    <w:rsid w:val="00415947"/>
    <w:rsid w:val="00421297"/>
    <w:rsid w:val="00423013"/>
    <w:rsid w:val="004272BD"/>
    <w:rsid w:val="00432232"/>
    <w:rsid w:val="0043454E"/>
    <w:rsid w:val="00436911"/>
    <w:rsid w:val="004418F8"/>
    <w:rsid w:val="00442DC6"/>
    <w:rsid w:val="00444943"/>
    <w:rsid w:val="00444E3C"/>
    <w:rsid w:val="00446E24"/>
    <w:rsid w:val="00451A21"/>
    <w:rsid w:val="00455B73"/>
    <w:rsid w:val="00461D48"/>
    <w:rsid w:val="00470F7E"/>
    <w:rsid w:val="00473F0A"/>
    <w:rsid w:val="00475D1C"/>
    <w:rsid w:val="004802DC"/>
    <w:rsid w:val="00480608"/>
    <w:rsid w:val="00480886"/>
    <w:rsid w:val="00483396"/>
    <w:rsid w:val="004837CC"/>
    <w:rsid w:val="00483AFA"/>
    <w:rsid w:val="00486E2E"/>
    <w:rsid w:val="0048791D"/>
    <w:rsid w:val="004934A5"/>
    <w:rsid w:val="00493BF2"/>
    <w:rsid w:val="00495B23"/>
    <w:rsid w:val="004A3EE1"/>
    <w:rsid w:val="004A44CC"/>
    <w:rsid w:val="004A7097"/>
    <w:rsid w:val="004A71C5"/>
    <w:rsid w:val="004B0DFC"/>
    <w:rsid w:val="004B2407"/>
    <w:rsid w:val="004B3000"/>
    <w:rsid w:val="004B4442"/>
    <w:rsid w:val="004B5BCA"/>
    <w:rsid w:val="004B6A4F"/>
    <w:rsid w:val="004B6AFE"/>
    <w:rsid w:val="004B779B"/>
    <w:rsid w:val="004D1A99"/>
    <w:rsid w:val="004D267B"/>
    <w:rsid w:val="004D2D61"/>
    <w:rsid w:val="004D2E3C"/>
    <w:rsid w:val="004D3B1B"/>
    <w:rsid w:val="004D4728"/>
    <w:rsid w:val="004D6020"/>
    <w:rsid w:val="004E2233"/>
    <w:rsid w:val="004E2983"/>
    <w:rsid w:val="004E50F3"/>
    <w:rsid w:val="004E6999"/>
    <w:rsid w:val="004E7891"/>
    <w:rsid w:val="004F0A8C"/>
    <w:rsid w:val="004F1CB2"/>
    <w:rsid w:val="004F6493"/>
    <w:rsid w:val="00501038"/>
    <w:rsid w:val="0050363D"/>
    <w:rsid w:val="00503932"/>
    <w:rsid w:val="00505219"/>
    <w:rsid w:val="00506A8D"/>
    <w:rsid w:val="005103C5"/>
    <w:rsid w:val="0051162C"/>
    <w:rsid w:val="0051294B"/>
    <w:rsid w:val="005149C9"/>
    <w:rsid w:val="00514F79"/>
    <w:rsid w:val="00516669"/>
    <w:rsid w:val="0051667B"/>
    <w:rsid w:val="00520251"/>
    <w:rsid w:val="005207FE"/>
    <w:rsid w:val="005246A5"/>
    <w:rsid w:val="0053388C"/>
    <w:rsid w:val="00533A5C"/>
    <w:rsid w:val="00533AA4"/>
    <w:rsid w:val="00533B55"/>
    <w:rsid w:val="00535C97"/>
    <w:rsid w:val="005365B8"/>
    <w:rsid w:val="0053678F"/>
    <w:rsid w:val="00536DB9"/>
    <w:rsid w:val="005401B9"/>
    <w:rsid w:val="005407A5"/>
    <w:rsid w:val="00540F2D"/>
    <w:rsid w:val="005411E7"/>
    <w:rsid w:val="005442CE"/>
    <w:rsid w:val="005443F7"/>
    <w:rsid w:val="0054497E"/>
    <w:rsid w:val="00544D4F"/>
    <w:rsid w:val="00546B46"/>
    <w:rsid w:val="00546D5E"/>
    <w:rsid w:val="00551475"/>
    <w:rsid w:val="005534EA"/>
    <w:rsid w:val="0055699E"/>
    <w:rsid w:val="0055705E"/>
    <w:rsid w:val="00560422"/>
    <w:rsid w:val="005628B5"/>
    <w:rsid w:val="00562AE7"/>
    <w:rsid w:val="005654CE"/>
    <w:rsid w:val="00567884"/>
    <w:rsid w:val="00567ABE"/>
    <w:rsid w:val="00567D8A"/>
    <w:rsid w:val="005701C6"/>
    <w:rsid w:val="005705FF"/>
    <w:rsid w:val="005730D3"/>
    <w:rsid w:val="005732A6"/>
    <w:rsid w:val="00577CE3"/>
    <w:rsid w:val="00582BBA"/>
    <w:rsid w:val="005840B6"/>
    <w:rsid w:val="00585212"/>
    <w:rsid w:val="00593040"/>
    <w:rsid w:val="0059357B"/>
    <w:rsid w:val="0059413E"/>
    <w:rsid w:val="005965CD"/>
    <w:rsid w:val="005A052E"/>
    <w:rsid w:val="005A0F67"/>
    <w:rsid w:val="005A2C56"/>
    <w:rsid w:val="005A2F91"/>
    <w:rsid w:val="005A3158"/>
    <w:rsid w:val="005A3768"/>
    <w:rsid w:val="005A592C"/>
    <w:rsid w:val="005A6B4F"/>
    <w:rsid w:val="005A76C9"/>
    <w:rsid w:val="005B04D5"/>
    <w:rsid w:val="005B0C8A"/>
    <w:rsid w:val="005B1807"/>
    <w:rsid w:val="005B3E2C"/>
    <w:rsid w:val="005B5F3A"/>
    <w:rsid w:val="005C3A5C"/>
    <w:rsid w:val="005C3DCC"/>
    <w:rsid w:val="005C574C"/>
    <w:rsid w:val="005D0E8F"/>
    <w:rsid w:val="005D120E"/>
    <w:rsid w:val="005D12E1"/>
    <w:rsid w:val="005D1F98"/>
    <w:rsid w:val="005D226F"/>
    <w:rsid w:val="005D4697"/>
    <w:rsid w:val="005D5503"/>
    <w:rsid w:val="005D6058"/>
    <w:rsid w:val="005D6DAA"/>
    <w:rsid w:val="005E12A9"/>
    <w:rsid w:val="005E29F9"/>
    <w:rsid w:val="005E34A0"/>
    <w:rsid w:val="005E379A"/>
    <w:rsid w:val="005E62A7"/>
    <w:rsid w:val="005E6B91"/>
    <w:rsid w:val="005E6F22"/>
    <w:rsid w:val="005E72A3"/>
    <w:rsid w:val="005F053C"/>
    <w:rsid w:val="005F19ED"/>
    <w:rsid w:val="005F25EA"/>
    <w:rsid w:val="005F2FBC"/>
    <w:rsid w:val="005F4740"/>
    <w:rsid w:val="005F48B6"/>
    <w:rsid w:val="005F7A3F"/>
    <w:rsid w:val="00601FD1"/>
    <w:rsid w:val="00603A53"/>
    <w:rsid w:val="00604385"/>
    <w:rsid w:val="00606B3B"/>
    <w:rsid w:val="00607417"/>
    <w:rsid w:val="00607621"/>
    <w:rsid w:val="0061039C"/>
    <w:rsid w:val="0062084E"/>
    <w:rsid w:val="00624AF0"/>
    <w:rsid w:val="0062585C"/>
    <w:rsid w:val="00626B20"/>
    <w:rsid w:val="00627E6E"/>
    <w:rsid w:val="00630BE5"/>
    <w:rsid w:val="00631054"/>
    <w:rsid w:val="00632B5F"/>
    <w:rsid w:val="006341DE"/>
    <w:rsid w:val="00634FC4"/>
    <w:rsid w:val="00635EA5"/>
    <w:rsid w:val="006366C5"/>
    <w:rsid w:val="00640BB3"/>
    <w:rsid w:val="00641DCF"/>
    <w:rsid w:val="00642C11"/>
    <w:rsid w:val="006449DF"/>
    <w:rsid w:val="00651FDF"/>
    <w:rsid w:val="006524E3"/>
    <w:rsid w:val="00654927"/>
    <w:rsid w:val="00661209"/>
    <w:rsid w:val="0066186E"/>
    <w:rsid w:val="006676B7"/>
    <w:rsid w:val="0067031C"/>
    <w:rsid w:val="006711B5"/>
    <w:rsid w:val="00672C13"/>
    <w:rsid w:val="00675A55"/>
    <w:rsid w:val="00675DBC"/>
    <w:rsid w:val="00676613"/>
    <w:rsid w:val="0068063A"/>
    <w:rsid w:val="006814B1"/>
    <w:rsid w:val="006829EB"/>
    <w:rsid w:val="00690EAC"/>
    <w:rsid w:val="00692975"/>
    <w:rsid w:val="00696F98"/>
    <w:rsid w:val="00697473"/>
    <w:rsid w:val="006974A3"/>
    <w:rsid w:val="006A09F2"/>
    <w:rsid w:val="006A1E2F"/>
    <w:rsid w:val="006A2568"/>
    <w:rsid w:val="006A2B6C"/>
    <w:rsid w:val="006A4659"/>
    <w:rsid w:val="006A4A7A"/>
    <w:rsid w:val="006A5DED"/>
    <w:rsid w:val="006B12A3"/>
    <w:rsid w:val="006B1949"/>
    <w:rsid w:val="006B1CB6"/>
    <w:rsid w:val="006C1DD9"/>
    <w:rsid w:val="006C2640"/>
    <w:rsid w:val="006C2C16"/>
    <w:rsid w:val="006C366C"/>
    <w:rsid w:val="006C417B"/>
    <w:rsid w:val="006C5B03"/>
    <w:rsid w:val="006C61A9"/>
    <w:rsid w:val="006D03E3"/>
    <w:rsid w:val="006D1C9D"/>
    <w:rsid w:val="006D51AC"/>
    <w:rsid w:val="006D60DB"/>
    <w:rsid w:val="006E0092"/>
    <w:rsid w:val="006E3D21"/>
    <w:rsid w:val="006F1450"/>
    <w:rsid w:val="006F35BD"/>
    <w:rsid w:val="006F4FBC"/>
    <w:rsid w:val="006F60B3"/>
    <w:rsid w:val="00705CD7"/>
    <w:rsid w:val="007112B2"/>
    <w:rsid w:val="00711989"/>
    <w:rsid w:val="00712688"/>
    <w:rsid w:val="00723E27"/>
    <w:rsid w:val="0072697B"/>
    <w:rsid w:val="0073046F"/>
    <w:rsid w:val="00731516"/>
    <w:rsid w:val="007337C5"/>
    <w:rsid w:val="007355A9"/>
    <w:rsid w:val="00736EAF"/>
    <w:rsid w:val="00737025"/>
    <w:rsid w:val="00740BF6"/>
    <w:rsid w:val="0074125C"/>
    <w:rsid w:val="00741856"/>
    <w:rsid w:val="0074314B"/>
    <w:rsid w:val="00743556"/>
    <w:rsid w:val="00744A4C"/>
    <w:rsid w:val="00744C9F"/>
    <w:rsid w:val="00750F84"/>
    <w:rsid w:val="007515B7"/>
    <w:rsid w:val="007521BA"/>
    <w:rsid w:val="007530CB"/>
    <w:rsid w:val="0075606D"/>
    <w:rsid w:val="00756937"/>
    <w:rsid w:val="00756FB0"/>
    <w:rsid w:val="00762CFA"/>
    <w:rsid w:val="00764992"/>
    <w:rsid w:val="00764AE4"/>
    <w:rsid w:val="0076720B"/>
    <w:rsid w:val="00767931"/>
    <w:rsid w:val="00771B85"/>
    <w:rsid w:val="00772870"/>
    <w:rsid w:val="007750DD"/>
    <w:rsid w:val="00775583"/>
    <w:rsid w:val="0077736D"/>
    <w:rsid w:val="00780E67"/>
    <w:rsid w:val="00780E68"/>
    <w:rsid w:val="0078249B"/>
    <w:rsid w:val="00783278"/>
    <w:rsid w:val="00785774"/>
    <w:rsid w:val="00785820"/>
    <w:rsid w:val="00787E67"/>
    <w:rsid w:val="00793E3C"/>
    <w:rsid w:val="00794A68"/>
    <w:rsid w:val="007A103A"/>
    <w:rsid w:val="007A1901"/>
    <w:rsid w:val="007A246D"/>
    <w:rsid w:val="007A2DE6"/>
    <w:rsid w:val="007A6F0C"/>
    <w:rsid w:val="007B09D6"/>
    <w:rsid w:val="007B1590"/>
    <w:rsid w:val="007B1D4E"/>
    <w:rsid w:val="007B5FDE"/>
    <w:rsid w:val="007B645A"/>
    <w:rsid w:val="007B6BE5"/>
    <w:rsid w:val="007C0608"/>
    <w:rsid w:val="007C0AAC"/>
    <w:rsid w:val="007C1E74"/>
    <w:rsid w:val="007C2212"/>
    <w:rsid w:val="007C26B6"/>
    <w:rsid w:val="007C34DE"/>
    <w:rsid w:val="007C54E2"/>
    <w:rsid w:val="007C5D6A"/>
    <w:rsid w:val="007D0DFE"/>
    <w:rsid w:val="007D31E0"/>
    <w:rsid w:val="007D5F53"/>
    <w:rsid w:val="007E3F05"/>
    <w:rsid w:val="007E6D29"/>
    <w:rsid w:val="007F061B"/>
    <w:rsid w:val="007F21F1"/>
    <w:rsid w:val="007F36E8"/>
    <w:rsid w:val="00801AC5"/>
    <w:rsid w:val="0080770F"/>
    <w:rsid w:val="00807B31"/>
    <w:rsid w:val="00807D3F"/>
    <w:rsid w:val="00814216"/>
    <w:rsid w:val="00816850"/>
    <w:rsid w:val="00831256"/>
    <w:rsid w:val="008320B9"/>
    <w:rsid w:val="00832BFD"/>
    <w:rsid w:val="008333F5"/>
    <w:rsid w:val="00837244"/>
    <w:rsid w:val="00837DD4"/>
    <w:rsid w:val="0084030B"/>
    <w:rsid w:val="00841776"/>
    <w:rsid w:val="00844F74"/>
    <w:rsid w:val="008454B0"/>
    <w:rsid w:val="00846672"/>
    <w:rsid w:val="0085114C"/>
    <w:rsid w:val="0085118A"/>
    <w:rsid w:val="00852A87"/>
    <w:rsid w:val="008530B5"/>
    <w:rsid w:val="00853920"/>
    <w:rsid w:val="00853BB8"/>
    <w:rsid w:val="0085402B"/>
    <w:rsid w:val="00857217"/>
    <w:rsid w:val="00861140"/>
    <w:rsid w:val="008619F6"/>
    <w:rsid w:val="00862390"/>
    <w:rsid w:val="00862692"/>
    <w:rsid w:val="00862AC8"/>
    <w:rsid w:val="00864BE7"/>
    <w:rsid w:val="008679C4"/>
    <w:rsid w:val="008722CE"/>
    <w:rsid w:val="00873656"/>
    <w:rsid w:val="008801CA"/>
    <w:rsid w:val="00880930"/>
    <w:rsid w:val="00880F51"/>
    <w:rsid w:val="00881183"/>
    <w:rsid w:val="00881423"/>
    <w:rsid w:val="008815CC"/>
    <w:rsid w:val="00883921"/>
    <w:rsid w:val="00884DDE"/>
    <w:rsid w:val="00891823"/>
    <w:rsid w:val="00892CF6"/>
    <w:rsid w:val="00896FBE"/>
    <w:rsid w:val="008A2E77"/>
    <w:rsid w:val="008A758B"/>
    <w:rsid w:val="008A7B75"/>
    <w:rsid w:val="008B0895"/>
    <w:rsid w:val="008B1891"/>
    <w:rsid w:val="008B21A3"/>
    <w:rsid w:val="008B2315"/>
    <w:rsid w:val="008B27B8"/>
    <w:rsid w:val="008B3D0B"/>
    <w:rsid w:val="008B4686"/>
    <w:rsid w:val="008B7788"/>
    <w:rsid w:val="008C0990"/>
    <w:rsid w:val="008C6376"/>
    <w:rsid w:val="008D0A73"/>
    <w:rsid w:val="008D117D"/>
    <w:rsid w:val="008D22E5"/>
    <w:rsid w:val="008E0250"/>
    <w:rsid w:val="008E1BB0"/>
    <w:rsid w:val="008E1CE1"/>
    <w:rsid w:val="008E1DC4"/>
    <w:rsid w:val="008E39CF"/>
    <w:rsid w:val="008E4122"/>
    <w:rsid w:val="008E4172"/>
    <w:rsid w:val="008E4180"/>
    <w:rsid w:val="008E7F7A"/>
    <w:rsid w:val="008F0502"/>
    <w:rsid w:val="008F5832"/>
    <w:rsid w:val="00900AD6"/>
    <w:rsid w:val="00901B0A"/>
    <w:rsid w:val="00902642"/>
    <w:rsid w:val="00903662"/>
    <w:rsid w:val="009038C1"/>
    <w:rsid w:val="00903988"/>
    <w:rsid w:val="00906AC9"/>
    <w:rsid w:val="009104E6"/>
    <w:rsid w:val="00910A9F"/>
    <w:rsid w:val="009154B8"/>
    <w:rsid w:val="00915FFC"/>
    <w:rsid w:val="00916EB2"/>
    <w:rsid w:val="0091784F"/>
    <w:rsid w:val="00917F07"/>
    <w:rsid w:val="00920489"/>
    <w:rsid w:val="009215F5"/>
    <w:rsid w:val="00923514"/>
    <w:rsid w:val="009235A6"/>
    <w:rsid w:val="0092503B"/>
    <w:rsid w:val="0092640E"/>
    <w:rsid w:val="00926583"/>
    <w:rsid w:val="00926BFD"/>
    <w:rsid w:val="0093063D"/>
    <w:rsid w:val="00932050"/>
    <w:rsid w:val="009325A3"/>
    <w:rsid w:val="009334E3"/>
    <w:rsid w:val="0093424D"/>
    <w:rsid w:val="00937E5F"/>
    <w:rsid w:val="00941D25"/>
    <w:rsid w:val="009447B8"/>
    <w:rsid w:val="009453E2"/>
    <w:rsid w:val="00953150"/>
    <w:rsid w:val="00953C91"/>
    <w:rsid w:val="00957642"/>
    <w:rsid w:val="009614A2"/>
    <w:rsid w:val="00963737"/>
    <w:rsid w:val="0096649B"/>
    <w:rsid w:val="00966BC2"/>
    <w:rsid w:val="00966C83"/>
    <w:rsid w:val="009670A3"/>
    <w:rsid w:val="00970066"/>
    <w:rsid w:val="0097242C"/>
    <w:rsid w:val="009726C3"/>
    <w:rsid w:val="00981781"/>
    <w:rsid w:val="00986F93"/>
    <w:rsid w:val="0098717C"/>
    <w:rsid w:val="00987F07"/>
    <w:rsid w:val="009926D3"/>
    <w:rsid w:val="00994E70"/>
    <w:rsid w:val="009955B3"/>
    <w:rsid w:val="009960A3"/>
    <w:rsid w:val="00996C41"/>
    <w:rsid w:val="00997412"/>
    <w:rsid w:val="009A4F3B"/>
    <w:rsid w:val="009A6958"/>
    <w:rsid w:val="009B1165"/>
    <w:rsid w:val="009B16F6"/>
    <w:rsid w:val="009B4CF0"/>
    <w:rsid w:val="009B67B7"/>
    <w:rsid w:val="009C4138"/>
    <w:rsid w:val="009C43E8"/>
    <w:rsid w:val="009C4424"/>
    <w:rsid w:val="009C4B80"/>
    <w:rsid w:val="009C4CEF"/>
    <w:rsid w:val="009D515F"/>
    <w:rsid w:val="009D5C0B"/>
    <w:rsid w:val="009D5C3A"/>
    <w:rsid w:val="009D6364"/>
    <w:rsid w:val="009E0C0F"/>
    <w:rsid w:val="009E2E5D"/>
    <w:rsid w:val="009E5751"/>
    <w:rsid w:val="009E6774"/>
    <w:rsid w:val="009E7FEE"/>
    <w:rsid w:val="009F2C67"/>
    <w:rsid w:val="009F367D"/>
    <w:rsid w:val="009F3FFD"/>
    <w:rsid w:val="00A00CE8"/>
    <w:rsid w:val="00A017C2"/>
    <w:rsid w:val="00A02466"/>
    <w:rsid w:val="00A02846"/>
    <w:rsid w:val="00A048CE"/>
    <w:rsid w:val="00A11A7D"/>
    <w:rsid w:val="00A13A79"/>
    <w:rsid w:val="00A21870"/>
    <w:rsid w:val="00A21D32"/>
    <w:rsid w:val="00A22C48"/>
    <w:rsid w:val="00A230A0"/>
    <w:rsid w:val="00A25775"/>
    <w:rsid w:val="00A26478"/>
    <w:rsid w:val="00A27758"/>
    <w:rsid w:val="00A32FB8"/>
    <w:rsid w:val="00A33693"/>
    <w:rsid w:val="00A339A1"/>
    <w:rsid w:val="00A33F07"/>
    <w:rsid w:val="00A34A08"/>
    <w:rsid w:val="00A35A66"/>
    <w:rsid w:val="00A3659D"/>
    <w:rsid w:val="00A36ACF"/>
    <w:rsid w:val="00A42CE3"/>
    <w:rsid w:val="00A44A1E"/>
    <w:rsid w:val="00A458E2"/>
    <w:rsid w:val="00A45BEC"/>
    <w:rsid w:val="00A45CF9"/>
    <w:rsid w:val="00A503C4"/>
    <w:rsid w:val="00A50BA1"/>
    <w:rsid w:val="00A51234"/>
    <w:rsid w:val="00A52ECA"/>
    <w:rsid w:val="00A54AFF"/>
    <w:rsid w:val="00A56915"/>
    <w:rsid w:val="00A62352"/>
    <w:rsid w:val="00A62F48"/>
    <w:rsid w:val="00A63956"/>
    <w:rsid w:val="00A704CC"/>
    <w:rsid w:val="00A7111E"/>
    <w:rsid w:val="00A743F2"/>
    <w:rsid w:val="00A75737"/>
    <w:rsid w:val="00A77011"/>
    <w:rsid w:val="00A81B2A"/>
    <w:rsid w:val="00A826A2"/>
    <w:rsid w:val="00A82837"/>
    <w:rsid w:val="00A8386A"/>
    <w:rsid w:val="00A84226"/>
    <w:rsid w:val="00A84723"/>
    <w:rsid w:val="00A847E3"/>
    <w:rsid w:val="00A85C70"/>
    <w:rsid w:val="00A85F71"/>
    <w:rsid w:val="00A86B29"/>
    <w:rsid w:val="00A90800"/>
    <w:rsid w:val="00A90A09"/>
    <w:rsid w:val="00A9173C"/>
    <w:rsid w:val="00A921F9"/>
    <w:rsid w:val="00A95307"/>
    <w:rsid w:val="00A96555"/>
    <w:rsid w:val="00AA35B2"/>
    <w:rsid w:val="00AA687A"/>
    <w:rsid w:val="00AB25C5"/>
    <w:rsid w:val="00AB3BC9"/>
    <w:rsid w:val="00AB7EFF"/>
    <w:rsid w:val="00AC06D9"/>
    <w:rsid w:val="00AC40C5"/>
    <w:rsid w:val="00AD0CFB"/>
    <w:rsid w:val="00AE155F"/>
    <w:rsid w:val="00AE17FE"/>
    <w:rsid w:val="00AE5C17"/>
    <w:rsid w:val="00AF0A66"/>
    <w:rsid w:val="00AF6D41"/>
    <w:rsid w:val="00B055C2"/>
    <w:rsid w:val="00B05919"/>
    <w:rsid w:val="00B05E50"/>
    <w:rsid w:val="00B06765"/>
    <w:rsid w:val="00B07424"/>
    <w:rsid w:val="00B07681"/>
    <w:rsid w:val="00B1101F"/>
    <w:rsid w:val="00B11F29"/>
    <w:rsid w:val="00B1386F"/>
    <w:rsid w:val="00B144C2"/>
    <w:rsid w:val="00B16DD1"/>
    <w:rsid w:val="00B17409"/>
    <w:rsid w:val="00B2013C"/>
    <w:rsid w:val="00B2167F"/>
    <w:rsid w:val="00B22BD3"/>
    <w:rsid w:val="00B23096"/>
    <w:rsid w:val="00B23509"/>
    <w:rsid w:val="00B235BE"/>
    <w:rsid w:val="00B25F2B"/>
    <w:rsid w:val="00B3084C"/>
    <w:rsid w:val="00B314D3"/>
    <w:rsid w:val="00B31A94"/>
    <w:rsid w:val="00B332B6"/>
    <w:rsid w:val="00B350D9"/>
    <w:rsid w:val="00B35559"/>
    <w:rsid w:val="00B36E07"/>
    <w:rsid w:val="00B40085"/>
    <w:rsid w:val="00B4200D"/>
    <w:rsid w:val="00B42F13"/>
    <w:rsid w:val="00B44CC6"/>
    <w:rsid w:val="00B46F22"/>
    <w:rsid w:val="00B47B99"/>
    <w:rsid w:val="00B52692"/>
    <w:rsid w:val="00B529C9"/>
    <w:rsid w:val="00B52D73"/>
    <w:rsid w:val="00B5489C"/>
    <w:rsid w:val="00B56959"/>
    <w:rsid w:val="00B57F88"/>
    <w:rsid w:val="00B60381"/>
    <w:rsid w:val="00B62443"/>
    <w:rsid w:val="00B6495F"/>
    <w:rsid w:val="00B6582A"/>
    <w:rsid w:val="00B71173"/>
    <w:rsid w:val="00B71559"/>
    <w:rsid w:val="00B71953"/>
    <w:rsid w:val="00B7266A"/>
    <w:rsid w:val="00B75570"/>
    <w:rsid w:val="00B76931"/>
    <w:rsid w:val="00B777DE"/>
    <w:rsid w:val="00B77D3F"/>
    <w:rsid w:val="00B8166D"/>
    <w:rsid w:val="00B82165"/>
    <w:rsid w:val="00B84232"/>
    <w:rsid w:val="00B87AF6"/>
    <w:rsid w:val="00B92250"/>
    <w:rsid w:val="00B92B60"/>
    <w:rsid w:val="00B936C5"/>
    <w:rsid w:val="00B94058"/>
    <w:rsid w:val="00B96429"/>
    <w:rsid w:val="00B976A8"/>
    <w:rsid w:val="00BA02E3"/>
    <w:rsid w:val="00BA10F6"/>
    <w:rsid w:val="00BA28BA"/>
    <w:rsid w:val="00BA3EAC"/>
    <w:rsid w:val="00BA47E8"/>
    <w:rsid w:val="00BA7EB1"/>
    <w:rsid w:val="00BB316A"/>
    <w:rsid w:val="00BB787D"/>
    <w:rsid w:val="00BC11D7"/>
    <w:rsid w:val="00BC559F"/>
    <w:rsid w:val="00BC6731"/>
    <w:rsid w:val="00BD03C5"/>
    <w:rsid w:val="00BD0543"/>
    <w:rsid w:val="00BD16B2"/>
    <w:rsid w:val="00BD29CE"/>
    <w:rsid w:val="00BD3046"/>
    <w:rsid w:val="00BD55EE"/>
    <w:rsid w:val="00BD6607"/>
    <w:rsid w:val="00BE12CF"/>
    <w:rsid w:val="00BE15AF"/>
    <w:rsid w:val="00BE1FAF"/>
    <w:rsid w:val="00BE33E5"/>
    <w:rsid w:val="00BE3743"/>
    <w:rsid w:val="00BE4220"/>
    <w:rsid w:val="00BE65AE"/>
    <w:rsid w:val="00BF0444"/>
    <w:rsid w:val="00BF255B"/>
    <w:rsid w:val="00BF38CA"/>
    <w:rsid w:val="00BF4C89"/>
    <w:rsid w:val="00BF56A0"/>
    <w:rsid w:val="00BF5A40"/>
    <w:rsid w:val="00BF7275"/>
    <w:rsid w:val="00C0086A"/>
    <w:rsid w:val="00C02477"/>
    <w:rsid w:val="00C03143"/>
    <w:rsid w:val="00C038C0"/>
    <w:rsid w:val="00C04058"/>
    <w:rsid w:val="00C04D13"/>
    <w:rsid w:val="00C068BE"/>
    <w:rsid w:val="00C10AAD"/>
    <w:rsid w:val="00C11F15"/>
    <w:rsid w:val="00C125EA"/>
    <w:rsid w:val="00C12EC7"/>
    <w:rsid w:val="00C1327D"/>
    <w:rsid w:val="00C13A1E"/>
    <w:rsid w:val="00C14043"/>
    <w:rsid w:val="00C1784C"/>
    <w:rsid w:val="00C17E8F"/>
    <w:rsid w:val="00C20A17"/>
    <w:rsid w:val="00C20DF0"/>
    <w:rsid w:val="00C2166A"/>
    <w:rsid w:val="00C21E40"/>
    <w:rsid w:val="00C24EE7"/>
    <w:rsid w:val="00C274FA"/>
    <w:rsid w:val="00C27671"/>
    <w:rsid w:val="00C31315"/>
    <w:rsid w:val="00C317CD"/>
    <w:rsid w:val="00C31B37"/>
    <w:rsid w:val="00C342FA"/>
    <w:rsid w:val="00C35AA9"/>
    <w:rsid w:val="00C35C80"/>
    <w:rsid w:val="00C421F2"/>
    <w:rsid w:val="00C42CCA"/>
    <w:rsid w:val="00C435C5"/>
    <w:rsid w:val="00C4764F"/>
    <w:rsid w:val="00C507C7"/>
    <w:rsid w:val="00C555FA"/>
    <w:rsid w:val="00C56CE4"/>
    <w:rsid w:val="00C60A16"/>
    <w:rsid w:val="00C612D1"/>
    <w:rsid w:val="00C61F1E"/>
    <w:rsid w:val="00C63283"/>
    <w:rsid w:val="00C641C0"/>
    <w:rsid w:val="00C64FF7"/>
    <w:rsid w:val="00C66C0E"/>
    <w:rsid w:val="00C70534"/>
    <w:rsid w:val="00C70742"/>
    <w:rsid w:val="00C70932"/>
    <w:rsid w:val="00C709F7"/>
    <w:rsid w:val="00C71B31"/>
    <w:rsid w:val="00C72BD9"/>
    <w:rsid w:val="00C77C58"/>
    <w:rsid w:val="00C80F5E"/>
    <w:rsid w:val="00C81E86"/>
    <w:rsid w:val="00C82075"/>
    <w:rsid w:val="00C82277"/>
    <w:rsid w:val="00C84655"/>
    <w:rsid w:val="00C8576C"/>
    <w:rsid w:val="00C87BE0"/>
    <w:rsid w:val="00C933FA"/>
    <w:rsid w:val="00CA082A"/>
    <w:rsid w:val="00CA0ABC"/>
    <w:rsid w:val="00CA12FB"/>
    <w:rsid w:val="00CA2752"/>
    <w:rsid w:val="00CA2EC9"/>
    <w:rsid w:val="00CA5563"/>
    <w:rsid w:val="00CA6385"/>
    <w:rsid w:val="00CB453B"/>
    <w:rsid w:val="00CB4E15"/>
    <w:rsid w:val="00CB540F"/>
    <w:rsid w:val="00CB5B4C"/>
    <w:rsid w:val="00CC3B31"/>
    <w:rsid w:val="00CC3F9B"/>
    <w:rsid w:val="00CC7C11"/>
    <w:rsid w:val="00CD0D41"/>
    <w:rsid w:val="00CD6796"/>
    <w:rsid w:val="00CD6D5C"/>
    <w:rsid w:val="00CD744E"/>
    <w:rsid w:val="00CE07F3"/>
    <w:rsid w:val="00CE1AA6"/>
    <w:rsid w:val="00CE511E"/>
    <w:rsid w:val="00CE5243"/>
    <w:rsid w:val="00CE6300"/>
    <w:rsid w:val="00CE69CF"/>
    <w:rsid w:val="00CF0E73"/>
    <w:rsid w:val="00CF3BB3"/>
    <w:rsid w:val="00CF41E6"/>
    <w:rsid w:val="00CF5FFC"/>
    <w:rsid w:val="00CF6D46"/>
    <w:rsid w:val="00CF6DF1"/>
    <w:rsid w:val="00D018D3"/>
    <w:rsid w:val="00D02DB1"/>
    <w:rsid w:val="00D02F55"/>
    <w:rsid w:val="00D038AA"/>
    <w:rsid w:val="00D04941"/>
    <w:rsid w:val="00D049C4"/>
    <w:rsid w:val="00D04E92"/>
    <w:rsid w:val="00D07CCC"/>
    <w:rsid w:val="00D1079D"/>
    <w:rsid w:val="00D10D09"/>
    <w:rsid w:val="00D123EB"/>
    <w:rsid w:val="00D12F8A"/>
    <w:rsid w:val="00D1478D"/>
    <w:rsid w:val="00D14A98"/>
    <w:rsid w:val="00D14DDD"/>
    <w:rsid w:val="00D17A38"/>
    <w:rsid w:val="00D17AFA"/>
    <w:rsid w:val="00D17D80"/>
    <w:rsid w:val="00D22770"/>
    <w:rsid w:val="00D23964"/>
    <w:rsid w:val="00D2478E"/>
    <w:rsid w:val="00D24EE9"/>
    <w:rsid w:val="00D25470"/>
    <w:rsid w:val="00D255F4"/>
    <w:rsid w:val="00D26457"/>
    <w:rsid w:val="00D26CFE"/>
    <w:rsid w:val="00D27075"/>
    <w:rsid w:val="00D32D6D"/>
    <w:rsid w:val="00D3468D"/>
    <w:rsid w:val="00D36605"/>
    <w:rsid w:val="00D37702"/>
    <w:rsid w:val="00D40CED"/>
    <w:rsid w:val="00D419A7"/>
    <w:rsid w:val="00D50088"/>
    <w:rsid w:val="00D52506"/>
    <w:rsid w:val="00D52DB8"/>
    <w:rsid w:val="00D53F9A"/>
    <w:rsid w:val="00D54478"/>
    <w:rsid w:val="00D56A6B"/>
    <w:rsid w:val="00D5735B"/>
    <w:rsid w:val="00D57476"/>
    <w:rsid w:val="00D57B4C"/>
    <w:rsid w:val="00D62DCD"/>
    <w:rsid w:val="00D63161"/>
    <w:rsid w:val="00D63851"/>
    <w:rsid w:val="00D641A7"/>
    <w:rsid w:val="00D650B2"/>
    <w:rsid w:val="00D66DC1"/>
    <w:rsid w:val="00D66F15"/>
    <w:rsid w:val="00D67741"/>
    <w:rsid w:val="00D73958"/>
    <w:rsid w:val="00D74157"/>
    <w:rsid w:val="00D74774"/>
    <w:rsid w:val="00D75954"/>
    <w:rsid w:val="00D7787D"/>
    <w:rsid w:val="00D85205"/>
    <w:rsid w:val="00D85ABC"/>
    <w:rsid w:val="00D87AD7"/>
    <w:rsid w:val="00D916FF"/>
    <w:rsid w:val="00D97270"/>
    <w:rsid w:val="00D97946"/>
    <w:rsid w:val="00DA01EB"/>
    <w:rsid w:val="00DA3F17"/>
    <w:rsid w:val="00DA49F2"/>
    <w:rsid w:val="00DA5647"/>
    <w:rsid w:val="00DA5CEF"/>
    <w:rsid w:val="00DA6188"/>
    <w:rsid w:val="00DA6B09"/>
    <w:rsid w:val="00DA7751"/>
    <w:rsid w:val="00DB1CC8"/>
    <w:rsid w:val="00DB2297"/>
    <w:rsid w:val="00DB248F"/>
    <w:rsid w:val="00DB6D6C"/>
    <w:rsid w:val="00DC2DE8"/>
    <w:rsid w:val="00DC460D"/>
    <w:rsid w:val="00DC4622"/>
    <w:rsid w:val="00DC4B2E"/>
    <w:rsid w:val="00DC5054"/>
    <w:rsid w:val="00DC5297"/>
    <w:rsid w:val="00DC55C7"/>
    <w:rsid w:val="00DD189C"/>
    <w:rsid w:val="00DD1DC8"/>
    <w:rsid w:val="00DD60C8"/>
    <w:rsid w:val="00DE4E69"/>
    <w:rsid w:val="00DE6BFA"/>
    <w:rsid w:val="00DF224A"/>
    <w:rsid w:val="00DF3A08"/>
    <w:rsid w:val="00DF54BF"/>
    <w:rsid w:val="00E025A6"/>
    <w:rsid w:val="00E02A7A"/>
    <w:rsid w:val="00E11BE7"/>
    <w:rsid w:val="00E133DB"/>
    <w:rsid w:val="00E157A5"/>
    <w:rsid w:val="00E1595E"/>
    <w:rsid w:val="00E22255"/>
    <w:rsid w:val="00E24C5F"/>
    <w:rsid w:val="00E24C8A"/>
    <w:rsid w:val="00E2518D"/>
    <w:rsid w:val="00E26E57"/>
    <w:rsid w:val="00E27FE7"/>
    <w:rsid w:val="00E3155C"/>
    <w:rsid w:val="00E31C58"/>
    <w:rsid w:val="00E3330A"/>
    <w:rsid w:val="00E34674"/>
    <w:rsid w:val="00E36903"/>
    <w:rsid w:val="00E37F20"/>
    <w:rsid w:val="00E4177C"/>
    <w:rsid w:val="00E4300F"/>
    <w:rsid w:val="00E43475"/>
    <w:rsid w:val="00E444D2"/>
    <w:rsid w:val="00E45F5C"/>
    <w:rsid w:val="00E4738E"/>
    <w:rsid w:val="00E52E41"/>
    <w:rsid w:val="00E554E0"/>
    <w:rsid w:val="00E555C3"/>
    <w:rsid w:val="00E55783"/>
    <w:rsid w:val="00E56F20"/>
    <w:rsid w:val="00E600BE"/>
    <w:rsid w:val="00E61DAB"/>
    <w:rsid w:val="00E62254"/>
    <w:rsid w:val="00E66637"/>
    <w:rsid w:val="00E6762F"/>
    <w:rsid w:val="00E700E1"/>
    <w:rsid w:val="00E712C7"/>
    <w:rsid w:val="00E72E8F"/>
    <w:rsid w:val="00E7343C"/>
    <w:rsid w:val="00E837D2"/>
    <w:rsid w:val="00E837EC"/>
    <w:rsid w:val="00E84755"/>
    <w:rsid w:val="00E85D03"/>
    <w:rsid w:val="00E85FEC"/>
    <w:rsid w:val="00E8762E"/>
    <w:rsid w:val="00E90A0F"/>
    <w:rsid w:val="00E92674"/>
    <w:rsid w:val="00E94405"/>
    <w:rsid w:val="00E95569"/>
    <w:rsid w:val="00EA381A"/>
    <w:rsid w:val="00EA4C06"/>
    <w:rsid w:val="00EB2915"/>
    <w:rsid w:val="00EB30ED"/>
    <w:rsid w:val="00EB36C5"/>
    <w:rsid w:val="00EB3958"/>
    <w:rsid w:val="00EB3A1A"/>
    <w:rsid w:val="00EB4953"/>
    <w:rsid w:val="00EB7739"/>
    <w:rsid w:val="00EC1FEF"/>
    <w:rsid w:val="00EC200C"/>
    <w:rsid w:val="00EC32BB"/>
    <w:rsid w:val="00EC35FA"/>
    <w:rsid w:val="00EC36A5"/>
    <w:rsid w:val="00EC4D9C"/>
    <w:rsid w:val="00EC647A"/>
    <w:rsid w:val="00EC6586"/>
    <w:rsid w:val="00EC6A23"/>
    <w:rsid w:val="00ED1702"/>
    <w:rsid w:val="00ED6727"/>
    <w:rsid w:val="00ED6815"/>
    <w:rsid w:val="00ED7897"/>
    <w:rsid w:val="00EE05F9"/>
    <w:rsid w:val="00EE08FE"/>
    <w:rsid w:val="00EE4D95"/>
    <w:rsid w:val="00EF2C24"/>
    <w:rsid w:val="00EF3663"/>
    <w:rsid w:val="00EF4E03"/>
    <w:rsid w:val="00F0251F"/>
    <w:rsid w:val="00F02E07"/>
    <w:rsid w:val="00F0587E"/>
    <w:rsid w:val="00F05C1F"/>
    <w:rsid w:val="00F11D11"/>
    <w:rsid w:val="00F14BB0"/>
    <w:rsid w:val="00F202B4"/>
    <w:rsid w:val="00F20490"/>
    <w:rsid w:val="00F261FC"/>
    <w:rsid w:val="00F3134B"/>
    <w:rsid w:val="00F3202E"/>
    <w:rsid w:val="00F35C53"/>
    <w:rsid w:val="00F40A2A"/>
    <w:rsid w:val="00F454FD"/>
    <w:rsid w:val="00F464E5"/>
    <w:rsid w:val="00F47BC4"/>
    <w:rsid w:val="00F516FB"/>
    <w:rsid w:val="00F618C8"/>
    <w:rsid w:val="00F66AD1"/>
    <w:rsid w:val="00F67A68"/>
    <w:rsid w:val="00F71611"/>
    <w:rsid w:val="00F72351"/>
    <w:rsid w:val="00F74D4F"/>
    <w:rsid w:val="00F752CB"/>
    <w:rsid w:val="00F76935"/>
    <w:rsid w:val="00F76D07"/>
    <w:rsid w:val="00F77E00"/>
    <w:rsid w:val="00F81CD6"/>
    <w:rsid w:val="00F84196"/>
    <w:rsid w:val="00F8420F"/>
    <w:rsid w:val="00F8448C"/>
    <w:rsid w:val="00F86843"/>
    <w:rsid w:val="00F903B9"/>
    <w:rsid w:val="00F91070"/>
    <w:rsid w:val="00F9186D"/>
    <w:rsid w:val="00F94BE7"/>
    <w:rsid w:val="00F967EE"/>
    <w:rsid w:val="00F96AD1"/>
    <w:rsid w:val="00F96D62"/>
    <w:rsid w:val="00F96F3B"/>
    <w:rsid w:val="00F978BE"/>
    <w:rsid w:val="00FA28F6"/>
    <w:rsid w:val="00FA363C"/>
    <w:rsid w:val="00FA3A56"/>
    <w:rsid w:val="00FA4C1D"/>
    <w:rsid w:val="00FB178B"/>
    <w:rsid w:val="00FB396B"/>
    <w:rsid w:val="00FB52A5"/>
    <w:rsid w:val="00FB6465"/>
    <w:rsid w:val="00FC1121"/>
    <w:rsid w:val="00FC4716"/>
    <w:rsid w:val="00FC4A7C"/>
    <w:rsid w:val="00FC7924"/>
    <w:rsid w:val="00FD05FC"/>
    <w:rsid w:val="00FD38DF"/>
    <w:rsid w:val="00FD4E13"/>
    <w:rsid w:val="00FD5791"/>
    <w:rsid w:val="00FE07A1"/>
    <w:rsid w:val="00FE123D"/>
    <w:rsid w:val="00FE5583"/>
    <w:rsid w:val="00FF0E84"/>
    <w:rsid w:val="00FF153F"/>
    <w:rsid w:val="00FF3D8C"/>
    <w:rsid w:val="00FF63F4"/>
    <w:rsid w:val="00FF6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lock Text"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93"/>
    <w:pPr>
      <w:spacing w:after="200" w:line="276" w:lineRule="auto"/>
    </w:pPr>
  </w:style>
  <w:style w:type="paragraph" w:styleId="3">
    <w:name w:val="heading 3"/>
    <w:basedOn w:val="a"/>
    <w:link w:val="30"/>
    <w:uiPriority w:val="9"/>
    <w:qFormat/>
    <w:locked/>
    <w:rsid w:val="00377B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07CCC"/>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locked/>
    <w:rsid w:val="00D07CCC"/>
    <w:rPr>
      <w:rFonts w:ascii="Times New Roman" w:hAnsi="Times New Roman" w:cs="Times New Roman"/>
      <w:sz w:val="20"/>
      <w:szCs w:val="20"/>
    </w:rPr>
  </w:style>
  <w:style w:type="character" w:styleId="a5">
    <w:name w:val="Strong"/>
    <w:basedOn w:val="a0"/>
    <w:uiPriority w:val="22"/>
    <w:qFormat/>
    <w:rsid w:val="00A52ECA"/>
    <w:rPr>
      <w:rFonts w:cs="Times New Roman"/>
      <w:b/>
      <w:bCs/>
    </w:rPr>
  </w:style>
  <w:style w:type="paragraph" w:styleId="a6">
    <w:name w:val="Body Text"/>
    <w:basedOn w:val="a"/>
    <w:link w:val="a7"/>
    <w:uiPriority w:val="99"/>
    <w:rsid w:val="00A52ECA"/>
    <w:pPr>
      <w:suppressAutoHyphens/>
      <w:spacing w:after="120"/>
    </w:pPr>
    <w:rPr>
      <w:rFonts w:cs="Calibri"/>
      <w:lang w:eastAsia="ar-SA"/>
    </w:rPr>
  </w:style>
  <w:style w:type="character" w:customStyle="1" w:styleId="a7">
    <w:name w:val="Основной текст Знак"/>
    <w:basedOn w:val="a0"/>
    <w:link w:val="a6"/>
    <w:uiPriority w:val="99"/>
    <w:locked/>
    <w:rsid w:val="00A52ECA"/>
    <w:rPr>
      <w:rFonts w:ascii="Calibri" w:hAnsi="Calibri" w:cs="Calibri"/>
      <w:lang w:eastAsia="ar-SA" w:bidi="ar-SA"/>
    </w:rPr>
  </w:style>
  <w:style w:type="paragraph" w:styleId="a8">
    <w:name w:val="No Spacing"/>
    <w:link w:val="a9"/>
    <w:qFormat/>
    <w:rsid w:val="00A52ECA"/>
    <w:pPr>
      <w:suppressAutoHyphens/>
    </w:pPr>
    <w:rPr>
      <w:rFonts w:cs="Calibri"/>
      <w:lang w:eastAsia="ar-SA"/>
    </w:rPr>
  </w:style>
  <w:style w:type="paragraph" w:styleId="aa">
    <w:name w:val="Normal (Web)"/>
    <w:aliases w:val="Обычный (веб)1,Обычный (веб) Знак,Обычный (веб) Знак1,Обычный (веб) Знак Знак"/>
    <w:basedOn w:val="a"/>
    <w:uiPriority w:val="99"/>
    <w:rsid w:val="00A52ECA"/>
    <w:pPr>
      <w:suppressAutoHyphens/>
      <w:spacing w:before="280" w:after="280" w:line="240" w:lineRule="auto"/>
    </w:pPr>
    <w:rPr>
      <w:rFonts w:ascii="Times New Roman" w:hAnsi="Times New Roman"/>
      <w:sz w:val="24"/>
      <w:szCs w:val="24"/>
      <w:lang w:eastAsia="ar-SA"/>
    </w:rPr>
  </w:style>
  <w:style w:type="paragraph" w:customStyle="1" w:styleId="31">
    <w:name w:val="Основной текст с отступом 31"/>
    <w:basedOn w:val="a"/>
    <w:uiPriority w:val="99"/>
    <w:rsid w:val="00A52ECA"/>
    <w:pPr>
      <w:spacing w:after="120" w:line="240" w:lineRule="auto"/>
      <w:ind w:left="283"/>
    </w:pPr>
    <w:rPr>
      <w:rFonts w:ascii="Times New Roman" w:hAnsi="Times New Roman"/>
      <w:sz w:val="16"/>
      <w:szCs w:val="16"/>
      <w:lang w:eastAsia="ar-SA"/>
    </w:rPr>
  </w:style>
  <w:style w:type="paragraph" w:customStyle="1" w:styleId="21">
    <w:name w:val="Основной текст с отступом 21"/>
    <w:basedOn w:val="a"/>
    <w:uiPriority w:val="99"/>
    <w:rsid w:val="00A52ECA"/>
    <w:pPr>
      <w:suppressAutoHyphens/>
      <w:spacing w:after="120" w:line="480" w:lineRule="auto"/>
      <w:ind w:left="283"/>
    </w:pPr>
    <w:rPr>
      <w:rFonts w:ascii="Times New Roman" w:hAnsi="Times New Roman"/>
      <w:sz w:val="24"/>
      <w:szCs w:val="24"/>
      <w:lang w:eastAsia="ar-SA"/>
    </w:rPr>
  </w:style>
  <w:style w:type="paragraph" w:customStyle="1" w:styleId="note">
    <w:name w:val="note"/>
    <w:basedOn w:val="a"/>
    <w:uiPriority w:val="99"/>
    <w:rsid w:val="00A52ECA"/>
    <w:pPr>
      <w:suppressAutoHyphens/>
      <w:spacing w:before="280" w:after="280" w:line="240" w:lineRule="auto"/>
    </w:pPr>
    <w:rPr>
      <w:rFonts w:ascii="Times New Roman" w:hAnsi="Times New Roman"/>
      <w:sz w:val="24"/>
      <w:szCs w:val="24"/>
      <w:lang w:eastAsia="ar-SA"/>
    </w:rPr>
  </w:style>
  <w:style w:type="paragraph" w:styleId="ab">
    <w:name w:val="header"/>
    <w:basedOn w:val="a"/>
    <w:link w:val="ac"/>
    <w:uiPriority w:val="99"/>
    <w:rsid w:val="006A2B6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A2B6C"/>
    <w:rPr>
      <w:rFonts w:cs="Times New Roman"/>
    </w:rPr>
  </w:style>
  <w:style w:type="paragraph" w:styleId="ad">
    <w:name w:val="footer"/>
    <w:basedOn w:val="a"/>
    <w:link w:val="ae"/>
    <w:uiPriority w:val="99"/>
    <w:semiHidden/>
    <w:rsid w:val="006A2B6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6A2B6C"/>
    <w:rPr>
      <w:rFonts w:cs="Times New Roman"/>
    </w:rPr>
  </w:style>
  <w:style w:type="paragraph" w:customStyle="1" w:styleId="1">
    <w:name w:val="Текст1"/>
    <w:basedOn w:val="a"/>
    <w:uiPriority w:val="99"/>
    <w:rsid w:val="00D66F15"/>
    <w:pPr>
      <w:suppressAutoHyphens/>
      <w:spacing w:after="0" w:line="240" w:lineRule="auto"/>
    </w:pPr>
    <w:rPr>
      <w:rFonts w:ascii="Courier New" w:hAnsi="Courier New"/>
      <w:sz w:val="20"/>
      <w:szCs w:val="20"/>
      <w:lang w:eastAsia="ar-SA"/>
    </w:rPr>
  </w:style>
  <w:style w:type="paragraph" w:customStyle="1" w:styleId="Default">
    <w:name w:val="Default"/>
    <w:rsid w:val="00801AC5"/>
    <w:pPr>
      <w:autoSpaceDE w:val="0"/>
      <w:autoSpaceDN w:val="0"/>
      <w:adjustRightInd w:val="0"/>
    </w:pPr>
    <w:rPr>
      <w:rFonts w:ascii="Times New Roman" w:hAnsi="Times New Roman"/>
      <w:color w:val="000000"/>
      <w:sz w:val="24"/>
      <w:szCs w:val="24"/>
    </w:rPr>
  </w:style>
  <w:style w:type="paragraph" w:styleId="af">
    <w:name w:val="List Paragraph"/>
    <w:basedOn w:val="a"/>
    <w:link w:val="af0"/>
    <w:qFormat/>
    <w:rsid w:val="00801AC5"/>
    <w:pPr>
      <w:spacing w:after="0" w:line="240" w:lineRule="auto"/>
      <w:ind w:left="720"/>
      <w:contextualSpacing/>
    </w:pPr>
    <w:rPr>
      <w:rFonts w:ascii="Times New Roman" w:hAnsi="Times New Roman"/>
      <w:sz w:val="28"/>
      <w:szCs w:val="28"/>
    </w:rPr>
  </w:style>
  <w:style w:type="paragraph" w:customStyle="1" w:styleId="22">
    <w:name w:val="Основной текст 22"/>
    <w:basedOn w:val="a"/>
    <w:uiPriority w:val="99"/>
    <w:rsid w:val="005C574C"/>
    <w:pPr>
      <w:suppressAutoHyphens/>
      <w:autoSpaceDE w:val="0"/>
      <w:spacing w:after="120" w:line="480" w:lineRule="auto"/>
    </w:pPr>
    <w:rPr>
      <w:rFonts w:ascii="Times New Roman" w:hAnsi="Times New Roman"/>
      <w:sz w:val="20"/>
      <w:szCs w:val="20"/>
      <w:lang w:eastAsia="ar-SA"/>
    </w:rPr>
  </w:style>
  <w:style w:type="paragraph" w:customStyle="1" w:styleId="af1">
    <w:name w:val="Последний абзац"/>
    <w:basedOn w:val="22"/>
    <w:link w:val="af2"/>
    <w:uiPriority w:val="99"/>
    <w:qFormat/>
    <w:rsid w:val="005C574C"/>
    <w:pPr>
      <w:widowControl w:val="0"/>
      <w:spacing w:after="0" w:line="360" w:lineRule="auto"/>
      <w:ind w:firstLine="709"/>
      <w:jc w:val="both"/>
    </w:pPr>
  </w:style>
  <w:style w:type="paragraph" w:styleId="32">
    <w:name w:val="Body Text Indent 3"/>
    <w:basedOn w:val="a"/>
    <w:link w:val="33"/>
    <w:uiPriority w:val="99"/>
    <w:semiHidden/>
    <w:rsid w:val="005C574C"/>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C574C"/>
    <w:rPr>
      <w:rFonts w:cs="Times New Roman"/>
      <w:sz w:val="16"/>
      <w:szCs w:val="16"/>
    </w:rPr>
  </w:style>
  <w:style w:type="paragraph" w:styleId="2">
    <w:name w:val="Body Text 2"/>
    <w:basedOn w:val="a"/>
    <w:link w:val="20"/>
    <w:uiPriority w:val="99"/>
    <w:semiHidden/>
    <w:rsid w:val="005C574C"/>
    <w:pPr>
      <w:spacing w:after="120" w:line="480" w:lineRule="auto"/>
    </w:pPr>
  </w:style>
  <w:style w:type="character" w:customStyle="1" w:styleId="20">
    <w:name w:val="Основной текст 2 Знак"/>
    <w:basedOn w:val="a0"/>
    <w:link w:val="2"/>
    <w:uiPriority w:val="99"/>
    <w:semiHidden/>
    <w:locked/>
    <w:rsid w:val="005C574C"/>
    <w:rPr>
      <w:rFonts w:cs="Times New Roman"/>
    </w:rPr>
  </w:style>
  <w:style w:type="character" w:customStyle="1" w:styleId="a9">
    <w:name w:val="Без интервала Знак"/>
    <w:basedOn w:val="a0"/>
    <w:link w:val="a8"/>
    <w:locked/>
    <w:rsid w:val="00B23509"/>
    <w:rPr>
      <w:rFonts w:cs="Calibri"/>
      <w:sz w:val="22"/>
      <w:szCs w:val="22"/>
      <w:lang w:val="ru-RU" w:eastAsia="ar-SA" w:bidi="ar-SA"/>
    </w:rPr>
  </w:style>
  <w:style w:type="paragraph" w:styleId="23">
    <w:name w:val="Body Text Indent 2"/>
    <w:basedOn w:val="a"/>
    <w:link w:val="24"/>
    <w:rsid w:val="00B2350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locked/>
    <w:rsid w:val="00B23509"/>
    <w:rPr>
      <w:rFonts w:ascii="Times New Roman" w:hAnsi="Times New Roman" w:cs="Times New Roman"/>
      <w:sz w:val="24"/>
      <w:szCs w:val="24"/>
    </w:rPr>
  </w:style>
  <w:style w:type="character" w:customStyle="1" w:styleId="apple-converted-space">
    <w:name w:val="apple-converted-space"/>
    <w:basedOn w:val="a0"/>
    <w:rsid w:val="00315A34"/>
    <w:rPr>
      <w:rFonts w:cs="Times New Roman"/>
    </w:rPr>
  </w:style>
  <w:style w:type="character" w:styleId="af3">
    <w:name w:val="Hyperlink"/>
    <w:basedOn w:val="a0"/>
    <w:uiPriority w:val="99"/>
    <w:semiHidden/>
    <w:rsid w:val="00315A34"/>
    <w:rPr>
      <w:rFonts w:cs="Times New Roman"/>
      <w:color w:val="0000FF"/>
      <w:u w:val="single"/>
    </w:rPr>
  </w:style>
  <w:style w:type="character" w:styleId="af4">
    <w:name w:val="Emphasis"/>
    <w:basedOn w:val="a0"/>
    <w:uiPriority w:val="99"/>
    <w:qFormat/>
    <w:rsid w:val="000B6A0B"/>
    <w:rPr>
      <w:rFonts w:cs="Times New Roman"/>
      <w:i/>
      <w:iCs/>
    </w:rPr>
  </w:style>
  <w:style w:type="table" w:styleId="af5">
    <w:name w:val="Table Grid"/>
    <w:basedOn w:val="a1"/>
    <w:uiPriority w:val="99"/>
    <w:rsid w:val="00C7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C555FA"/>
    <w:pPr>
      <w:spacing w:before="100" w:beforeAutospacing="1" w:after="100" w:afterAutospacing="1" w:line="240" w:lineRule="auto"/>
    </w:pPr>
    <w:rPr>
      <w:rFonts w:ascii="Times New Roman" w:hAnsi="Times New Roman"/>
      <w:sz w:val="24"/>
      <w:szCs w:val="24"/>
    </w:rPr>
  </w:style>
  <w:style w:type="character" w:customStyle="1" w:styleId="af2">
    <w:name w:val="Последний абзац Знак"/>
    <w:link w:val="af1"/>
    <w:uiPriority w:val="99"/>
    <w:locked/>
    <w:rsid w:val="00F14BB0"/>
    <w:rPr>
      <w:rFonts w:ascii="Times New Roman" w:hAnsi="Times New Roman"/>
      <w:sz w:val="20"/>
      <w:lang w:eastAsia="ar-SA" w:bidi="ar-SA"/>
    </w:rPr>
  </w:style>
  <w:style w:type="paragraph" w:customStyle="1" w:styleId="10">
    <w:name w:val="Без интервала1"/>
    <w:link w:val="NoSpacingChar"/>
    <w:uiPriority w:val="99"/>
    <w:rsid w:val="003016D7"/>
    <w:pPr>
      <w:suppressAutoHyphens/>
    </w:pPr>
    <w:rPr>
      <w:rFonts w:cs="Calibri"/>
      <w:lang w:eastAsia="ar-SA"/>
    </w:rPr>
  </w:style>
  <w:style w:type="character" w:customStyle="1" w:styleId="NoSpacingChar">
    <w:name w:val="No Spacing Char"/>
    <w:basedOn w:val="a0"/>
    <w:link w:val="10"/>
    <w:locked/>
    <w:rsid w:val="003016D7"/>
    <w:rPr>
      <w:rFonts w:cs="Calibri"/>
      <w:sz w:val="22"/>
      <w:szCs w:val="22"/>
      <w:lang w:val="ru-RU" w:eastAsia="ar-SA" w:bidi="ar-SA"/>
    </w:rPr>
  </w:style>
  <w:style w:type="paragraph" w:customStyle="1" w:styleId="ConsPlusNonformat">
    <w:name w:val="ConsPlusNonformat"/>
    <w:uiPriority w:val="99"/>
    <w:rsid w:val="003269B2"/>
    <w:pPr>
      <w:autoSpaceDE w:val="0"/>
      <w:autoSpaceDN w:val="0"/>
      <w:adjustRightInd w:val="0"/>
    </w:pPr>
    <w:rPr>
      <w:rFonts w:ascii="Courier New" w:hAnsi="Courier New" w:cs="Courier New"/>
      <w:sz w:val="20"/>
      <w:szCs w:val="20"/>
      <w:lang w:eastAsia="en-US"/>
    </w:rPr>
  </w:style>
  <w:style w:type="paragraph" w:customStyle="1" w:styleId="default0">
    <w:name w:val="default"/>
    <w:basedOn w:val="a"/>
    <w:rsid w:val="0012611C"/>
    <w:pPr>
      <w:autoSpaceDE w:val="0"/>
      <w:autoSpaceDN w:val="0"/>
      <w:spacing w:after="0" w:line="240" w:lineRule="auto"/>
    </w:pPr>
    <w:rPr>
      <w:rFonts w:ascii="Times New Roman" w:eastAsiaTheme="minorHAnsi" w:hAnsi="Times New Roman"/>
      <w:color w:val="000000"/>
      <w:sz w:val="24"/>
      <w:szCs w:val="24"/>
    </w:rPr>
  </w:style>
  <w:style w:type="paragraph" w:customStyle="1" w:styleId="11">
    <w:name w:val="1"/>
    <w:basedOn w:val="a"/>
    <w:rsid w:val="0012611C"/>
    <w:pPr>
      <w:spacing w:after="0" w:line="240" w:lineRule="auto"/>
    </w:pPr>
    <w:rPr>
      <w:rFonts w:eastAsiaTheme="minorHAnsi"/>
    </w:rPr>
  </w:style>
  <w:style w:type="character" w:customStyle="1" w:styleId="af0">
    <w:name w:val="Абзац списка Знак"/>
    <w:link w:val="af"/>
    <w:locked/>
    <w:rsid w:val="0053388C"/>
    <w:rPr>
      <w:rFonts w:ascii="Times New Roman" w:hAnsi="Times New Roman"/>
      <w:sz w:val="28"/>
      <w:szCs w:val="28"/>
    </w:rPr>
  </w:style>
  <w:style w:type="paragraph" w:customStyle="1" w:styleId="headertext">
    <w:name w:val="headertext"/>
    <w:basedOn w:val="a"/>
    <w:rsid w:val="00DD189C"/>
    <w:pPr>
      <w:spacing w:before="100" w:beforeAutospacing="1" w:after="100" w:afterAutospacing="1" w:line="240" w:lineRule="auto"/>
    </w:pPr>
    <w:rPr>
      <w:rFonts w:ascii="Times New Roman" w:hAnsi="Times New Roman"/>
      <w:sz w:val="24"/>
      <w:szCs w:val="24"/>
    </w:rPr>
  </w:style>
  <w:style w:type="paragraph" w:styleId="af6">
    <w:name w:val="Block Text"/>
    <w:basedOn w:val="a"/>
    <w:rsid w:val="00C66C0E"/>
    <w:pPr>
      <w:widowControl w:val="0"/>
      <w:spacing w:before="120" w:after="0" w:line="320" w:lineRule="exact"/>
      <w:ind w:left="1540" w:right="1500"/>
      <w:jc w:val="center"/>
    </w:pPr>
    <w:rPr>
      <w:rFonts w:ascii="Times New Roman" w:hAnsi="Times New Roman"/>
      <w:sz w:val="28"/>
      <w:szCs w:val="20"/>
    </w:rPr>
  </w:style>
  <w:style w:type="paragraph" w:styleId="af7">
    <w:name w:val="Plain Text"/>
    <w:basedOn w:val="a"/>
    <w:link w:val="af8"/>
    <w:uiPriority w:val="99"/>
    <w:unhideWhenUsed/>
    <w:rsid w:val="002C6321"/>
    <w:pPr>
      <w:spacing w:after="0" w:line="240" w:lineRule="auto"/>
    </w:pPr>
    <w:rPr>
      <w:rFonts w:eastAsia="Calibri"/>
      <w:szCs w:val="21"/>
      <w:lang w:eastAsia="en-US"/>
    </w:rPr>
  </w:style>
  <w:style w:type="character" w:customStyle="1" w:styleId="af8">
    <w:name w:val="Текст Знак"/>
    <w:basedOn w:val="a0"/>
    <w:link w:val="af7"/>
    <w:uiPriority w:val="99"/>
    <w:rsid w:val="002C6321"/>
    <w:rPr>
      <w:rFonts w:eastAsia="Calibri"/>
      <w:szCs w:val="21"/>
      <w:lang w:eastAsia="en-US"/>
    </w:rPr>
  </w:style>
  <w:style w:type="paragraph" w:customStyle="1" w:styleId="25">
    <w:name w:val="Без интервала2"/>
    <w:rsid w:val="0024199E"/>
  </w:style>
  <w:style w:type="paragraph" w:styleId="af9">
    <w:name w:val="footnote text"/>
    <w:basedOn w:val="a"/>
    <w:link w:val="afa"/>
    <w:uiPriority w:val="99"/>
    <w:semiHidden/>
    <w:unhideWhenUsed/>
    <w:rsid w:val="004837CC"/>
    <w:pPr>
      <w:spacing w:after="0" w:line="240" w:lineRule="auto"/>
    </w:pPr>
    <w:rPr>
      <w:sz w:val="20"/>
      <w:szCs w:val="20"/>
    </w:rPr>
  </w:style>
  <w:style w:type="character" w:customStyle="1" w:styleId="afa">
    <w:name w:val="Текст сноски Знак"/>
    <w:basedOn w:val="a0"/>
    <w:link w:val="af9"/>
    <w:uiPriority w:val="99"/>
    <w:semiHidden/>
    <w:rsid w:val="004837CC"/>
    <w:rPr>
      <w:sz w:val="20"/>
      <w:szCs w:val="20"/>
    </w:rPr>
  </w:style>
  <w:style w:type="character" w:styleId="afb">
    <w:name w:val="footnote reference"/>
    <w:basedOn w:val="a0"/>
    <w:uiPriority w:val="99"/>
    <w:semiHidden/>
    <w:unhideWhenUsed/>
    <w:rsid w:val="004837CC"/>
    <w:rPr>
      <w:vertAlign w:val="superscript"/>
    </w:rPr>
  </w:style>
  <w:style w:type="character" w:customStyle="1" w:styleId="30">
    <w:name w:val="Заголовок 3 Знак"/>
    <w:basedOn w:val="a0"/>
    <w:link w:val="3"/>
    <w:uiPriority w:val="9"/>
    <w:rsid w:val="00377BFC"/>
    <w:rPr>
      <w:rFonts w:ascii="Times New Roman" w:hAnsi="Times New Roman"/>
      <w:b/>
      <w:bCs/>
      <w:sz w:val="27"/>
      <w:szCs w:val="27"/>
    </w:rPr>
  </w:style>
  <w:style w:type="paragraph" w:styleId="afc">
    <w:name w:val="Balloon Text"/>
    <w:basedOn w:val="a"/>
    <w:link w:val="afd"/>
    <w:uiPriority w:val="99"/>
    <w:semiHidden/>
    <w:unhideWhenUsed/>
    <w:rsid w:val="009453E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9453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630449">
      <w:bodyDiv w:val="1"/>
      <w:marLeft w:val="0"/>
      <w:marRight w:val="0"/>
      <w:marTop w:val="0"/>
      <w:marBottom w:val="0"/>
      <w:divBdr>
        <w:top w:val="none" w:sz="0" w:space="0" w:color="auto"/>
        <w:left w:val="none" w:sz="0" w:space="0" w:color="auto"/>
        <w:bottom w:val="none" w:sz="0" w:space="0" w:color="auto"/>
        <w:right w:val="none" w:sz="0" w:space="0" w:color="auto"/>
      </w:divBdr>
    </w:div>
    <w:div w:id="181745849">
      <w:bodyDiv w:val="1"/>
      <w:marLeft w:val="0"/>
      <w:marRight w:val="0"/>
      <w:marTop w:val="0"/>
      <w:marBottom w:val="0"/>
      <w:divBdr>
        <w:top w:val="none" w:sz="0" w:space="0" w:color="auto"/>
        <w:left w:val="none" w:sz="0" w:space="0" w:color="auto"/>
        <w:bottom w:val="none" w:sz="0" w:space="0" w:color="auto"/>
        <w:right w:val="none" w:sz="0" w:space="0" w:color="auto"/>
      </w:divBdr>
    </w:div>
    <w:div w:id="241258268">
      <w:bodyDiv w:val="1"/>
      <w:marLeft w:val="0"/>
      <w:marRight w:val="0"/>
      <w:marTop w:val="0"/>
      <w:marBottom w:val="0"/>
      <w:divBdr>
        <w:top w:val="none" w:sz="0" w:space="0" w:color="auto"/>
        <w:left w:val="none" w:sz="0" w:space="0" w:color="auto"/>
        <w:bottom w:val="none" w:sz="0" w:space="0" w:color="auto"/>
        <w:right w:val="none" w:sz="0" w:space="0" w:color="auto"/>
      </w:divBdr>
    </w:div>
    <w:div w:id="638268404">
      <w:bodyDiv w:val="1"/>
      <w:marLeft w:val="0"/>
      <w:marRight w:val="0"/>
      <w:marTop w:val="0"/>
      <w:marBottom w:val="0"/>
      <w:divBdr>
        <w:top w:val="none" w:sz="0" w:space="0" w:color="auto"/>
        <w:left w:val="none" w:sz="0" w:space="0" w:color="auto"/>
        <w:bottom w:val="none" w:sz="0" w:space="0" w:color="auto"/>
        <w:right w:val="none" w:sz="0" w:space="0" w:color="auto"/>
      </w:divBdr>
    </w:div>
    <w:div w:id="926884988">
      <w:bodyDiv w:val="1"/>
      <w:marLeft w:val="0"/>
      <w:marRight w:val="0"/>
      <w:marTop w:val="0"/>
      <w:marBottom w:val="0"/>
      <w:divBdr>
        <w:top w:val="none" w:sz="0" w:space="0" w:color="auto"/>
        <w:left w:val="none" w:sz="0" w:space="0" w:color="auto"/>
        <w:bottom w:val="none" w:sz="0" w:space="0" w:color="auto"/>
        <w:right w:val="none" w:sz="0" w:space="0" w:color="auto"/>
      </w:divBdr>
    </w:div>
    <w:div w:id="938490447">
      <w:bodyDiv w:val="1"/>
      <w:marLeft w:val="0"/>
      <w:marRight w:val="0"/>
      <w:marTop w:val="0"/>
      <w:marBottom w:val="0"/>
      <w:divBdr>
        <w:top w:val="none" w:sz="0" w:space="0" w:color="auto"/>
        <w:left w:val="none" w:sz="0" w:space="0" w:color="auto"/>
        <w:bottom w:val="none" w:sz="0" w:space="0" w:color="auto"/>
        <w:right w:val="none" w:sz="0" w:space="0" w:color="auto"/>
      </w:divBdr>
    </w:div>
    <w:div w:id="982539620">
      <w:bodyDiv w:val="1"/>
      <w:marLeft w:val="0"/>
      <w:marRight w:val="0"/>
      <w:marTop w:val="0"/>
      <w:marBottom w:val="0"/>
      <w:divBdr>
        <w:top w:val="none" w:sz="0" w:space="0" w:color="auto"/>
        <w:left w:val="none" w:sz="0" w:space="0" w:color="auto"/>
        <w:bottom w:val="none" w:sz="0" w:space="0" w:color="auto"/>
        <w:right w:val="none" w:sz="0" w:space="0" w:color="auto"/>
      </w:divBdr>
    </w:div>
    <w:div w:id="1318730446">
      <w:bodyDiv w:val="1"/>
      <w:marLeft w:val="0"/>
      <w:marRight w:val="0"/>
      <w:marTop w:val="0"/>
      <w:marBottom w:val="0"/>
      <w:divBdr>
        <w:top w:val="none" w:sz="0" w:space="0" w:color="auto"/>
        <w:left w:val="none" w:sz="0" w:space="0" w:color="auto"/>
        <w:bottom w:val="none" w:sz="0" w:space="0" w:color="auto"/>
        <w:right w:val="none" w:sz="0" w:space="0" w:color="auto"/>
      </w:divBdr>
    </w:div>
    <w:div w:id="1361319955">
      <w:bodyDiv w:val="1"/>
      <w:marLeft w:val="0"/>
      <w:marRight w:val="0"/>
      <w:marTop w:val="0"/>
      <w:marBottom w:val="0"/>
      <w:divBdr>
        <w:top w:val="none" w:sz="0" w:space="0" w:color="auto"/>
        <w:left w:val="none" w:sz="0" w:space="0" w:color="auto"/>
        <w:bottom w:val="none" w:sz="0" w:space="0" w:color="auto"/>
        <w:right w:val="none" w:sz="0" w:space="0" w:color="auto"/>
      </w:divBdr>
    </w:div>
    <w:div w:id="1898737832">
      <w:bodyDiv w:val="1"/>
      <w:marLeft w:val="0"/>
      <w:marRight w:val="0"/>
      <w:marTop w:val="0"/>
      <w:marBottom w:val="0"/>
      <w:divBdr>
        <w:top w:val="none" w:sz="0" w:space="0" w:color="auto"/>
        <w:left w:val="none" w:sz="0" w:space="0" w:color="auto"/>
        <w:bottom w:val="none" w:sz="0" w:space="0" w:color="auto"/>
        <w:right w:val="none" w:sz="0" w:space="0" w:color="auto"/>
      </w:divBdr>
    </w:div>
    <w:div w:id="2062051847">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1">
      <w:marLeft w:val="0"/>
      <w:marRight w:val="0"/>
      <w:marTop w:val="0"/>
      <w:marBottom w:val="0"/>
      <w:divBdr>
        <w:top w:val="none" w:sz="0" w:space="0" w:color="auto"/>
        <w:left w:val="none" w:sz="0" w:space="0" w:color="auto"/>
        <w:bottom w:val="none" w:sz="0" w:space="0" w:color="auto"/>
        <w:right w:val="none" w:sz="0" w:space="0" w:color="auto"/>
      </w:divBdr>
    </w:div>
    <w:div w:id="206205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172A-4595-447D-BD92-75DC81B4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10428</Words>
  <Characters>72579</Characters>
  <Application>Microsoft Office Word</Application>
  <DocSecurity>0</DocSecurity>
  <Lines>604</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82842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пользователь</cp:lastModifiedBy>
  <cp:revision>9</cp:revision>
  <cp:lastPrinted>2018-10-26T11:41:00Z</cp:lastPrinted>
  <dcterms:created xsi:type="dcterms:W3CDTF">2018-10-26T07:36:00Z</dcterms:created>
  <dcterms:modified xsi:type="dcterms:W3CDTF">2018-10-29T06:29:00Z</dcterms:modified>
</cp:coreProperties>
</file>