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D8EAC6" w14:textId="098CD2DC" w:rsidR="00A50BA4" w:rsidRPr="008253D3" w:rsidRDefault="00A50BA4" w:rsidP="002C47EC">
      <w:pPr>
        <w:tabs>
          <w:tab w:val="left" w:pos="1560"/>
        </w:tabs>
        <w:spacing w:line="276" w:lineRule="auto"/>
        <w:ind w:firstLine="0"/>
        <w:jc w:val="center"/>
        <w:rPr>
          <w:b/>
          <w:sz w:val="28"/>
          <w:szCs w:val="28"/>
          <w:shd w:val="clear" w:color="auto" w:fill="FFFF00"/>
        </w:rPr>
      </w:pPr>
      <w:r w:rsidRPr="008253D3">
        <w:rPr>
          <w:b/>
          <w:sz w:val="28"/>
          <w:szCs w:val="28"/>
        </w:rPr>
        <w:t>Предварительные итоги</w:t>
      </w:r>
      <w:r w:rsidR="0090607E" w:rsidRPr="008253D3">
        <w:rPr>
          <w:b/>
          <w:sz w:val="28"/>
          <w:szCs w:val="28"/>
        </w:rPr>
        <w:t xml:space="preserve"> </w:t>
      </w:r>
      <w:r w:rsidRPr="008253D3">
        <w:rPr>
          <w:b/>
          <w:sz w:val="28"/>
          <w:szCs w:val="28"/>
        </w:rPr>
        <w:t>социально–экономического развития</w:t>
      </w:r>
      <w:r w:rsidR="001F6122" w:rsidRPr="008253D3">
        <w:rPr>
          <w:b/>
          <w:sz w:val="28"/>
          <w:szCs w:val="28"/>
        </w:rPr>
        <w:t xml:space="preserve"> городского округа Тольятти за </w:t>
      </w:r>
      <w:r w:rsidR="0046250A">
        <w:rPr>
          <w:b/>
          <w:sz w:val="28"/>
          <w:szCs w:val="28"/>
          <w:lang w:val="en-US"/>
        </w:rPr>
        <w:t>I</w:t>
      </w:r>
      <w:r w:rsidR="00A55BAC" w:rsidRPr="008253D3">
        <w:rPr>
          <w:b/>
          <w:sz w:val="28"/>
          <w:szCs w:val="28"/>
        </w:rPr>
        <w:t xml:space="preserve"> полугодие</w:t>
      </w:r>
      <w:r w:rsidRPr="008253D3">
        <w:rPr>
          <w:b/>
          <w:sz w:val="28"/>
          <w:szCs w:val="28"/>
        </w:rPr>
        <w:t xml:space="preserve"> 20</w:t>
      </w:r>
      <w:r w:rsidR="000C5517" w:rsidRPr="008253D3">
        <w:rPr>
          <w:b/>
          <w:sz w:val="28"/>
          <w:szCs w:val="28"/>
        </w:rPr>
        <w:t>2</w:t>
      </w:r>
      <w:r w:rsidR="002C0CE6" w:rsidRPr="008253D3">
        <w:rPr>
          <w:b/>
          <w:sz w:val="28"/>
          <w:szCs w:val="28"/>
        </w:rPr>
        <w:t>1</w:t>
      </w:r>
      <w:r w:rsidRPr="008253D3">
        <w:rPr>
          <w:b/>
          <w:sz w:val="28"/>
          <w:szCs w:val="28"/>
        </w:rPr>
        <w:t xml:space="preserve"> года и ожидаемые итоги социально–экономического развития городского округа Тольятти за 20</w:t>
      </w:r>
      <w:r w:rsidR="000C5517" w:rsidRPr="008253D3">
        <w:rPr>
          <w:b/>
          <w:sz w:val="28"/>
          <w:szCs w:val="28"/>
        </w:rPr>
        <w:t>2</w:t>
      </w:r>
      <w:r w:rsidR="002C0CE6" w:rsidRPr="008253D3">
        <w:rPr>
          <w:b/>
          <w:sz w:val="28"/>
          <w:szCs w:val="28"/>
        </w:rPr>
        <w:t>1</w:t>
      </w:r>
      <w:r w:rsidRPr="008253D3">
        <w:rPr>
          <w:b/>
          <w:sz w:val="28"/>
          <w:szCs w:val="28"/>
        </w:rPr>
        <w:t xml:space="preserve"> год</w:t>
      </w:r>
    </w:p>
    <w:p w14:paraId="4BB39F85" w14:textId="77777777" w:rsidR="00A50BA4" w:rsidRPr="008253D3" w:rsidRDefault="00A50BA4" w:rsidP="00443EE9">
      <w:pPr>
        <w:spacing w:line="276" w:lineRule="auto"/>
        <w:jc w:val="center"/>
        <w:rPr>
          <w:b/>
          <w:sz w:val="28"/>
          <w:szCs w:val="28"/>
          <w:shd w:val="clear" w:color="auto" w:fill="FFFF00"/>
        </w:rPr>
      </w:pPr>
    </w:p>
    <w:p w14:paraId="56992971" w14:textId="1434856F" w:rsidR="00E55D49" w:rsidRPr="00C25CD4" w:rsidRDefault="00607F00" w:rsidP="00E55D49">
      <w:pPr>
        <w:widowControl w:val="0"/>
        <w:suppressAutoHyphens w:val="0"/>
        <w:autoSpaceDE w:val="0"/>
        <w:autoSpaceDN w:val="0"/>
        <w:adjustRightInd w:val="0"/>
        <w:spacing w:line="276" w:lineRule="auto"/>
        <w:rPr>
          <w:sz w:val="28"/>
          <w:szCs w:val="28"/>
        </w:rPr>
      </w:pPr>
      <w:r w:rsidRPr="00C25CD4">
        <w:rPr>
          <w:sz w:val="28"/>
          <w:szCs w:val="28"/>
        </w:rPr>
        <w:t xml:space="preserve">В </w:t>
      </w:r>
      <w:r w:rsidR="00E55D49" w:rsidRPr="00C25CD4">
        <w:rPr>
          <w:sz w:val="28"/>
          <w:szCs w:val="28"/>
        </w:rPr>
        <w:t xml:space="preserve">1 полугодии </w:t>
      </w:r>
      <w:r w:rsidRPr="00C25CD4">
        <w:rPr>
          <w:sz w:val="28"/>
          <w:szCs w:val="28"/>
        </w:rPr>
        <w:t>2021 год</w:t>
      </w:r>
      <w:r w:rsidR="00E55D49" w:rsidRPr="00C25CD4">
        <w:rPr>
          <w:sz w:val="28"/>
          <w:szCs w:val="28"/>
        </w:rPr>
        <w:t>а</w:t>
      </w:r>
      <w:r w:rsidRPr="00C25CD4">
        <w:rPr>
          <w:sz w:val="28"/>
          <w:szCs w:val="28"/>
        </w:rPr>
        <w:t xml:space="preserve"> экономика </w:t>
      </w:r>
      <w:r w:rsidR="00E55D49" w:rsidRPr="00C25CD4">
        <w:rPr>
          <w:sz w:val="28"/>
          <w:szCs w:val="28"/>
        </w:rPr>
        <w:t xml:space="preserve">городского округа Тольятти </w:t>
      </w:r>
      <w:r w:rsidRPr="00C25CD4">
        <w:rPr>
          <w:sz w:val="28"/>
          <w:szCs w:val="28"/>
        </w:rPr>
        <w:t>развива</w:t>
      </w:r>
      <w:r w:rsidR="002A2DBE" w:rsidRPr="00C25CD4">
        <w:rPr>
          <w:sz w:val="28"/>
          <w:szCs w:val="28"/>
        </w:rPr>
        <w:t>лась</w:t>
      </w:r>
      <w:r w:rsidRPr="00C25CD4">
        <w:rPr>
          <w:sz w:val="28"/>
          <w:szCs w:val="28"/>
        </w:rPr>
        <w:t xml:space="preserve"> в условиях улучшения социальн</w:t>
      </w:r>
      <w:r w:rsidR="002A2DBE" w:rsidRPr="00C25CD4">
        <w:rPr>
          <w:sz w:val="28"/>
          <w:szCs w:val="28"/>
        </w:rPr>
        <w:t>о-экономической ситуации в российской</w:t>
      </w:r>
      <w:r w:rsidRPr="00C25CD4">
        <w:rPr>
          <w:sz w:val="28"/>
          <w:szCs w:val="28"/>
        </w:rPr>
        <w:t xml:space="preserve"> и мировой экономике. </w:t>
      </w:r>
    </w:p>
    <w:p w14:paraId="2BAD23DC" w14:textId="1ED1DE22" w:rsidR="00961AC6" w:rsidRPr="00DC3BCF" w:rsidRDefault="00961AC6" w:rsidP="00961AC6">
      <w:pPr>
        <w:pStyle w:val="ConsPlusNonformat"/>
        <w:spacing w:line="276" w:lineRule="auto"/>
        <w:ind w:firstLine="709"/>
        <w:jc w:val="both"/>
        <w:rPr>
          <w:rFonts w:ascii="Times New Roman" w:hAnsi="Times New Roman" w:cs="Times New Roman"/>
          <w:sz w:val="28"/>
          <w:szCs w:val="28"/>
        </w:rPr>
      </w:pPr>
      <w:r w:rsidRPr="00DC3BCF">
        <w:rPr>
          <w:rFonts w:ascii="Times New Roman" w:hAnsi="Times New Roman" w:cs="Times New Roman"/>
          <w:sz w:val="28"/>
          <w:szCs w:val="28"/>
        </w:rPr>
        <w:t xml:space="preserve">В городском округе Тольятти наблюдается восстановление экономической активности: возобновилась позитивная динамика в промышленности, финансовой сфере, жилищно-строительном секторе, стабилизирована ситуация на рынке труда города, продолжен рост инвестиционной активности. </w:t>
      </w:r>
    </w:p>
    <w:p w14:paraId="2DCC01F2" w14:textId="27655FF4" w:rsidR="00607F00" w:rsidRPr="006959BC" w:rsidRDefault="00961AC6" w:rsidP="00607F00">
      <w:pPr>
        <w:spacing w:line="276" w:lineRule="auto"/>
        <w:rPr>
          <w:sz w:val="28"/>
          <w:szCs w:val="28"/>
        </w:rPr>
      </w:pPr>
      <w:r w:rsidRPr="00671970">
        <w:rPr>
          <w:sz w:val="28"/>
          <w:szCs w:val="28"/>
        </w:rPr>
        <w:t xml:space="preserve">В рейтинге городских округов Самарской области, опубликованном </w:t>
      </w:r>
      <w:r w:rsidR="003F4B7B">
        <w:rPr>
          <w:sz w:val="28"/>
          <w:szCs w:val="28"/>
        </w:rPr>
        <w:t>м</w:t>
      </w:r>
      <w:r w:rsidRPr="00671970">
        <w:rPr>
          <w:sz w:val="28"/>
          <w:szCs w:val="28"/>
        </w:rPr>
        <w:t>инистерством экономического развития и инвестиций Самарской области</w:t>
      </w:r>
      <w:r w:rsidRPr="001A5D06">
        <w:rPr>
          <w:sz w:val="28"/>
          <w:szCs w:val="28"/>
          <w:vertAlign w:val="superscript"/>
        </w:rPr>
        <w:footnoteReference w:id="1"/>
      </w:r>
      <w:r w:rsidRPr="00671970">
        <w:rPr>
          <w:sz w:val="28"/>
          <w:szCs w:val="28"/>
        </w:rPr>
        <w:t xml:space="preserve">, по основным социально-экономическим показателям по итогам </w:t>
      </w:r>
      <w:r w:rsidR="0046250A" w:rsidRPr="00C25CD4">
        <w:rPr>
          <w:sz w:val="28"/>
          <w:szCs w:val="28"/>
        </w:rPr>
        <w:t>I</w:t>
      </w:r>
      <w:r w:rsidRPr="00671970">
        <w:rPr>
          <w:sz w:val="28"/>
          <w:szCs w:val="28"/>
        </w:rPr>
        <w:t xml:space="preserve"> полугодия 2021 года городской округ Тольятти увеличил свою позицию и занял третье место из десяти (в </w:t>
      </w:r>
      <w:r w:rsidR="0046250A" w:rsidRPr="00C25CD4">
        <w:rPr>
          <w:sz w:val="28"/>
          <w:szCs w:val="28"/>
        </w:rPr>
        <w:t>I</w:t>
      </w:r>
      <w:r w:rsidRPr="00671970">
        <w:rPr>
          <w:sz w:val="28"/>
          <w:szCs w:val="28"/>
        </w:rPr>
        <w:t xml:space="preserve"> полугодии 2020 года занимал 4 место, подробная информация по каждому из показателей рейтинга содержится в соответствующих разделах).</w:t>
      </w:r>
      <w:r w:rsidR="00607F00" w:rsidRPr="00C25CD4">
        <w:rPr>
          <w:sz w:val="28"/>
          <w:szCs w:val="28"/>
        </w:rPr>
        <w:t xml:space="preserve"> </w:t>
      </w:r>
      <w:r w:rsidR="006959BC" w:rsidRPr="006959BC">
        <w:rPr>
          <w:sz w:val="28"/>
          <w:szCs w:val="28"/>
        </w:rPr>
        <w:t>Кроме этого</w:t>
      </w:r>
      <w:r w:rsidR="00607F00" w:rsidRPr="006959BC">
        <w:rPr>
          <w:sz w:val="28"/>
          <w:szCs w:val="28"/>
        </w:rPr>
        <w:t xml:space="preserve">, темпы роста большинства статистических показателей по городскому округу Тольятти </w:t>
      </w:r>
      <w:r w:rsidR="006959BC">
        <w:rPr>
          <w:sz w:val="28"/>
          <w:szCs w:val="28"/>
        </w:rPr>
        <w:t xml:space="preserve">за </w:t>
      </w:r>
      <w:r w:rsidR="0046250A" w:rsidRPr="00C25CD4">
        <w:rPr>
          <w:sz w:val="28"/>
          <w:szCs w:val="28"/>
        </w:rPr>
        <w:t>I</w:t>
      </w:r>
      <w:r w:rsidR="006959BC">
        <w:rPr>
          <w:sz w:val="28"/>
          <w:szCs w:val="28"/>
        </w:rPr>
        <w:t xml:space="preserve"> полугодие 2021 года </w:t>
      </w:r>
      <w:r w:rsidR="00607F00" w:rsidRPr="006959BC">
        <w:rPr>
          <w:sz w:val="28"/>
          <w:szCs w:val="28"/>
        </w:rPr>
        <w:t xml:space="preserve">превысили средние значения по Самарской области. </w:t>
      </w:r>
    </w:p>
    <w:p w14:paraId="3842768C" w14:textId="7128B515" w:rsidR="002A2DBE" w:rsidRPr="00385123" w:rsidRDefault="00385123" w:rsidP="00385123">
      <w:pPr>
        <w:widowControl w:val="0"/>
        <w:numPr>
          <w:ilvl w:val="0"/>
          <w:numId w:val="5"/>
        </w:numPr>
        <w:tabs>
          <w:tab w:val="clear" w:pos="0"/>
          <w:tab w:val="num" w:pos="432"/>
        </w:tabs>
        <w:suppressAutoHyphens w:val="0"/>
        <w:autoSpaceDE w:val="0"/>
        <w:autoSpaceDN w:val="0"/>
        <w:adjustRightInd w:val="0"/>
        <w:snapToGrid w:val="0"/>
        <w:spacing w:after="160" w:line="276" w:lineRule="auto"/>
        <w:ind w:left="0" w:firstLine="709"/>
        <w:contextualSpacing/>
        <w:textAlignment w:val="top"/>
        <w:rPr>
          <w:sz w:val="28"/>
          <w:szCs w:val="28"/>
        </w:rPr>
      </w:pPr>
      <w:r w:rsidRPr="00385123">
        <w:rPr>
          <w:sz w:val="28"/>
          <w:szCs w:val="28"/>
          <w:lang w:eastAsia="ru-RU"/>
        </w:rPr>
        <w:t xml:space="preserve">Ожидается, что до конца текущего года положительная </w:t>
      </w:r>
      <w:proofErr w:type="gramStart"/>
      <w:r w:rsidRPr="00385123">
        <w:rPr>
          <w:sz w:val="28"/>
          <w:szCs w:val="28"/>
          <w:lang w:eastAsia="ru-RU"/>
        </w:rPr>
        <w:t>динамика  социально</w:t>
      </w:r>
      <w:proofErr w:type="gramEnd"/>
      <w:r w:rsidRPr="00385123">
        <w:rPr>
          <w:sz w:val="28"/>
          <w:szCs w:val="28"/>
          <w:lang w:eastAsia="ru-RU"/>
        </w:rPr>
        <w:t xml:space="preserve">-экономического  развития сохранится, при этом, темпы роста большинства макроэкономических показателей замедлятся </w:t>
      </w:r>
      <w:r w:rsidR="002A2DBE" w:rsidRPr="00385123">
        <w:rPr>
          <w:sz w:val="28"/>
          <w:szCs w:val="28"/>
        </w:rPr>
        <w:t>ввиду возможного ухудшения ситуации в экономике на фоне неблагоприятн</w:t>
      </w:r>
      <w:r w:rsidR="00C25CD4" w:rsidRPr="00385123">
        <w:rPr>
          <w:sz w:val="28"/>
          <w:szCs w:val="28"/>
        </w:rPr>
        <w:t>ой</w:t>
      </w:r>
      <w:r w:rsidR="002A2DBE" w:rsidRPr="00385123">
        <w:rPr>
          <w:sz w:val="28"/>
          <w:szCs w:val="28"/>
        </w:rPr>
        <w:t xml:space="preserve"> санитарно-эпидемиологической обстановк</w:t>
      </w:r>
      <w:r w:rsidR="00C25CD4" w:rsidRPr="00385123">
        <w:rPr>
          <w:sz w:val="28"/>
          <w:szCs w:val="28"/>
        </w:rPr>
        <w:t>и</w:t>
      </w:r>
      <w:r w:rsidR="002A2DBE" w:rsidRPr="00385123">
        <w:rPr>
          <w:sz w:val="28"/>
          <w:szCs w:val="28"/>
        </w:rPr>
        <w:t>, связанн</w:t>
      </w:r>
      <w:r w:rsidR="00C25CD4" w:rsidRPr="00385123">
        <w:rPr>
          <w:sz w:val="28"/>
          <w:szCs w:val="28"/>
        </w:rPr>
        <w:t>ой</w:t>
      </w:r>
      <w:r w:rsidR="002A2DBE" w:rsidRPr="00385123">
        <w:rPr>
          <w:sz w:val="28"/>
          <w:szCs w:val="28"/>
        </w:rPr>
        <w:t xml:space="preserve"> с распространением новой коронавирусной инфекции. </w:t>
      </w:r>
    </w:p>
    <w:p w14:paraId="083E22D2" w14:textId="61AE605E" w:rsidR="0004675F" w:rsidRDefault="00A50BA4" w:rsidP="00E304B0">
      <w:pPr>
        <w:spacing w:line="276" w:lineRule="auto"/>
        <w:rPr>
          <w:sz w:val="28"/>
          <w:szCs w:val="28"/>
        </w:rPr>
      </w:pPr>
      <w:r w:rsidRPr="00BE4400">
        <w:rPr>
          <w:sz w:val="28"/>
          <w:szCs w:val="28"/>
        </w:rPr>
        <w:t>Основные показатели социально-экономического развития экономики городского округа Тольятти представлены в следующей таблице:</w:t>
      </w:r>
    </w:p>
    <w:tbl>
      <w:tblPr>
        <w:tblW w:w="9498" w:type="dxa"/>
        <w:tblInd w:w="108" w:type="dxa"/>
        <w:tblLayout w:type="fixed"/>
        <w:tblLook w:val="0000" w:firstRow="0" w:lastRow="0" w:firstColumn="0" w:lastColumn="0" w:noHBand="0" w:noVBand="0"/>
      </w:tblPr>
      <w:tblGrid>
        <w:gridCol w:w="3261"/>
        <w:gridCol w:w="1417"/>
        <w:gridCol w:w="1276"/>
        <w:gridCol w:w="992"/>
        <w:gridCol w:w="1134"/>
        <w:gridCol w:w="1418"/>
      </w:tblGrid>
      <w:tr w:rsidR="00961AC6" w:rsidRPr="008253D3" w14:paraId="3C4FF3AF" w14:textId="77777777" w:rsidTr="008A3DB8">
        <w:trPr>
          <w:tblHeader/>
        </w:trPr>
        <w:tc>
          <w:tcPr>
            <w:tcW w:w="3261" w:type="dxa"/>
            <w:vMerge w:val="restart"/>
            <w:tcBorders>
              <w:top w:val="single" w:sz="4" w:space="0" w:color="000000"/>
              <w:left w:val="single" w:sz="4" w:space="0" w:color="000000"/>
              <w:bottom w:val="single" w:sz="4" w:space="0" w:color="000000"/>
            </w:tcBorders>
          </w:tcPr>
          <w:p w14:paraId="23399C35" w14:textId="77777777" w:rsidR="00961AC6" w:rsidRPr="000406CF" w:rsidRDefault="00961AC6" w:rsidP="008A3DB8">
            <w:pPr>
              <w:snapToGrid w:val="0"/>
              <w:spacing w:line="276" w:lineRule="auto"/>
              <w:rPr>
                <w:sz w:val="28"/>
                <w:szCs w:val="28"/>
                <w:shd w:val="clear" w:color="auto" w:fill="FFFF00"/>
              </w:rPr>
            </w:pPr>
          </w:p>
          <w:p w14:paraId="742A65EE" w14:textId="77777777" w:rsidR="00961AC6" w:rsidRPr="000406CF" w:rsidRDefault="00961AC6" w:rsidP="008A3DB8">
            <w:pPr>
              <w:snapToGrid w:val="0"/>
              <w:spacing w:line="276" w:lineRule="auto"/>
              <w:ind w:firstLine="0"/>
              <w:jc w:val="center"/>
              <w:rPr>
                <w:sz w:val="28"/>
                <w:szCs w:val="28"/>
                <w:shd w:val="clear" w:color="auto" w:fill="FFFF00"/>
              </w:rPr>
            </w:pPr>
            <w:r w:rsidRPr="000406CF">
              <w:rPr>
                <w:sz w:val="28"/>
                <w:szCs w:val="28"/>
              </w:rPr>
              <w:t>Наименование показателя</w:t>
            </w:r>
          </w:p>
        </w:tc>
        <w:tc>
          <w:tcPr>
            <w:tcW w:w="1417" w:type="dxa"/>
            <w:vMerge w:val="restart"/>
            <w:tcBorders>
              <w:top w:val="single" w:sz="4" w:space="0" w:color="000000"/>
              <w:left w:val="single" w:sz="4" w:space="0" w:color="000000"/>
              <w:right w:val="single" w:sz="4" w:space="0" w:color="000000"/>
            </w:tcBorders>
          </w:tcPr>
          <w:p w14:paraId="19956302" w14:textId="03F57CD1" w:rsidR="00961AC6" w:rsidRPr="000406CF" w:rsidRDefault="00961AC6" w:rsidP="008A3DB8">
            <w:pPr>
              <w:ind w:firstLine="0"/>
              <w:jc w:val="center"/>
              <w:rPr>
                <w:sz w:val="28"/>
                <w:szCs w:val="28"/>
              </w:rPr>
            </w:pPr>
            <w:r w:rsidRPr="000406CF">
              <w:rPr>
                <w:sz w:val="28"/>
                <w:szCs w:val="28"/>
              </w:rPr>
              <w:t xml:space="preserve">Единица </w:t>
            </w:r>
            <w:proofErr w:type="spellStart"/>
            <w:r w:rsidRPr="000406CF">
              <w:rPr>
                <w:sz w:val="28"/>
                <w:szCs w:val="28"/>
              </w:rPr>
              <w:t>измере</w:t>
            </w:r>
            <w:proofErr w:type="spellEnd"/>
            <w:r w:rsidR="00E371C3">
              <w:rPr>
                <w:sz w:val="28"/>
                <w:szCs w:val="28"/>
              </w:rPr>
              <w:t xml:space="preserve"> </w:t>
            </w:r>
            <w:proofErr w:type="spellStart"/>
            <w:r w:rsidRPr="000406CF">
              <w:rPr>
                <w:sz w:val="28"/>
                <w:szCs w:val="28"/>
              </w:rPr>
              <w:t>ния</w:t>
            </w:r>
            <w:proofErr w:type="spellEnd"/>
          </w:p>
        </w:tc>
        <w:tc>
          <w:tcPr>
            <w:tcW w:w="2268" w:type="dxa"/>
            <w:gridSpan w:val="2"/>
            <w:tcBorders>
              <w:top w:val="single" w:sz="4" w:space="0" w:color="000000"/>
              <w:left w:val="single" w:sz="4" w:space="0" w:color="000000"/>
              <w:bottom w:val="single" w:sz="4" w:space="0" w:color="000000"/>
            </w:tcBorders>
            <w:vAlign w:val="center"/>
          </w:tcPr>
          <w:p w14:paraId="13040DD5" w14:textId="77777777" w:rsidR="00961AC6" w:rsidRPr="000406CF" w:rsidRDefault="00961AC6" w:rsidP="008A3DB8">
            <w:pPr>
              <w:ind w:left="34" w:firstLine="34"/>
              <w:jc w:val="center"/>
              <w:rPr>
                <w:sz w:val="28"/>
                <w:szCs w:val="28"/>
              </w:rPr>
            </w:pPr>
            <w:r w:rsidRPr="000406CF">
              <w:rPr>
                <w:sz w:val="28"/>
                <w:szCs w:val="28"/>
              </w:rPr>
              <w:t>2020 г.</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1D937082" w14:textId="77777777" w:rsidR="00961AC6" w:rsidRPr="000406CF" w:rsidRDefault="00961AC6" w:rsidP="008A3DB8">
            <w:pPr>
              <w:ind w:left="34" w:firstLine="34"/>
              <w:jc w:val="center"/>
              <w:rPr>
                <w:sz w:val="28"/>
                <w:szCs w:val="28"/>
                <w:shd w:val="clear" w:color="auto" w:fill="FFFF00"/>
              </w:rPr>
            </w:pPr>
            <w:r w:rsidRPr="000406CF">
              <w:rPr>
                <w:sz w:val="28"/>
                <w:szCs w:val="28"/>
              </w:rPr>
              <w:t>2021 г.</w:t>
            </w:r>
          </w:p>
        </w:tc>
      </w:tr>
      <w:tr w:rsidR="00961AC6" w:rsidRPr="008253D3" w14:paraId="1E5D0B06" w14:textId="77777777" w:rsidTr="008A3DB8">
        <w:trPr>
          <w:tblHeader/>
        </w:trPr>
        <w:tc>
          <w:tcPr>
            <w:tcW w:w="3261" w:type="dxa"/>
            <w:vMerge/>
            <w:tcBorders>
              <w:top w:val="single" w:sz="4" w:space="0" w:color="000000"/>
              <w:left w:val="single" w:sz="4" w:space="0" w:color="000000"/>
              <w:bottom w:val="single" w:sz="4" w:space="0" w:color="000000"/>
            </w:tcBorders>
          </w:tcPr>
          <w:p w14:paraId="62444CD9" w14:textId="77777777" w:rsidR="00961AC6" w:rsidRPr="000406CF" w:rsidRDefault="00961AC6" w:rsidP="008A3DB8">
            <w:pPr>
              <w:snapToGrid w:val="0"/>
              <w:spacing w:line="276" w:lineRule="auto"/>
              <w:rPr>
                <w:sz w:val="28"/>
                <w:szCs w:val="28"/>
                <w:shd w:val="clear" w:color="auto" w:fill="FFFF00"/>
              </w:rPr>
            </w:pPr>
          </w:p>
        </w:tc>
        <w:tc>
          <w:tcPr>
            <w:tcW w:w="1417" w:type="dxa"/>
            <w:vMerge/>
            <w:tcBorders>
              <w:left w:val="single" w:sz="4" w:space="0" w:color="000000"/>
              <w:bottom w:val="single" w:sz="4" w:space="0" w:color="000000"/>
              <w:right w:val="single" w:sz="4" w:space="0" w:color="000000"/>
            </w:tcBorders>
          </w:tcPr>
          <w:p w14:paraId="71451D96" w14:textId="77777777" w:rsidR="00961AC6" w:rsidRPr="000406CF" w:rsidRDefault="00961AC6" w:rsidP="008A3DB8">
            <w:pPr>
              <w:jc w:val="center"/>
              <w:rPr>
                <w:sz w:val="28"/>
                <w:szCs w:val="28"/>
              </w:rPr>
            </w:pPr>
          </w:p>
        </w:tc>
        <w:tc>
          <w:tcPr>
            <w:tcW w:w="1276" w:type="dxa"/>
            <w:tcBorders>
              <w:top w:val="single" w:sz="4" w:space="0" w:color="000000"/>
              <w:left w:val="single" w:sz="4" w:space="0" w:color="000000"/>
              <w:bottom w:val="single" w:sz="4" w:space="0" w:color="000000"/>
            </w:tcBorders>
            <w:vAlign w:val="center"/>
          </w:tcPr>
          <w:p w14:paraId="038CEDE5" w14:textId="77777777" w:rsidR="00961AC6" w:rsidRPr="000406CF" w:rsidRDefault="00961AC6" w:rsidP="008A3DB8">
            <w:pPr>
              <w:ind w:firstLine="0"/>
              <w:jc w:val="center"/>
              <w:rPr>
                <w:sz w:val="28"/>
                <w:szCs w:val="28"/>
              </w:rPr>
            </w:pPr>
            <w:r w:rsidRPr="000406CF">
              <w:rPr>
                <w:sz w:val="28"/>
                <w:szCs w:val="28"/>
              </w:rPr>
              <w:t>январь-июнь</w:t>
            </w:r>
          </w:p>
        </w:tc>
        <w:tc>
          <w:tcPr>
            <w:tcW w:w="992" w:type="dxa"/>
            <w:tcBorders>
              <w:top w:val="single" w:sz="4" w:space="0" w:color="000000"/>
              <w:left w:val="single" w:sz="4" w:space="0" w:color="000000"/>
              <w:bottom w:val="single" w:sz="4" w:space="0" w:color="000000"/>
            </w:tcBorders>
            <w:vAlign w:val="center"/>
          </w:tcPr>
          <w:p w14:paraId="508F1AF8" w14:textId="77777777" w:rsidR="00961AC6" w:rsidRPr="000406CF" w:rsidRDefault="00961AC6" w:rsidP="008A3DB8">
            <w:pPr>
              <w:ind w:left="34" w:firstLine="34"/>
              <w:jc w:val="center"/>
              <w:rPr>
                <w:sz w:val="28"/>
                <w:szCs w:val="28"/>
              </w:rPr>
            </w:pPr>
            <w:r w:rsidRPr="000406CF">
              <w:rPr>
                <w:sz w:val="28"/>
                <w:szCs w:val="28"/>
              </w:rPr>
              <w:t>год</w:t>
            </w:r>
          </w:p>
        </w:tc>
        <w:tc>
          <w:tcPr>
            <w:tcW w:w="1134" w:type="dxa"/>
            <w:tcBorders>
              <w:top w:val="single" w:sz="4" w:space="0" w:color="000000"/>
              <w:left w:val="single" w:sz="4" w:space="0" w:color="000000"/>
              <w:bottom w:val="single" w:sz="4" w:space="0" w:color="000000"/>
            </w:tcBorders>
            <w:vAlign w:val="center"/>
          </w:tcPr>
          <w:p w14:paraId="1D0A7F73" w14:textId="77777777" w:rsidR="00961AC6" w:rsidRPr="000406CF" w:rsidRDefault="00961AC6" w:rsidP="008A3DB8">
            <w:pPr>
              <w:ind w:left="34" w:firstLine="34"/>
              <w:jc w:val="center"/>
              <w:rPr>
                <w:sz w:val="28"/>
                <w:szCs w:val="28"/>
              </w:rPr>
            </w:pPr>
            <w:r w:rsidRPr="000406CF">
              <w:rPr>
                <w:sz w:val="28"/>
                <w:szCs w:val="28"/>
              </w:rPr>
              <w:t>январь-июнь</w:t>
            </w:r>
          </w:p>
        </w:tc>
        <w:tc>
          <w:tcPr>
            <w:tcW w:w="1418" w:type="dxa"/>
            <w:tcBorders>
              <w:top w:val="single" w:sz="4" w:space="0" w:color="000000"/>
              <w:left w:val="single" w:sz="4" w:space="0" w:color="000000"/>
              <w:bottom w:val="single" w:sz="4" w:space="0" w:color="000000"/>
              <w:right w:val="single" w:sz="4" w:space="0" w:color="000000"/>
            </w:tcBorders>
            <w:vAlign w:val="center"/>
          </w:tcPr>
          <w:p w14:paraId="36C83313" w14:textId="77777777" w:rsidR="00961AC6" w:rsidRPr="000406CF" w:rsidRDefault="00961AC6" w:rsidP="008A3DB8">
            <w:pPr>
              <w:ind w:left="34" w:firstLine="34"/>
              <w:jc w:val="center"/>
              <w:rPr>
                <w:sz w:val="28"/>
                <w:szCs w:val="28"/>
              </w:rPr>
            </w:pPr>
            <w:r w:rsidRPr="000406CF">
              <w:rPr>
                <w:sz w:val="28"/>
                <w:szCs w:val="28"/>
              </w:rPr>
              <w:t>год</w:t>
            </w:r>
          </w:p>
          <w:p w14:paraId="395C20A4" w14:textId="77777777" w:rsidR="00961AC6" w:rsidRPr="000406CF" w:rsidRDefault="00961AC6" w:rsidP="008A3DB8">
            <w:pPr>
              <w:ind w:left="34" w:firstLine="34"/>
              <w:jc w:val="center"/>
              <w:rPr>
                <w:sz w:val="28"/>
                <w:szCs w:val="28"/>
              </w:rPr>
            </w:pPr>
            <w:r w:rsidRPr="000406CF">
              <w:rPr>
                <w:sz w:val="28"/>
                <w:szCs w:val="28"/>
              </w:rPr>
              <w:t>(оценка)</w:t>
            </w:r>
          </w:p>
        </w:tc>
      </w:tr>
      <w:tr w:rsidR="00961AC6" w:rsidRPr="008253D3" w14:paraId="0BE465F6" w14:textId="77777777" w:rsidTr="008A3DB8">
        <w:tc>
          <w:tcPr>
            <w:tcW w:w="3261" w:type="dxa"/>
            <w:tcBorders>
              <w:top w:val="single" w:sz="4" w:space="0" w:color="000000"/>
              <w:left w:val="single" w:sz="4" w:space="0" w:color="000000"/>
              <w:bottom w:val="single" w:sz="4" w:space="0" w:color="000000"/>
            </w:tcBorders>
          </w:tcPr>
          <w:p w14:paraId="727C97AE" w14:textId="77777777" w:rsidR="00961AC6" w:rsidRPr="000406CF" w:rsidRDefault="00961AC6" w:rsidP="008A3DB8">
            <w:pPr>
              <w:snapToGrid w:val="0"/>
              <w:ind w:firstLine="0"/>
              <w:rPr>
                <w:sz w:val="28"/>
                <w:szCs w:val="28"/>
              </w:rPr>
            </w:pPr>
            <w:r w:rsidRPr="000406CF">
              <w:rPr>
                <w:sz w:val="28"/>
                <w:szCs w:val="28"/>
              </w:rPr>
              <w:t xml:space="preserve">Объем отгруженной промышленной продукции собственного производства (по разделам </w:t>
            </w:r>
            <w:r w:rsidRPr="000406CF">
              <w:rPr>
                <w:sz w:val="28"/>
                <w:szCs w:val="28"/>
                <w:lang w:val="en-US"/>
              </w:rPr>
              <w:t>C</w:t>
            </w:r>
            <w:r w:rsidRPr="000406CF">
              <w:rPr>
                <w:sz w:val="28"/>
                <w:szCs w:val="28"/>
              </w:rPr>
              <w:t>, D, E)</w:t>
            </w:r>
            <w:r w:rsidRPr="000406CF">
              <w:rPr>
                <w:sz w:val="28"/>
                <w:szCs w:val="28"/>
                <w:vertAlign w:val="superscript"/>
              </w:rPr>
              <w:t>1</w:t>
            </w:r>
            <w:r w:rsidRPr="000406CF">
              <w:rPr>
                <w:sz w:val="28"/>
                <w:szCs w:val="28"/>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14:paraId="30D3D863" w14:textId="77777777" w:rsidR="00961AC6" w:rsidRPr="000406CF" w:rsidRDefault="00961AC6" w:rsidP="008A3DB8">
            <w:pPr>
              <w:ind w:firstLine="0"/>
              <w:jc w:val="center"/>
              <w:rPr>
                <w:sz w:val="28"/>
                <w:szCs w:val="28"/>
              </w:rPr>
            </w:pPr>
            <w:r w:rsidRPr="000406CF">
              <w:rPr>
                <w:sz w:val="28"/>
                <w:szCs w:val="28"/>
              </w:rPr>
              <w:t>млрд. рублей</w:t>
            </w:r>
          </w:p>
        </w:tc>
        <w:tc>
          <w:tcPr>
            <w:tcW w:w="1276" w:type="dxa"/>
            <w:tcBorders>
              <w:top w:val="single" w:sz="4" w:space="0" w:color="000000"/>
              <w:left w:val="single" w:sz="4" w:space="0" w:color="000000"/>
              <w:bottom w:val="single" w:sz="4" w:space="0" w:color="000000"/>
            </w:tcBorders>
            <w:vAlign w:val="center"/>
          </w:tcPr>
          <w:p w14:paraId="4A211047" w14:textId="77777777" w:rsidR="00961AC6" w:rsidRPr="000406CF" w:rsidRDefault="00961AC6" w:rsidP="008A3DB8">
            <w:pPr>
              <w:ind w:firstLine="0"/>
              <w:jc w:val="center"/>
              <w:rPr>
                <w:sz w:val="28"/>
                <w:szCs w:val="28"/>
              </w:rPr>
            </w:pPr>
            <w:r>
              <w:rPr>
                <w:sz w:val="28"/>
                <w:szCs w:val="28"/>
              </w:rPr>
              <w:t>213,6</w:t>
            </w:r>
          </w:p>
        </w:tc>
        <w:tc>
          <w:tcPr>
            <w:tcW w:w="992" w:type="dxa"/>
            <w:tcBorders>
              <w:top w:val="single" w:sz="4" w:space="0" w:color="000000"/>
              <w:left w:val="single" w:sz="4" w:space="0" w:color="000000"/>
              <w:bottom w:val="single" w:sz="4" w:space="0" w:color="000000"/>
            </w:tcBorders>
            <w:shd w:val="clear" w:color="auto" w:fill="auto"/>
            <w:vAlign w:val="center"/>
          </w:tcPr>
          <w:p w14:paraId="717A441D" w14:textId="1C65C823" w:rsidR="00961AC6" w:rsidRPr="000406CF" w:rsidRDefault="00961AC6" w:rsidP="008A3DB8">
            <w:pPr>
              <w:ind w:firstLine="0"/>
              <w:jc w:val="center"/>
              <w:rPr>
                <w:sz w:val="28"/>
                <w:szCs w:val="28"/>
              </w:rPr>
            </w:pPr>
            <w:r>
              <w:rPr>
                <w:sz w:val="28"/>
                <w:szCs w:val="28"/>
              </w:rPr>
              <w:t>505,</w:t>
            </w:r>
            <w:r w:rsidR="00B659B4">
              <w:rPr>
                <w:sz w:val="28"/>
                <w:szCs w:val="28"/>
              </w:rPr>
              <w:t>5</w:t>
            </w:r>
          </w:p>
        </w:tc>
        <w:tc>
          <w:tcPr>
            <w:tcW w:w="1134" w:type="dxa"/>
            <w:tcBorders>
              <w:top w:val="single" w:sz="4" w:space="0" w:color="000000"/>
              <w:left w:val="single" w:sz="4" w:space="0" w:color="000000"/>
              <w:bottom w:val="single" w:sz="4" w:space="0" w:color="000000"/>
            </w:tcBorders>
            <w:vAlign w:val="center"/>
          </w:tcPr>
          <w:p w14:paraId="7A9401F2" w14:textId="77777777" w:rsidR="00961AC6" w:rsidRPr="000406CF" w:rsidRDefault="00961AC6" w:rsidP="008A3DB8">
            <w:pPr>
              <w:ind w:firstLine="0"/>
              <w:jc w:val="center"/>
              <w:rPr>
                <w:sz w:val="28"/>
                <w:szCs w:val="28"/>
                <w:lang w:val="en-US"/>
              </w:rPr>
            </w:pPr>
            <w:r>
              <w:rPr>
                <w:sz w:val="28"/>
                <w:szCs w:val="28"/>
              </w:rPr>
              <w:t>329,8</w:t>
            </w:r>
          </w:p>
        </w:tc>
        <w:tc>
          <w:tcPr>
            <w:tcW w:w="1418" w:type="dxa"/>
            <w:tcBorders>
              <w:top w:val="single" w:sz="4" w:space="0" w:color="000000"/>
              <w:left w:val="single" w:sz="4" w:space="0" w:color="000000"/>
              <w:bottom w:val="single" w:sz="4" w:space="0" w:color="000000"/>
              <w:right w:val="single" w:sz="4" w:space="0" w:color="000000"/>
            </w:tcBorders>
            <w:vAlign w:val="center"/>
          </w:tcPr>
          <w:p w14:paraId="1B1B9308" w14:textId="77777777" w:rsidR="00961AC6" w:rsidRPr="00617F10" w:rsidRDefault="00961AC6" w:rsidP="008A3DB8">
            <w:pPr>
              <w:ind w:firstLine="0"/>
              <w:jc w:val="center"/>
              <w:rPr>
                <w:sz w:val="28"/>
                <w:szCs w:val="28"/>
                <w:highlight w:val="yellow"/>
              </w:rPr>
            </w:pPr>
            <w:r w:rsidRPr="00534D0F">
              <w:rPr>
                <w:sz w:val="28"/>
                <w:szCs w:val="28"/>
              </w:rPr>
              <w:t>612,7</w:t>
            </w:r>
          </w:p>
        </w:tc>
      </w:tr>
      <w:tr w:rsidR="00961AC6" w:rsidRPr="0093250B" w14:paraId="56A15339" w14:textId="77777777" w:rsidTr="008A3DB8">
        <w:tc>
          <w:tcPr>
            <w:tcW w:w="3261" w:type="dxa"/>
            <w:tcBorders>
              <w:top w:val="single" w:sz="4" w:space="0" w:color="000000"/>
              <w:left w:val="single" w:sz="4" w:space="0" w:color="000000"/>
              <w:bottom w:val="single" w:sz="4" w:space="0" w:color="000000"/>
            </w:tcBorders>
          </w:tcPr>
          <w:p w14:paraId="54284FDB" w14:textId="77777777" w:rsidR="00961AC6" w:rsidRPr="000406CF" w:rsidRDefault="00961AC6" w:rsidP="008A3DB8">
            <w:pPr>
              <w:ind w:firstLine="0"/>
              <w:rPr>
                <w:sz w:val="28"/>
                <w:szCs w:val="28"/>
              </w:rPr>
            </w:pPr>
            <w:r w:rsidRPr="000406CF">
              <w:rPr>
                <w:sz w:val="28"/>
                <w:szCs w:val="28"/>
              </w:rPr>
              <w:lastRenderedPageBreak/>
              <w:t>Индекс промышленного производства</w:t>
            </w:r>
            <w:r w:rsidRPr="000406CF">
              <w:rPr>
                <w:sz w:val="28"/>
                <w:szCs w:val="28"/>
                <w:vertAlign w:val="superscript"/>
              </w:rPr>
              <w:t>1</w:t>
            </w:r>
          </w:p>
        </w:tc>
        <w:tc>
          <w:tcPr>
            <w:tcW w:w="1417" w:type="dxa"/>
            <w:tcBorders>
              <w:top w:val="single" w:sz="4" w:space="0" w:color="000000"/>
              <w:left w:val="single" w:sz="4" w:space="0" w:color="000000"/>
              <w:bottom w:val="single" w:sz="4" w:space="0" w:color="000000"/>
              <w:right w:val="single" w:sz="4" w:space="0" w:color="000000"/>
            </w:tcBorders>
            <w:vAlign w:val="center"/>
          </w:tcPr>
          <w:p w14:paraId="298C54F5" w14:textId="77777777" w:rsidR="00961AC6" w:rsidRPr="000406CF" w:rsidRDefault="00961AC6" w:rsidP="008A3DB8">
            <w:pPr>
              <w:ind w:firstLine="0"/>
              <w:jc w:val="center"/>
              <w:rPr>
                <w:sz w:val="28"/>
                <w:szCs w:val="28"/>
              </w:rPr>
            </w:pPr>
            <w:r w:rsidRPr="000406CF">
              <w:rPr>
                <w:sz w:val="28"/>
                <w:szCs w:val="28"/>
              </w:rPr>
              <w:t>%</w:t>
            </w:r>
          </w:p>
        </w:tc>
        <w:tc>
          <w:tcPr>
            <w:tcW w:w="1276" w:type="dxa"/>
            <w:tcBorders>
              <w:top w:val="single" w:sz="4" w:space="0" w:color="000000"/>
              <w:left w:val="single" w:sz="4" w:space="0" w:color="000000"/>
              <w:bottom w:val="single" w:sz="4" w:space="0" w:color="000000"/>
            </w:tcBorders>
            <w:vAlign w:val="center"/>
          </w:tcPr>
          <w:p w14:paraId="07A41106" w14:textId="77777777" w:rsidR="00961AC6" w:rsidRPr="000406CF" w:rsidRDefault="00961AC6" w:rsidP="008A3DB8">
            <w:pPr>
              <w:ind w:firstLine="0"/>
              <w:jc w:val="center"/>
              <w:rPr>
                <w:sz w:val="28"/>
                <w:szCs w:val="28"/>
              </w:rPr>
            </w:pPr>
            <w:r>
              <w:rPr>
                <w:sz w:val="28"/>
                <w:szCs w:val="28"/>
              </w:rPr>
              <w:t>84,5</w:t>
            </w:r>
          </w:p>
        </w:tc>
        <w:tc>
          <w:tcPr>
            <w:tcW w:w="992" w:type="dxa"/>
            <w:tcBorders>
              <w:top w:val="single" w:sz="4" w:space="0" w:color="000000"/>
              <w:left w:val="single" w:sz="4" w:space="0" w:color="000000"/>
              <w:bottom w:val="single" w:sz="4" w:space="0" w:color="000000"/>
            </w:tcBorders>
            <w:vAlign w:val="center"/>
          </w:tcPr>
          <w:p w14:paraId="3C2DDABD" w14:textId="77777777" w:rsidR="00961AC6" w:rsidRPr="000406CF" w:rsidRDefault="00961AC6" w:rsidP="008A3DB8">
            <w:pPr>
              <w:ind w:firstLine="0"/>
              <w:jc w:val="center"/>
              <w:rPr>
                <w:sz w:val="28"/>
                <w:szCs w:val="28"/>
              </w:rPr>
            </w:pPr>
            <w:r>
              <w:rPr>
                <w:sz w:val="28"/>
                <w:szCs w:val="28"/>
              </w:rPr>
              <w:t>92,0</w:t>
            </w:r>
          </w:p>
        </w:tc>
        <w:tc>
          <w:tcPr>
            <w:tcW w:w="1134" w:type="dxa"/>
            <w:tcBorders>
              <w:top w:val="single" w:sz="4" w:space="0" w:color="000000"/>
              <w:left w:val="single" w:sz="4" w:space="0" w:color="000000"/>
              <w:bottom w:val="single" w:sz="4" w:space="0" w:color="000000"/>
            </w:tcBorders>
            <w:vAlign w:val="center"/>
          </w:tcPr>
          <w:p w14:paraId="462D4A0B" w14:textId="77777777" w:rsidR="00961AC6" w:rsidRPr="000406CF" w:rsidRDefault="00961AC6" w:rsidP="008A3DB8">
            <w:pPr>
              <w:ind w:firstLine="0"/>
              <w:jc w:val="center"/>
              <w:rPr>
                <w:sz w:val="28"/>
                <w:szCs w:val="28"/>
              </w:rPr>
            </w:pPr>
            <w:r>
              <w:rPr>
                <w:sz w:val="28"/>
                <w:szCs w:val="28"/>
              </w:rPr>
              <w:t>117,4</w:t>
            </w:r>
          </w:p>
        </w:tc>
        <w:tc>
          <w:tcPr>
            <w:tcW w:w="1418" w:type="dxa"/>
            <w:tcBorders>
              <w:top w:val="single" w:sz="4" w:space="0" w:color="000000"/>
              <w:left w:val="single" w:sz="4" w:space="0" w:color="000000"/>
              <w:bottom w:val="single" w:sz="4" w:space="0" w:color="000000"/>
              <w:right w:val="single" w:sz="4" w:space="0" w:color="000000"/>
            </w:tcBorders>
            <w:vAlign w:val="center"/>
          </w:tcPr>
          <w:p w14:paraId="527E697A" w14:textId="77777777" w:rsidR="00961AC6" w:rsidRPr="00617F10" w:rsidRDefault="00961AC6" w:rsidP="008A3DB8">
            <w:pPr>
              <w:ind w:firstLine="0"/>
              <w:jc w:val="center"/>
              <w:rPr>
                <w:sz w:val="28"/>
                <w:szCs w:val="28"/>
                <w:highlight w:val="yellow"/>
              </w:rPr>
            </w:pPr>
            <w:r w:rsidRPr="00534D0F">
              <w:rPr>
                <w:sz w:val="28"/>
                <w:szCs w:val="28"/>
              </w:rPr>
              <w:t>103,5</w:t>
            </w:r>
          </w:p>
        </w:tc>
      </w:tr>
      <w:tr w:rsidR="00961AC6" w:rsidRPr="008253D3" w14:paraId="147C6B64" w14:textId="77777777" w:rsidTr="008A3DB8">
        <w:tc>
          <w:tcPr>
            <w:tcW w:w="3261" w:type="dxa"/>
            <w:tcBorders>
              <w:top w:val="single" w:sz="4" w:space="0" w:color="000000"/>
              <w:left w:val="single" w:sz="4" w:space="0" w:color="000000"/>
              <w:bottom w:val="single" w:sz="4" w:space="0" w:color="000000"/>
            </w:tcBorders>
          </w:tcPr>
          <w:p w14:paraId="06028CC0" w14:textId="77777777" w:rsidR="00961AC6" w:rsidRPr="000406CF" w:rsidRDefault="00961AC6" w:rsidP="008A3DB8">
            <w:pPr>
              <w:ind w:firstLine="0"/>
              <w:rPr>
                <w:sz w:val="28"/>
                <w:szCs w:val="28"/>
              </w:rPr>
            </w:pPr>
            <w:r w:rsidRPr="000406CF">
              <w:rPr>
                <w:sz w:val="28"/>
                <w:szCs w:val="28"/>
              </w:rPr>
              <w:t>Инвестиции в основной капитал</w:t>
            </w:r>
          </w:p>
        </w:tc>
        <w:tc>
          <w:tcPr>
            <w:tcW w:w="1417" w:type="dxa"/>
            <w:tcBorders>
              <w:top w:val="single" w:sz="4" w:space="0" w:color="000000"/>
              <w:left w:val="single" w:sz="4" w:space="0" w:color="000000"/>
              <w:bottom w:val="single" w:sz="4" w:space="0" w:color="000000"/>
              <w:right w:val="single" w:sz="4" w:space="0" w:color="000000"/>
            </w:tcBorders>
            <w:vAlign w:val="center"/>
          </w:tcPr>
          <w:p w14:paraId="2ADE4977" w14:textId="77777777" w:rsidR="00961AC6" w:rsidRPr="000406CF" w:rsidRDefault="00961AC6" w:rsidP="008A3DB8">
            <w:pPr>
              <w:ind w:firstLine="0"/>
              <w:jc w:val="center"/>
              <w:rPr>
                <w:sz w:val="28"/>
                <w:szCs w:val="28"/>
              </w:rPr>
            </w:pPr>
            <w:r w:rsidRPr="000406CF">
              <w:rPr>
                <w:sz w:val="28"/>
                <w:szCs w:val="28"/>
              </w:rPr>
              <w:t>млрд. рублей</w:t>
            </w:r>
          </w:p>
        </w:tc>
        <w:tc>
          <w:tcPr>
            <w:tcW w:w="1276" w:type="dxa"/>
            <w:tcBorders>
              <w:top w:val="single" w:sz="4" w:space="0" w:color="000000"/>
              <w:left w:val="single" w:sz="4" w:space="0" w:color="000000"/>
              <w:bottom w:val="single" w:sz="4" w:space="0" w:color="000000"/>
            </w:tcBorders>
            <w:vAlign w:val="center"/>
          </w:tcPr>
          <w:p w14:paraId="2CB5180C" w14:textId="35D46588" w:rsidR="00961AC6" w:rsidRPr="003F4B7B" w:rsidRDefault="00CF10FB" w:rsidP="00CF10FB">
            <w:pPr>
              <w:ind w:firstLine="0"/>
              <w:jc w:val="center"/>
              <w:rPr>
                <w:sz w:val="28"/>
                <w:szCs w:val="28"/>
                <w:vertAlign w:val="superscript"/>
              </w:rPr>
            </w:pPr>
            <w:r w:rsidRPr="00CF10FB">
              <w:rPr>
                <w:sz w:val="28"/>
                <w:szCs w:val="28"/>
              </w:rPr>
              <w:t>13,5</w:t>
            </w:r>
            <w:r w:rsidR="003F4B7B">
              <w:rPr>
                <w:sz w:val="28"/>
                <w:szCs w:val="28"/>
                <w:vertAlign w:val="superscript"/>
              </w:rPr>
              <w:t>1</w:t>
            </w:r>
          </w:p>
        </w:tc>
        <w:tc>
          <w:tcPr>
            <w:tcW w:w="992" w:type="dxa"/>
            <w:tcBorders>
              <w:top w:val="single" w:sz="4" w:space="0" w:color="000000"/>
              <w:left w:val="single" w:sz="4" w:space="0" w:color="000000"/>
              <w:bottom w:val="single" w:sz="4" w:space="0" w:color="000000"/>
            </w:tcBorders>
            <w:vAlign w:val="center"/>
          </w:tcPr>
          <w:p w14:paraId="3A685894" w14:textId="5B3939F3" w:rsidR="00961AC6" w:rsidRPr="000406CF" w:rsidRDefault="00B659B4" w:rsidP="008A3DB8">
            <w:pPr>
              <w:ind w:firstLine="0"/>
              <w:jc w:val="center"/>
              <w:rPr>
                <w:sz w:val="28"/>
                <w:szCs w:val="28"/>
              </w:rPr>
            </w:pPr>
            <w:r>
              <w:rPr>
                <w:sz w:val="28"/>
                <w:szCs w:val="28"/>
              </w:rPr>
              <w:t>48,7</w:t>
            </w:r>
            <w:r w:rsidR="00961AC6" w:rsidRPr="003F4B7B">
              <w:rPr>
                <w:sz w:val="28"/>
                <w:szCs w:val="28"/>
                <w:vertAlign w:val="superscript"/>
              </w:rPr>
              <w:t>2</w:t>
            </w:r>
          </w:p>
        </w:tc>
        <w:tc>
          <w:tcPr>
            <w:tcW w:w="1134" w:type="dxa"/>
            <w:tcBorders>
              <w:top w:val="single" w:sz="4" w:space="0" w:color="000000"/>
              <w:left w:val="single" w:sz="4" w:space="0" w:color="000000"/>
              <w:bottom w:val="single" w:sz="4" w:space="0" w:color="000000"/>
            </w:tcBorders>
            <w:vAlign w:val="center"/>
          </w:tcPr>
          <w:p w14:paraId="501B05E6" w14:textId="782EF777" w:rsidR="00961AC6" w:rsidRPr="000406CF" w:rsidRDefault="00B659B4" w:rsidP="008A3DB8">
            <w:pPr>
              <w:ind w:firstLine="0"/>
              <w:jc w:val="center"/>
              <w:rPr>
                <w:sz w:val="28"/>
                <w:szCs w:val="28"/>
              </w:rPr>
            </w:pPr>
            <w:r>
              <w:rPr>
                <w:sz w:val="28"/>
                <w:szCs w:val="28"/>
              </w:rPr>
              <w:t>23,</w:t>
            </w:r>
            <w:r w:rsidR="00961AC6" w:rsidRPr="000406CF">
              <w:rPr>
                <w:sz w:val="28"/>
                <w:szCs w:val="28"/>
              </w:rPr>
              <w:t>5</w:t>
            </w:r>
            <w:r w:rsidR="00961AC6" w:rsidRPr="000406CF">
              <w:rPr>
                <w:sz w:val="28"/>
                <w:szCs w:val="28"/>
                <w:vertAlign w:val="superscript"/>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37BE241E" w14:textId="77777777" w:rsidR="00961AC6" w:rsidRPr="00617F10" w:rsidRDefault="00961AC6" w:rsidP="008A3DB8">
            <w:pPr>
              <w:ind w:firstLine="0"/>
              <w:jc w:val="center"/>
              <w:rPr>
                <w:sz w:val="28"/>
                <w:szCs w:val="28"/>
                <w:highlight w:val="yellow"/>
              </w:rPr>
            </w:pPr>
            <w:r w:rsidRPr="00AA0AF5">
              <w:rPr>
                <w:sz w:val="28"/>
                <w:szCs w:val="28"/>
              </w:rPr>
              <w:t>56,7</w:t>
            </w:r>
            <w:r w:rsidRPr="00AA0AF5">
              <w:rPr>
                <w:sz w:val="28"/>
                <w:szCs w:val="28"/>
                <w:vertAlign w:val="superscript"/>
              </w:rPr>
              <w:t>2</w:t>
            </w:r>
          </w:p>
        </w:tc>
      </w:tr>
      <w:tr w:rsidR="00961AC6" w:rsidRPr="008253D3" w14:paraId="4A19434C" w14:textId="77777777" w:rsidTr="008A3DB8">
        <w:tc>
          <w:tcPr>
            <w:tcW w:w="3261" w:type="dxa"/>
            <w:tcBorders>
              <w:top w:val="single" w:sz="4" w:space="0" w:color="000000"/>
              <w:left w:val="single" w:sz="4" w:space="0" w:color="000000"/>
              <w:bottom w:val="single" w:sz="4" w:space="0" w:color="000000"/>
            </w:tcBorders>
          </w:tcPr>
          <w:p w14:paraId="0430A2AA" w14:textId="77777777" w:rsidR="00961AC6" w:rsidRPr="000406CF" w:rsidRDefault="00961AC6" w:rsidP="008A3DB8">
            <w:pPr>
              <w:ind w:firstLine="0"/>
              <w:rPr>
                <w:sz w:val="28"/>
                <w:szCs w:val="28"/>
              </w:rPr>
            </w:pPr>
            <w:r w:rsidRPr="000406CF">
              <w:rPr>
                <w:sz w:val="28"/>
                <w:szCs w:val="28"/>
              </w:rPr>
              <w:t>Прибыль прибыльных организаций до налогообложения</w:t>
            </w:r>
          </w:p>
        </w:tc>
        <w:tc>
          <w:tcPr>
            <w:tcW w:w="1417" w:type="dxa"/>
            <w:tcBorders>
              <w:top w:val="single" w:sz="4" w:space="0" w:color="000000"/>
              <w:left w:val="single" w:sz="4" w:space="0" w:color="000000"/>
              <w:bottom w:val="single" w:sz="4" w:space="0" w:color="000000"/>
              <w:right w:val="single" w:sz="4" w:space="0" w:color="000000"/>
            </w:tcBorders>
            <w:vAlign w:val="center"/>
          </w:tcPr>
          <w:p w14:paraId="58DD043C" w14:textId="77777777" w:rsidR="00961AC6" w:rsidRPr="000406CF" w:rsidRDefault="00961AC6" w:rsidP="008A3DB8">
            <w:pPr>
              <w:ind w:firstLine="0"/>
              <w:jc w:val="center"/>
              <w:rPr>
                <w:sz w:val="28"/>
                <w:szCs w:val="28"/>
              </w:rPr>
            </w:pPr>
            <w:r w:rsidRPr="000406CF">
              <w:rPr>
                <w:sz w:val="28"/>
                <w:szCs w:val="28"/>
              </w:rPr>
              <w:t>млрд. рублей</w:t>
            </w:r>
          </w:p>
        </w:tc>
        <w:tc>
          <w:tcPr>
            <w:tcW w:w="1276" w:type="dxa"/>
            <w:tcBorders>
              <w:top w:val="single" w:sz="4" w:space="0" w:color="000000"/>
              <w:left w:val="single" w:sz="4" w:space="0" w:color="000000"/>
              <w:bottom w:val="single" w:sz="4" w:space="0" w:color="000000"/>
            </w:tcBorders>
            <w:vAlign w:val="center"/>
          </w:tcPr>
          <w:p w14:paraId="31F85FA5" w14:textId="77777777" w:rsidR="00961AC6" w:rsidRPr="000406CF" w:rsidRDefault="00961AC6" w:rsidP="008A3DB8">
            <w:pPr>
              <w:ind w:firstLine="0"/>
              <w:jc w:val="center"/>
              <w:rPr>
                <w:sz w:val="28"/>
                <w:szCs w:val="28"/>
              </w:rPr>
            </w:pPr>
            <w:r w:rsidRPr="000406CF">
              <w:rPr>
                <w:sz w:val="28"/>
                <w:szCs w:val="28"/>
              </w:rPr>
              <w:t>20,7</w:t>
            </w:r>
            <w:r w:rsidRPr="00AA0AF5">
              <w:rPr>
                <w:sz w:val="28"/>
                <w:szCs w:val="28"/>
                <w:vertAlign w:val="superscript"/>
              </w:rPr>
              <w:t>1</w:t>
            </w:r>
          </w:p>
        </w:tc>
        <w:tc>
          <w:tcPr>
            <w:tcW w:w="992" w:type="dxa"/>
            <w:tcBorders>
              <w:top w:val="single" w:sz="4" w:space="0" w:color="000000"/>
              <w:left w:val="single" w:sz="4" w:space="0" w:color="000000"/>
              <w:bottom w:val="single" w:sz="4" w:space="0" w:color="000000"/>
            </w:tcBorders>
            <w:vAlign w:val="center"/>
          </w:tcPr>
          <w:p w14:paraId="2079FB5C" w14:textId="77777777" w:rsidR="00961AC6" w:rsidRPr="000406CF" w:rsidRDefault="00961AC6" w:rsidP="008A3DB8">
            <w:pPr>
              <w:ind w:firstLine="0"/>
              <w:jc w:val="center"/>
              <w:rPr>
                <w:sz w:val="28"/>
                <w:szCs w:val="28"/>
              </w:rPr>
            </w:pPr>
            <w:r w:rsidRPr="00AA0AF5">
              <w:rPr>
                <w:sz w:val="28"/>
                <w:szCs w:val="28"/>
              </w:rPr>
              <w:t>46,7</w:t>
            </w:r>
            <w:r>
              <w:rPr>
                <w:sz w:val="28"/>
                <w:szCs w:val="28"/>
                <w:vertAlign w:val="superscript"/>
              </w:rPr>
              <w:t>3</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14:paraId="02ACB7AA" w14:textId="77777777" w:rsidR="00961AC6" w:rsidRPr="000406CF" w:rsidRDefault="00961AC6" w:rsidP="008A3DB8">
            <w:pPr>
              <w:ind w:firstLine="0"/>
              <w:jc w:val="center"/>
              <w:rPr>
                <w:sz w:val="28"/>
                <w:szCs w:val="28"/>
              </w:rPr>
            </w:pPr>
            <w:r>
              <w:rPr>
                <w:sz w:val="28"/>
                <w:szCs w:val="28"/>
              </w:rPr>
              <w:t>48,3</w:t>
            </w:r>
            <w:r w:rsidRPr="00AA0AF5">
              <w:rPr>
                <w:sz w:val="28"/>
                <w:szCs w:val="28"/>
                <w:vertAlign w:val="superscript"/>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370EB3EC" w14:textId="77777777" w:rsidR="00961AC6" w:rsidRPr="00617F10" w:rsidRDefault="00961AC6" w:rsidP="008A3DB8">
            <w:pPr>
              <w:ind w:firstLine="0"/>
              <w:jc w:val="center"/>
              <w:rPr>
                <w:sz w:val="28"/>
                <w:szCs w:val="28"/>
                <w:highlight w:val="yellow"/>
              </w:rPr>
            </w:pPr>
            <w:r w:rsidRPr="00AA0AF5">
              <w:rPr>
                <w:sz w:val="28"/>
                <w:szCs w:val="28"/>
              </w:rPr>
              <w:t>103,9</w:t>
            </w:r>
            <w:r>
              <w:rPr>
                <w:sz w:val="28"/>
                <w:szCs w:val="28"/>
                <w:vertAlign w:val="superscript"/>
              </w:rPr>
              <w:t>3</w:t>
            </w:r>
          </w:p>
        </w:tc>
      </w:tr>
      <w:tr w:rsidR="00961AC6" w:rsidRPr="008253D3" w14:paraId="1F8FAA0A" w14:textId="77777777" w:rsidTr="008A3DB8">
        <w:tc>
          <w:tcPr>
            <w:tcW w:w="3261" w:type="dxa"/>
            <w:tcBorders>
              <w:top w:val="single" w:sz="4" w:space="0" w:color="000000"/>
              <w:left w:val="single" w:sz="4" w:space="0" w:color="000000"/>
              <w:bottom w:val="single" w:sz="4" w:space="0" w:color="000000"/>
            </w:tcBorders>
          </w:tcPr>
          <w:p w14:paraId="46378DEE" w14:textId="77777777" w:rsidR="00961AC6" w:rsidRPr="000406CF" w:rsidRDefault="00961AC6" w:rsidP="008A3DB8">
            <w:pPr>
              <w:ind w:firstLine="0"/>
              <w:rPr>
                <w:sz w:val="28"/>
                <w:szCs w:val="28"/>
              </w:rPr>
            </w:pPr>
            <w:r w:rsidRPr="000406CF">
              <w:rPr>
                <w:sz w:val="28"/>
                <w:szCs w:val="28"/>
              </w:rPr>
              <w:t>Ввод в действие жилых домов (квартир)</w:t>
            </w:r>
          </w:p>
        </w:tc>
        <w:tc>
          <w:tcPr>
            <w:tcW w:w="1417" w:type="dxa"/>
            <w:tcBorders>
              <w:top w:val="single" w:sz="4" w:space="0" w:color="000000"/>
              <w:left w:val="single" w:sz="4" w:space="0" w:color="000000"/>
              <w:bottom w:val="single" w:sz="4" w:space="0" w:color="000000"/>
              <w:right w:val="single" w:sz="4" w:space="0" w:color="000000"/>
            </w:tcBorders>
            <w:vAlign w:val="center"/>
          </w:tcPr>
          <w:p w14:paraId="5C4CBCB3" w14:textId="77777777" w:rsidR="00961AC6" w:rsidRPr="000406CF" w:rsidRDefault="00961AC6" w:rsidP="008A3DB8">
            <w:pPr>
              <w:ind w:firstLine="0"/>
              <w:jc w:val="center"/>
              <w:rPr>
                <w:sz w:val="28"/>
                <w:szCs w:val="28"/>
              </w:rPr>
            </w:pPr>
            <w:r w:rsidRPr="000406CF">
              <w:rPr>
                <w:sz w:val="28"/>
                <w:szCs w:val="28"/>
              </w:rPr>
              <w:t>тыс. кв. м</w:t>
            </w:r>
          </w:p>
        </w:tc>
        <w:tc>
          <w:tcPr>
            <w:tcW w:w="1276" w:type="dxa"/>
            <w:tcBorders>
              <w:top w:val="single" w:sz="4" w:space="0" w:color="000000"/>
              <w:left w:val="single" w:sz="4" w:space="0" w:color="000000"/>
              <w:bottom w:val="single" w:sz="4" w:space="0" w:color="000000"/>
            </w:tcBorders>
            <w:vAlign w:val="center"/>
          </w:tcPr>
          <w:p w14:paraId="06F005AF" w14:textId="77777777" w:rsidR="00961AC6" w:rsidRPr="000406CF" w:rsidRDefault="00961AC6" w:rsidP="008A3DB8">
            <w:pPr>
              <w:ind w:firstLine="0"/>
              <w:jc w:val="center"/>
              <w:rPr>
                <w:sz w:val="28"/>
                <w:szCs w:val="28"/>
              </w:rPr>
            </w:pPr>
            <w:r w:rsidRPr="00DA7237">
              <w:rPr>
                <w:sz w:val="28"/>
                <w:szCs w:val="28"/>
              </w:rPr>
              <w:t>31,9</w:t>
            </w:r>
          </w:p>
        </w:tc>
        <w:tc>
          <w:tcPr>
            <w:tcW w:w="992" w:type="dxa"/>
            <w:tcBorders>
              <w:top w:val="single" w:sz="4" w:space="0" w:color="000000"/>
              <w:left w:val="single" w:sz="4" w:space="0" w:color="000000"/>
              <w:bottom w:val="single" w:sz="4" w:space="0" w:color="000000"/>
            </w:tcBorders>
            <w:vAlign w:val="center"/>
          </w:tcPr>
          <w:p w14:paraId="4116B835" w14:textId="77777777" w:rsidR="00961AC6" w:rsidRPr="000406CF" w:rsidRDefault="00961AC6" w:rsidP="008A3DB8">
            <w:pPr>
              <w:ind w:firstLine="0"/>
              <w:jc w:val="center"/>
              <w:rPr>
                <w:sz w:val="28"/>
                <w:szCs w:val="28"/>
              </w:rPr>
            </w:pPr>
            <w:r w:rsidRPr="00DA7237">
              <w:rPr>
                <w:sz w:val="28"/>
                <w:szCs w:val="28"/>
              </w:rPr>
              <w:t>80,3</w:t>
            </w:r>
          </w:p>
        </w:tc>
        <w:tc>
          <w:tcPr>
            <w:tcW w:w="1134" w:type="dxa"/>
            <w:tcBorders>
              <w:top w:val="single" w:sz="4" w:space="0" w:color="000000"/>
              <w:left w:val="single" w:sz="4" w:space="0" w:color="000000"/>
              <w:bottom w:val="single" w:sz="4" w:space="0" w:color="000000"/>
            </w:tcBorders>
            <w:vAlign w:val="center"/>
          </w:tcPr>
          <w:p w14:paraId="1FA5947C" w14:textId="77777777" w:rsidR="00961AC6" w:rsidRPr="000406CF" w:rsidRDefault="00961AC6" w:rsidP="008A3DB8">
            <w:pPr>
              <w:ind w:firstLine="0"/>
              <w:jc w:val="center"/>
              <w:rPr>
                <w:sz w:val="28"/>
                <w:szCs w:val="28"/>
              </w:rPr>
            </w:pPr>
            <w:r w:rsidRPr="00DA7237">
              <w:rPr>
                <w:sz w:val="28"/>
                <w:szCs w:val="28"/>
              </w:rPr>
              <w:t>63,4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E1A9C" w14:textId="1E96C292" w:rsidR="00961AC6" w:rsidRPr="00617F10" w:rsidRDefault="00B659B4" w:rsidP="00C25CD4">
            <w:pPr>
              <w:ind w:firstLine="0"/>
              <w:jc w:val="center"/>
              <w:rPr>
                <w:sz w:val="28"/>
                <w:szCs w:val="28"/>
                <w:highlight w:val="yellow"/>
              </w:rPr>
            </w:pPr>
            <w:r>
              <w:rPr>
                <w:sz w:val="28"/>
                <w:szCs w:val="28"/>
              </w:rPr>
              <w:t>13</w:t>
            </w:r>
            <w:r w:rsidR="00C25CD4">
              <w:rPr>
                <w:sz w:val="28"/>
                <w:szCs w:val="28"/>
              </w:rPr>
              <w:t>7</w:t>
            </w:r>
            <w:r>
              <w:rPr>
                <w:sz w:val="28"/>
                <w:szCs w:val="28"/>
              </w:rPr>
              <w:t>,1</w:t>
            </w:r>
          </w:p>
        </w:tc>
      </w:tr>
      <w:tr w:rsidR="00961AC6" w:rsidRPr="008253D3" w14:paraId="5673568F" w14:textId="77777777" w:rsidTr="008A3DB8">
        <w:tc>
          <w:tcPr>
            <w:tcW w:w="3261" w:type="dxa"/>
            <w:tcBorders>
              <w:top w:val="single" w:sz="4" w:space="0" w:color="000000"/>
              <w:left w:val="single" w:sz="4" w:space="0" w:color="000000"/>
              <w:bottom w:val="single" w:sz="4" w:space="0" w:color="000000"/>
            </w:tcBorders>
          </w:tcPr>
          <w:p w14:paraId="657B1387" w14:textId="77777777" w:rsidR="00961AC6" w:rsidRPr="000406CF" w:rsidRDefault="00961AC6" w:rsidP="008A3DB8">
            <w:pPr>
              <w:ind w:firstLine="0"/>
              <w:rPr>
                <w:sz w:val="28"/>
                <w:szCs w:val="28"/>
              </w:rPr>
            </w:pPr>
            <w:r w:rsidRPr="000406CF">
              <w:rPr>
                <w:sz w:val="28"/>
                <w:szCs w:val="28"/>
              </w:rPr>
              <w:t>Уровень официальной безработицы относительно населения в трудоспособном возрасте (среднегодовой)</w:t>
            </w:r>
          </w:p>
        </w:tc>
        <w:tc>
          <w:tcPr>
            <w:tcW w:w="1417" w:type="dxa"/>
            <w:tcBorders>
              <w:top w:val="single" w:sz="4" w:space="0" w:color="000000"/>
              <w:left w:val="single" w:sz="4" w:space="0" w:color="000000"/>
              <w:bottom w:val="single" w:sz="4" w:space="0" w:color="000000"/>
              <w:right w:val="single" w:sz="4" w:space="0" w:color="000000"/>
            </w:tcBorders>
            <w:vAlign w:val="center"/>
          </w:tcPr>
          <w:p w14:paraId="3DA91056" w14:textId="77777777" w:rsidR="00961AC6" w:rsidRPr="000406CF" w:rsidRDefault="00961AC6" w:rsidP="008A3DB8">
            <w:pPr>
              <w:ind w:firstLine="0"/>
              <w:jc w:val="center"/>
              <w:rPr>
                <w:sz w:val="28"/>
                <w:szCs w:val="28"/>
              </w:rPr>
            </w:pPr>
            <w:r w:rsidRPr="000406CF">
              <w:rPr>
                <w:sz w:val="28"/>
                <w:szCs w:val="28"/>
              </w:rPr>
              <w:t>%</w:t>
            </w:r>
          </w:p>
        </w:tc>
        <w:tc>
          <w:tcPr>
            <w:tcW w:w="1276" w:type="dxa"/>
            <w:tcBorders>
              <w:top w:val="single" w:sz="4" w:space="0" w:color="000000"/>
              <w:left w:val="single" w:sz="4" w:space="0" w:color="000000"/>
              <w:bottom w:val="single" w:sz="4" w:space="0" w:color="000000"/>
            </w:tcBorders>
            <w:vAlign w:val="center"/>
          </w:tcPr>
          <w:p w14:paraId="19E49B78" w14:textId="52B3BAD9" w:rsidR="00961AC6" w:rsidRPr="000406CF" w:rsidRDefault="002312A5" w:rsidP="008A3DB8">
            <w:pPr>
              <w:ind w:firstLine="0"/>
              <w:jc w:val="center"/>
              <w:rPr>
                <w:sz w:val="28"/>
                <w:szCs w:val="28"/>
              </w:rPr>
            </w:pPr>
            <w:r>
              <w:rPr>
                <w:sz w:val="28"/>
                <w:szCs w:val="28"/>
              </w:rPr>
              <w:t>3,41</w:t>
            </w:r>
          </w:p>
        </w:tc>
        <w:tc>
          <w:tcPr>
            <w:tcW w:w="992" w:type="dxa"/>
            <w:tcBorders>
              <w:top w:val="single" w:sz="4" w:space="0" w:color="000000"/>
              <w:left w:val="single" w:sz="4" w:space="0" w:color="000000"/>
              <w:bottom w:val="single" w:sz="4" w:space="0" w:color="000000"/>
            </w:tcBorders>
            <w:vAlign w:val="center"/>
          </w:tcPr>
          <w:p w14:paraId="722D1778" w14:textId="05BBF374" w:rsidR="00961AC6" w:rsidRPr="000406CF" w:rsidRDefault="00B659B4" w:rsidP="008A3DB8">
            <w:pPr>
              <w:ind w:firstLine="0"/>
              <w:jc w:val="center"/>
              <w:rPr>
                <w:sz w:val="28"/>
                <w:szCs w:val="28"/>
              </w:rPr>
            </w:pPr>
            <w:r>
              <w:rPr>
                <w:sz w:val="28"/>
                <w:szCs w:val="28"/>
              </w:rPr>
              <w:t>3,0</w:t>
            </w:r>
          </w:p>
        </w:tc>
        <w:tc>
          <w:tcPr>
            <w:tcW w:w="1134" w:type="dxa"/>
            <w:tcBorders>
              <w:top w:val="single" w:sz="4" w:space="0" w:color="000000"/>
              <w:left w:val="single" w:sz="4" w:space="0" w:color="000000"/>
              <w:bottom w:val="single" w:sz="4" w:space="0" w:color="000000"/>
            </w:tcBorders>
            <w:vAlign w:val="center"/>
          </w:tcPr>
          <w:p w14:paraId="46EA3E5F" w14:textId="63B890A8" w:rsidR="00961AC6" w:rsidRPr="000406CF" w:rsidRDefault="00B659B4" w:rsidP="008A3DB8">
            <w:pPr>
              <w:ind w:firstLine="0"/>
              <w:jc w:val="center"/>
              <w:rPr>
                <w:sz w:val="28"/>
                <w:szCs w:val="28"/>
              </w:rPr>
            </w:pPr>
            <w:r>
              <w:rPr>
                <w:sz w:val="28"/>
                <w:szCs w:val="28"/>
              </w:rPr>
              <w:t>1,47</w:t>
            </w:r>
          </w:p>
        </w:tc>
        <w:tc>
          <w:tcPr>
            <w:tcW w:w="1418" w:type="dxa"/>
            <w:tcBorders>
              <w:top w:val="single" w:sz="4" w:space="0" w:color="000000"/>
              <w:left w:val="single" w:sz="4" w:space="0" w:color="000000"/>
              <w:bottom w:val="single" w:sz="4" w:space="0" w:color="000000"/>
              <w:right w:val="single" w:sz="4" w:space="0" w:color="000000"/>
            </w:tcBorders>
            <w:vAlign w:val="center"/>
          </w:tcPr>
          <w:p w14:paraId="23678C05" w14:textId="32E0416C" w:rsidR="00961AC6" w:rsidRPr="00617F10" w:rsidRDefault="00B659B4" w:rsidP="008A3DB8">
            <w:pPr>
              <w:ind w:firstLine="0"/>
              <w:jc w:val="center"/>
              <w:rPr>
                <w:sz w:val="28"/>
                <w:szCs w:val="28"/>
                <w:highlight w:val="yellow"/>
              </w:rPr>
            </w:pPr>
            <w:r w:rsidRPr="00B659B4">
              <w:rPr>
                <w:sz w:val="28"/>
                <w:szCs w:val="28"/>
              </w:rPr>
              <w:t>1,73</w:t>
            </w:r>
          </w:p>
        </w:tc>
      </w:tr>
      <w:tr w:rsidR="00961AC6" w:rsidRPr="000406CF" w14:paraId="204E5940" w14:textId="77777777" w:rsidTr="008A3DB8">
        <w:tc>
          <w:tcPr>
            <w:tcW w:w="3261" w:type="dxa"/>
            <w:tcBorders>
              <w:top w:val="single" w:sz="4" w:space="0" w:color="000000"/>
              <w:left w:val="single" w:sz="4" w:space="0" w:color="000000"/>
              <w:bottom w:val="single" w:sz="4" w:space="0" w:color="000000"/>
            </w:tcBorders>
          </w:tcPr>
          <w:p w14:paraId="21CC9560" w14:textId="1BCDB2AB" w:rsidR="00961AC6" w:rsidRPr="000406CF" w:rsidRDefault="00961AC6" w:rsidP="008A3DB8">
            <w:pPr>
              <w:ind w:firstLine="0"/>
              <w:rPr>
                <w:sz w:val="28"/>
                <w:szCs w:val="28"/>
              </w:rPr>
            </w:pPr>
            <w:r w:rsidRPr="000406CF">
              <w:rPr>
                <w:sz w:val="28"/>
                <w:szCs w:val="28"/>
              </w:rPr>
              <w:t>Среднемесячная номинальная начисленная заработная плата работников организаций</w:t>
            </w:r>
            <w:r w:rsidR="00B659B4">
              <w:rPr>
                <w:sz w:val="28"/>
                <w:szCs w:val="28"/>
                <w:vertAlign w:val="superscript"/>
              </w:rPr>
              <w:t>3</w:t>
            </w:r>
          </w:p>
        </w:tc>
        <w:tc>
          <w:tcPr>
            <w:tcW w:w="1417" w:type="dxa"/>
            <w:tcBorders>
              <w:top w:val="single" w:sz="4" w:space="0" w:color="000000"/>
              <w:left w:val="single" w:sz="4" w:space="0" w:color="000000"/>
              <w:bottom w:val="single" w:sz="4" w:space="0" w:color="000000"/>
              <w:right w:val="single" w:sz="4" w:space="0" w:color="000000"/>
            </w:tcBorders>
            <w:vAlign w:val="center"/>
          </w:tcPr>
          <w:p w14:paraId="408B4D28" w14:textId="77777777" w:rsidR="00961AC6" w:rsidRPr="000406CF" w:rsidRDefault="00961AC6" w:rsidP="008A3DB8">
            <w:pPr>
              <w:ind w:firstLine="0"/>
              <w:jc w:val="center"/>
              <w:rPr>
                <w:sz w:val="28"/>
                <w:szCs w:val="28"/>
              </w:rPr>
            </w:pPr>
            <w:r w:rsidRPr="000406CF">
              <w:rPr>
                <w:sz w:val="28"/>
                <w:szCs w:val="28"/>
              </w:rPr>
              <w:t>рублей</w:t>
            </w:r>
          </w:p>
        </w:tc>
        <w:tc>
          <w:tcPr>
            <w:tcW w:w="1276" w:type="dxa"/>
            <w:tcBorders>
              <w:top w:val="single" w:sz="4" w:space="0" w:color="000000"/>
              <w:left w:val="single" w:sz="4" w:space="0" w:color="000000"/>
              <w:bottom w:val="single" w:sz="4" w:space="0" w:color="000000"/>
            </w:tcBorders>
            <w:vAlign w:val="center"/>
          </w:tcPr>
          <w:p w14:paraId="3B1BC3BC" w14:textId="78B8F1F0" w:rsidR="00961AC6" w:rsidRPr="000406CF" w:rsidRDefault="002312A5" w:rsidP="008A3DB8">
            <w:pPr>
              <w:ind w:firstLine="0"/>
              <w:jc w:val="center"/>
              <w:rPr>
                <w:sz w:val="28"/>
                <w:szCs w:val="28"/>
              </w:rPr>
            </w:pPr>
            <w:r>
              <w:rPr>
                <w:sz w:val="28"/>
                <w:szCs w:val="28"/>
              </w:rPr>
              <w:t>36014</w:t>
            </w:r>
          </w:p>
        </w:tc>
        <w:tc>
          <w:tcPr>
            <w:tcW w:w="992" w:type="dxa"/>
            <w:tcBorders>
              <w:top w:val="single" w:sz="4" w:space="0" w:color="000000"/>
              <w:left w:val="single" w:sz="4" w:space="0" w:color="000000"/>
              <w:bottom w:val="single" w:sz="4" w:space="0" w:color="000000"/>
            </w:tcBorders>
            <w:vAlign w:val="center"/>
          </w:tcPr>
          <w:p w14:paraId="3330D2B9" w14:textId="1CE14A75" w:rsidR="00961AC6" w:rsidRPr="000406CF" w:rsidRDefault="008A3DB8" w:rsidP="008A3DB8">
            <w:pPr>
              <w:ind w:firstLine="0"/>
              <w:jc w:val="center"/>
              <w:rPr>
                <w:sz w:val="28"/>
                <w:szCs w:val="28"/>
              </w:rPr>
            </w:pPr>
            <w:r>
              <w:rPr>
                <w:sz w:val="28"/>
                <w:szCs w:val="28"/>
              </w:rPr>
              <w:t>37673</w:t>
            </w:r>
          </w:p>
        </w:tc>
        <w:tc>
          <w:tcPr>
            <w:tcW w:w="1134" w:type="dxa"/>
            <w:tcBorders>
              <w:top w:val="single" w:sz="4" w:space="0" w:color="000000"/>
              <w:left w:val="single" w:sz="4" w:space="0" w:color="000000"/>
              <w:bottom w:val="single" w:sz="4" w:space="0" w:color="000000"/>
            </w:tcBorders>
            <w:vAlign w:val="center"/>
          </w:tcPr>
          <w:p w14:paraId="7310CB5C" w14:textId="754A9B7A" w:rsidR="00961AC6" w:rsidRPr="000406CF" w:rsidRDefault="008A3DB8" w:rsidP="008A3DB8">
            <w:pPr>
              <w:ind w:firstLine="0"/>
              <w:jc w:val="center"/>
              <w:rPr>
                <w:sz w:val="28"/>
                <w:szCs w:val="28"/>
              </w:rPr>
            </w:pPr>
            <w:r>
              <w:rPr>
                <w:sz w:val="28"/>
                <w:szCs w:val="28"/>
              </w:rPr>
              <w:t>39758</w:t>
            </w:r>
          </w:p>
        </w:tc>
        <w:tc>
          <w:tcPr>
            <w:tcW w:w="1418" w:type="dxa"/>
            <w:tcBorders>
              <w:top w:val="single" w:sz="4" w:space="0" w:color="000000"/>
              <w:left w:val="single" w:sz="4" w:space="0" w:color="000000"/>
              <w:bottom w:val="single" w:sz="4" w:space="0" w:color="000000"/>
              <w:right w:val="single" w:sz="4" w:space="0" w:color="000000"/>
            </w:tcBorders>
            <w:vAlign w:val="center"/>
          </w:tcPr>
          <w:p w14:paraId="6656858D" w14:textId="09F22434" w:rsidR="00961AC6" w:rsidRPr="00617F10" w:rsidRDefault="008A3DB8" w:rsidP="008A3DB8">
            <w:pPr>
              <w:ind w:firstLine="0"/>
              <w:jc w:val="center"/>
              <w:rPr>
                <w:sz w:val="28"/>
                <w:szCs w:val="28"/>
                <w:highlight w:val="yellow"/>
              </w:rPr>
            </w:pPr>
            <w:r w:rsidRPr="008A3DB8">
              <w:rPr>
                <w:sz w:val="28"/>
                <w:szCs w:val="28"/>
              </w:rPr>
              <w:t>40450</w:t>
            </w:r>
          </w:p>
        </w:tc>
      </w:tr>
      <w:tr w:rsidR="00961AC6" w:rsidRPr="000406CF" w14:paraId="633D148D" w14:textId="77777777" w:rsidTr="008A3DB8">
        <w:tc>
          <w:tcPr>
            <w:tcW w:w="3261" w:type="dxa"/>
            <w:tcBorders>
              <w:top w:val="single" w:sz="4" w:space="0" w:color="000000"/>
              <w:left w:val="single" w:sz="4" w:space="0" w:color="000000"/>
              <w:bottom w:val="single" w:sz="4" w:space="0" w:color="000000"/>
            </w:tcBorders>
          </w:tcPr>
          <w:p w14:paraId="78C2BCB8" w14:textId="77777777" w:rsidR="00961AC6" w:rsidRPr="000406CF" w:rsidRDefault="00961AC6" w:rsidP="008A3DB8">
            <w:pPr>
              <w:ind w:firstLine="0"/>
              <w:rPr>
                <w:sz w:val="28"/>
                <w:szCs w:val="28"/>
              </w:rPr>
            </w:pPr>
            <w:r w:rsidRPr="000406CF">
              <w:rPr>
                <w:sz w:val="28"/>
                <w:szCs w:val="28"/>
              </w:rPr>
              <w:t>Оборот розничной торговли</w:t>
            </w:r>
            <w:r w:rsidRPr="000406CF">
              <w:rPr>
                <w:sz w:val="28"/>
                <w:szCs w:val="28"/>
                <w:vertAlign w:val="superscript"/>
              </w:rPr>
              <w:t>3</w:t>
            </w:r>
          </w:p>
        </w:tc>
        <w:tc>
          <w:tcPr>
            <w:tcW w:w="1417" w:type="dxa"/>
            <w:tcBorders>
              <w:top w:val="single" w:sz="4" w:space="0" w:color="000000"/>
              <w:left w:val="single" w:sz="4" w:space="0" w:color="000000"/>
              <w:bottom w:val="single" w:sz="4" w:space="0" w:color="000000"/>
              <w:right w:val="single" w:sz="4" w:space="0" w:color="000000"/>
            </w:tcBorders>
            <w:vAlign w:val="center"/>
          </w:tcPr>
          <w:p w14:paraId="61CEE231" w14:textId="77777777" w:rsidR="00961AC6" w:rsidRPr="000406CF" w:rsidRDefault="00961AC6" w:rsidP="008A3DB8">
            <w:pPr>
              <w:ind w:firstLine="0"/>
              <w:jc w:val="center"/>
              <w:rPr>
                <w:sz w:val="28"/>
                <w:szCs w:val="28"/>
              </w:rPr>
            </w:pPr>
            <w:r w:rsidRPr="000406CF">
              <w:rPr>
                <w:sz w:val="28"/>
                <w:szCs w:val="28"/>
              </w:rPr>
              <w:t>млрд. рублей</w:t>
            </w:r>
          </w:p>
        </w:tc>
        <w:tc>
          <w:tcPr>
            <w:tcW w:w="1276" w:type="dxa"/>
            <w:tcBorders>
              <w:top w:val="single" w:sz="4" w:space="0" w:color="000000"/>
              <w:left w:val="single" w:sz="4" w:space="0" w:color="000000"/>
              <w:bottom w:val="single" w:sz="4" w:space="0" w:color="000000"/>
            </w:tcBorders>
            <w:vAlign w:val="center"/>
          </w:tcPr>
          <w:p w14:paraId="58C85BAC" w14:textId="77777777" w:rsidR="00961AC6" w:rsidRPr="000406CF" w:rsidRDefault="00961AC6" w:rsidP="008A3DB8">
            <w:pPr>
              <w:ind w:firstLine="0"/>
              <w:jc w:val="center"/>
              <w:rPr>
                <w:sz w:val="28"/>
                <w:szCs w:val="28"/>
              </w:rPr>
            </w:pPr>
            <w:r w:rsidRPr="00DA7237">
              <w:rPr>
                <w:sz w:val="28"/>
                <w:szCs w:val="28"/>
              </w:rPr>
              <w:t>87,0</w:t>
            </w:r>
          </w:p>
        </w:tc>
        <w:tc>
          <w:tcPr>
            <w:tcW w:w="992" w:type="dxa"/>
            <w:tcBorders>
              <w:top w:val="single" w:sz="4" w:space="0" w:color="000000"/>
              <w:left w:val="single" w:sz="4" w:space="0" w:color="000000"/>
              <w:bottom w:val="single" w:sz="4" w:space="0" w:color="000000"/>
            </w:tcBorders>
            <w:vAlign w:val="center"/>
          </w:tcPr>
          <w:p w14:paraId="1971C894" w14:textId="77777777" w:rsidR="00961AC6" w:rsidRPr="000406CF" w:rsidRDefault="00961AC6" w:rsidP="008A3DB8">
            <w:pPr>
              <w:ind w:firstLine="0"/>
              <w:jc w:val="center"/>
              <w:rPr>
                <w:sz w:val="28"/>
                <w:szCs w:val="28"/>
              </w:rPr>
            </w:pPr>
            <w:r w:rsidRPr="00DA7237">
              <w:rPr>
                <w:sz w:val="28"/>
                <w:szCs w:val="28"/>
              </w:rPr>
              <w:t>178,1</w:t>
            </w:r>
          </w:p>
        </w:tc>
        <w:tc>
          <w:tcPr>
            <w:tcW w:w="1134" w:type="dxa"/>
            <w:tcBorders>
              <w:top w:val="single" w:sz="4" w:space="0" w:color="000000"/>
              <w:left w:val="single" w:sz="4" w:space="0" w:color="000000"/>
              <w:bottom w:val="single" w:sz="4" w:space="0" w:color="000000"/>
            </w:tcBorders>
            <w:shd w:val="clear" w:color="auto" w:fill="auto"/>
            <w:vAlign w:val="center"/>
          </w:tcPr>
          <w:p w14:paraId="3D28893E" w14:textId="77777777" w:rsidR="00961AC6" w:rsidRPr="000406CF" w:rsidRDefault="00961AC6" w:rsidP="008A3DB8">
            <w:pPr>
              <w:ind w:firstLine="0"/>
              <w:jc w:val="center"/>
              <w:rPr>
                <w:sz w:val="28"/>
                <w:szCs w:val="28"/>
              </w:rPr>
            </w:pPr>
            <w:r w:rsidRPr="00DA7237">
              <w:rPr>
                <w:sz w:val="28"/>
                <w:szCs w:val="28"/>
              </w:rPr>
              <w:t>91,9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5E132" w14:textId="04829568" w:rsidR="00961AC6" w:rsidRPr="00617F10" w:rsidRDefault="003F4B7B" w:rsidP="008A3DB8">
            <w:pPr>
              <w:ind w:firstLine="0"/>
              <w:jc w:val="center"/>
              <w:rPr>
                <w:sz w:val="28"/>
                <w:szCs w:val="28"/>
                <w:highlight w:val="yellow"/>
              </w:rPr>
            </w:pPr>
            <w:r>
              <w:rPr>
                <w:sz w:val="28"/>
                <w:szCs w:val="28"/>
              </w:rPr>
              <w:t>189,6</w:t>
            </w:r>
          </w:p>
        </w:tc>
      </w:tr>
    </w:tbl>
    <w:p w14:paraId="4121193E" w14:textId="77777777" w:rsidR="00700331" w:rsidRPr="00C44F6A" w:rsidRDefault="00700331" w:rsidP="00C90084">
      <w:pPr>
        <w:pStyle w:val="afb"/>
        <w:widowControl w:val="0"/>
        <w:numPr>
          <w:ilvl w:val="0"/>
          <w:numId w:val="3"/>
        </w:numPr>
        <w:suppressAutoHyphens w:val="0"/>
        <w:spacing w:line="276" w:lineRule="auto"/>
        <w:ind w:left="0" w:firstLine="0"/>
        <w:rPr>
          <w:szCs w:val="24"/>
          <w:shd w:val="clear" w:color="auto" w:fill="FFFFFF"/>
        </w:rPr>
      </w:pPr>
      <w:r w:rsidRPr="00C44F6A">
        <w:rPr>
          <w:szCs w:val="24"/>
          <w:shd w:val="clear" w:color="auto" w:fill="FFFFFF"/>
          <w:vertAlign w:val="superscript"/>
        </w:rPr>
        <w:t xml:space="preserve">1 </w:t>
      </w:r>
      <w:r w:rsidRPr="00C44F6A">
        <w:rPr>
          <w:szCs w:val="24"/>
          <w:shd w:val="clear" w:color="auto" w:fill="FFFFFF"/>
        </w:rPr>
        <w:t>– по организациям, не относящимся к субъектам малого предпринимательства;</w:t>
      </w:r>
    </w:p>
    <w:p w14:paraId="2DD244AE" w14:textId="623BEAE5" w:rsidR="00D401F2" w:rsidRPr="00C44F6A" w:rsidRDefault="00700331" w:rsidP="00C90084">
      <w:pPr>
        <w:pStyle w:val="afb"/>
        <w:widowControl w:val="0"/>
        <w:numPr>
          <w:ilvl w:val="0"/>
          <w:numId w:val="3"/>
        </w:numPr>
        <w:suppressAutoHyphens w:val="0"/>
        <w:spacing w:line="276" w:lineRule="auto"/>
        <w:ind w:left="0" w:firstLine="0"/>
        <w:rPr>
          <w:szCs w:val="24"/>
          <w:shd w:val="clear" w:color="auto" w:fill="FFFFFF"/>
        </w:rPr>
      </w:pPr>
      <w:r w:rsidRPr="00C44F6A">
        <w:rPr>
          <w:szCs w:val="24"/>
          <w:shd w:val="clear" w:color="auto" w:fill="FFFFFF"/>
          <w:vertAlign w:val="superscript"/>
        </w:rPr>
        <w:t>2</w:t>
      </w:r>
      <w:r w:rsidRPr="00C44F6A">
        <w:rPr>
          <w:szCs w:val="24"/>
          <w:shd w:val="clear" w:color="auto" w:fill="FFFFFF"/>
        </w:rPr>
        <w:t xml:space="preserve"> –</w:t>
      </w:r>
      <w:r w:rsidR="00D401F2" w:rsidRPr="00C44F6A">
        <w:rPr>
          <w:szCs w:val="24"/>
          <w:shd w:val="clear" w:color="auto" w:fill="FFFFFF"/>
        </w:rPr>
        <w:t xml:space="preserve"> </w:t>
      </w:r>
      <w:r w:rsidR="00261A6E" w:rsidRPr="00C44F6A">
        <w:rPr>
          <w:szCs w:val="24"/>
          <w:shd w:val="clear" w:color="auto" w:fill="FFFFFF"/>
        </w:rPr>
        <w:t>с учетом инвестиций резидентов ТОСЭР «Тольятти»</w:t>
      </w:r>
      <w:r w:rsidR="00C44F6A" w:rsidRPr="00C44F6A">
        <w:rPr>
          <w:szCs w:val="24"/>
          <w:shd w:val="clear" w:color="auto" w:fill="FFFFFF"/>
        </w:rPr>
        <w:t xml:space="preserve"> и ОЭЗ ППТ «Тольятти»</w:t>
      </w:r>
      <w:r w:rsidR="00D401F2" w:rsidRPr="00C44F6A">
        <w:rPr>
          <w:szCs w:val="24"/>
          <w:shd w:val="clear" w:color="auto" w:fill="FFFFFF"/>
        </w:rPr>
        <w:t>;</w:t>
      </w:r>
      <w:r w:rsidR="00493FC3" w:rsidRPr="00C44F6A">
        <w:rPr>
          <w:szCs w:val="24"/>
          <w:shd w:val="clear" w:color="auto" w:fill="FFFFFF"/>
        </w:rPr>
        <w:t xml:space="preserve"> </w:t>
      </w:r>
    </w:p>
    <w:p w14:paraId="76A182ED" w14:textId="77777777" w:rsidR="00C90084" w:rsidRPr="00C44F6A" w:rsidRDefault="001D3079" w:rsidP="00C90084">
      <w:pPr>
        <w:pStyle w:val="afb"/>
        <w:widowControl w:val="0"/>
        <w:numPr>
          <w:ilvl w:val="0"/>
          <w:numId w:val="3"/>
        </w:numPr>
        <w:suppressAutoHyphens w:val="0"/>
        <w:spacing w:line="276" w:lineRule="auto"/>
        <w:ind w:left="0" w:firstLine="0"/>
        <w:rPr>
          <w:szCs w:val="24"/>
          <w:shd w:val="clear" w:color="auto" w:fill="FFFFFF"/>
        </w:rPr>
      </w:pPr>
      <w:r w:rsidRPr="00C44F6A">
        <w:rPr>
          <w:szCs w:val="24"/>
          <w:shd w:val="clear" w:color="auto" w:fill="FFFFFF"/>
          <w:vertAlign w:val="superscript"/>
        </w:rPr>
        <w:t>3</w:t>
      </w:r>
      <w:r w:rsidR="00C90084" w:rsidRPr="00C44F6A">
        <w:rPr>
          <w:szCs w:val="24"/>
          <w:shd w:val="clear" w:color="auto" w:fill="FFFFFF"/>
        </w:rPr>
        <w:t xml:space="preserve"> – по полному кругу организаций.</w:t>
      </w:r>
    </w:p>
    <w:p w14:paraId="2D28B563" w14:textId="7311EEE0" w:rsidR="00B43D7D" w:rsidRDefault="00B43D7D" w:rsidP="006C4A01">
      <w:pPr>
        <w:spacing w:line="276" w:lineRule="auto"/>
        <w:jc w:val="center"/>
        <w:rPr>
          <w:b/>
          <w:sz w:val="28"/>
          <w:szCs w:val="28"/>
        </w:rPr>
      </w:pPr>
    </w:p>
    <w:p w14:paraId="0DC3510A" w14:textId="77777777" w:rsidR="006C4A01" w:rsidRPr="008A3DB8" w:rsidRDefault="006C4A01" w:rsidP="00974690">
      <w:pPr>
        <w:keepNext/>
        <w:spacing w:line="276" w:lineRule="auto"/>
        <w:jc w:val="center"/>
        <w:rPr>
          <w:b/>
          <w:sz w:val="28"/>
          <w:szCs w:val="28"/>
        </w:rPr>
      </w:pPr>
      <w:r w:rsidRPr="008A3DB8">
        <w:rPr>
          <w:b/>
          <w:sz w:val="28"/>
          <w:szCs w:val="28"/>
        </w:rPr>
        <w:t>Индекс потребительских цен</w:t>
      </w:r>
    </w:p>
    <w:p w14:paraId="14F3FAEC" w14:textId="77777777" w:rsidR="00B23793" w:rsidRDefault="00B23793" w:rsidP="00974690">
      <w:pPr>
        <w:keepNext/>
        <w:suppressAutoHyphens w:val="0"/>
        <w:spacing w:line="276" w:lineRule="auto"/>
        <w:rPr>
          <w:sz w:val="28"/>
          <w:szCs w:val="28"/>
          <w:lang w:eastAsia="ru-RU"/>
        </w:rPr>
      </w:pPr>
    </w:p>
    <w:p w14:paraId="79A2D2F9" w14:textId="24512356" w:rsidR="009D4575" w:rsidRPr="00EE4B91" w:rsidRDefault="009D4575" w:rsidP="00974690">
      <w:pPr>
        <w:keepNext/>
        <w:suppressAutoHyphens w:val="0"/>
        <w:spacing w:line="276" w:lineRule="auto"/>
        <w:rPr>
          <w:sz w:val="28"/>
          <w:szCs w:val="28"/>
          <w:lang w:eastAsia="ru-RU"/>
        </w:rPr>
      </w:pPr>
      <w:r w:rsidRPr="00EE4B91">
        <w:rPr>
          <w:sz w:val="28"/>
          <w:szCs w:val="28"/>
          <w:lang w:eastAsia="ru-RU"/>
        </w:rPr>
        <w:t>В 202</w:t>
      </w:r>
      <w:r w:rsidR="00EE4B91" w:rsidRPr="00EE4B91">
        <w:rPr>
          <w:sz w:val="28"/>
          <w:szCs w:val="28"/>
          <w:lang w:eastAsia="ru-RU"/>
        </w:rPr>
        <w:t>1</w:t>
      </w:r>
      <w:r w:rsidRPr="00EE4B91">
        <w:rPr>
          <w:sz w:val="28"/>
          <w:szCs w:val="28"/>
          <w:lang w:eastAsia="ru-RU"/>
        </w:rPr>
        <w:t xml:space="preserve"> году наблюдается ускорение темпов роста цен на товары и услуги, обусловленное изменением курса иностранных валют. </w:t>
      </w:r>
      <w:r w:rsidR="000D1764" w:rsidRPr="00220E21">
        <w:rPr>
          <w:rFonts w:eastAsia="Calibri"/>
          <w:sz w:val="28"/>
          <w:szCs w:val="28"/>
          <w:lang w:eastAsia="ru-RU"/>
        </w:rPr>
        <w:t>По данным Территориального органа федеральной службы государственной статистики по Самарской области</w:t>
      </w:r>
      <w:r w:rsidR="000D1764" w:rsidRPr="00220E21">
        <w:rPr>
          <w:sz w:val="28"/>
          <w:szCs w:val="28"/>
          <w:lang w:eastAsia="en-US"/>
        </w:rPr>
        <w:t xml:space="preserve"> (далее</w:t>
      </w:r>
      <w:r w:rsidR="0013410D">
        <w:rPr>
          <w:sz w:val="28"/>
          <w:szCs w:val="28"/>
          <w:lang w:eastAsia="en-US"/>
        </w:rPr>
        <w:t xml:space="preserve">  </w:t>
      </w:r>
      <w:r w:rsidR="000D1764" w:rsidRPr="00220E21">
        <w:rPr>
          <w:sz w:val="28"/>
          <w:szCs w:val="28"/>
          <w:lang w:eastAsia="en-US"/>
        </w:rPr>
        <w:t xml:space="preserve">– </w:t>
      </w:r>
      <w:proofErr w:type="spellStart"/>
      <w:r w:rsidR="000D1764" w:rsidRPr="00220E21">
        <w:rPr>
          <w:sz w:val="28"/>
          <w:szCs w:val="28"/>
          <w:lang w:eastAsia="en-US"/>
        </w:rPr>
        <w:t>Самарастат</w:t>
      </w:r>
      <w:proofErr w:type="spellEnd"/>
      <w:r w:rsidR="000D1764" w:rsidRPr="00220E21">
        <w:rPr>
          <w:sz w:val="28"/>
          <w:szCs w:val="28"/>
          <w:lang w:eastAsia="en-US"/>
        </w:rPr>
        <w:t>)</w:t>
      </w:r>
      <w:r w:rsidR="000D1764">
        <w:rPr>
          <w:sz w:val="28"/>
          <w:szCs w:val="28"/>
          <w:lang w:eastAsia="en-US"/>
        </w:rPr>
        <w:t xml:space="preserve"> в</w:t>
      </w:r>
      <w:r w:rsidRPr="00EE4B91">
        <w:rPr>
          <w:sz w:val="28"/>
          <w:szCs w:val="28"/>
          <w:lang w:eastAsia="ru-RU"/>
        </w:rPr>
        <w:t xml:space="preserve"> июне текущего года индекс потребительских цен </w:t>
      </w:r>
      <w:r w:rsidR="008A3DB8">
        <w:rPr>
          <w:sz w:val="28"/>
          <w:szCs w:val="28"/>
          <w:lang w:eastAsia="ru-RU"/>
        </w:rPr>
        <w:t xml:space="preserve">Самарской области </w:t>
      </w:r>
      <w:r w:rsidRPr="00EE4B91">
        <w:rPr>
          <w:sz w:val="28"/>
          <w:szCs w:val="28"/>
          <w:lang w:eastAsia="ru-RU"/>
        </w:rPr>
        <w:t>составил 10</w:t>
      </w:r>
      <w:r w:rsidR="00EE4B91" w:rsidRPr="00EE4B91">
        <w:rPr>
          <w:sz w:val="28"/>
          <w:szCs w:val="28"/>
          <w:lang w:eastAsia="ru-RU"/>
        </w:rPr>
        <w:t>4</w:t>
      </w:r>
      <w:r w:rsidRPr="00EE4B91">
        <w:rPr>
          <w:sz w:val="28"/>
          <w:szCs w:val="28"/>
          <w:lang w:eastAsia="ru-RU"/>
        </w:rPr>
        <w:t>,</w:t>
      </w:r>
      <w:r w:rsidR="00EE4B91" w:rsidRPr="00EE4B91">
        <w:rPr>
          <w:sz w:val="28"/>
          <w:szCs w:val="28"/>
          <w:lang w:eastAsia="ru-RU"/>
        </w:rPr>
        <w:t>4</w:t>
      </w:r>
      <w:r w:rsidRPr="00EE4B91">
        <w:rPr>
          <w:sz w:val="28"/>
          <w:szCs w:val="28"/>
          <w:lang w:eastAsia="ru-RU"/>
        </w:rPr>
        <w:t>% к декабрю 20</w:t>
      </w:r>
      <w:r w:rsidR="00EE4B91" w:rsidRPr="00EE4B91">
        <w:rPr>
          <w:sz w:val="28"/>
          <w:szCs w:val="28"/>
          <w:lang w:eastAsia="ru-RU"/>
        </w:rPr>
        <w:t>20</w:t>
      </w:r>
      <w:r w:rsidRPr="00EE4B91">
        <w:rPr>
          <w:sz w:val="28"/>
          <w:szCs w:val="28"/>
          <w:lang w:eastAsia="ru-RU"/>
        </w:rPr>
        <w:t xml:space="preserve"> года, что незначительно выше среднероссий</w:t>
      </w:r>
      <w:r w:rsidR="00253F67" w:rsidRPr="00EE4B91">
        <w:rPr>
          <w:sz w:val="28"/>
          <w:szCs w:val="28"/>
          <w:lang w:eastAsia="ru-RU"/>
        </w:rPr>
        <w:t>ского уровня (10</w:t>
      </w:r>
      <w:r w:rsidR="00EE4B91" w:rsidRPr="00EE4B91">
        <w:rPr>
          <w:sz w:val="28"/>
          <w:szCs w:val="28"/>
          <w:lang w:eastAsia="ru-RU"/>
        </w:rPr>
        <w:t>4</w:t>
      </w:r>
      <w:r w:rsidR="00253F67" w:rsidRPr="00EE4B91">
        <w:rPr>
          <w:sz w:val="28"/>
          <w:szCs w:val="28"/>
          <w:lang w:eastAsia="ru-RU"/>
        </w:rPr>
        <w:t>,</w:t>
      </w:r>
      <w:r w:rsidR="00EE4B91" w:rsidRPr="00EE4B91">
        <w:rPr>
          <w:sz w:val="28"/>
          <w:szCs w:val="28"/>
          <w:lang w:eastAsia="ru-RU"/>
        </w:rPr>
        <w:t>2</w:t>
      </w:r>
      <w:r w:rsidR="00253F67" w:rsidRPr="00EE4B91">
        <w:rPr>
          <w:sz w:val="28"/>
          <w:szCs w:val="28"/>
          <w:lang w:eastAsia="ru-RU"/>
        </w:rPr>
        <w:t>%).</w:t>
      </w:r>
    </w:p>
    <w:p w14:paraId="768489A6" w14:textId="765BB271" w:rsidR="009D4575" w:rsidRPr="00EE4B91" w:rsidRDefault="009D4575" w:rsidP="009D4575">
      <w:pPr>
        <w:suppressAutoHyphens w:val="0"/>
        <w:autoSpaceDE w:val="0"/>
        <w:autoSpaceDN w:val="0"/>
        <w:adjustRightInd w:val="0"/>
        <w:spacing w:line="276" w:lineRule="auto"/>
        <w:rPr>
          <w:rFonts w:eastAsiaTheme="minorEastAsia"/>
          <w:sz w:val="28"/>
          <w:szCs w:val="28"/>
          <w:lang w:eastAsia="ru-RU"/>
        </w:rPr>
      </w:pPr>
      <w:r w:rsidRPr="00EE4B91">
        <w:rPr>
          <w:rFonts w:eastAsiaTheme="minorEastAsia"/>
          <w:sz w:val="28"/>
          <w:szCs w:val="28"/>
          <w:lang w:eastAsia="ru-RU"/>
        </w:rPr>
        <w:t xml:space="preserve">Цены на продовольственные товары в </w:t>
      </w:r>
      <w:r w:rsidR="0046250A">
        <w:rPr>
          <w:rFonts w:eastAsiaTheme="minorEastAsia"/>
          <w:sz w:val="28"/>
          <w:szCs w:val="28"/>
          <w:lang w:val="en-US" w:eastAsia="ru-RU"/>
        </w:rPr>
        <w:t>I</w:t>
      </w:r>
      <w:r w:rsidRPr="00EE4B91">
        <w:rPr>
          <w:rFonts w:eastAsiaTheme="minorEastAsia"/>
          <w:sz w:val="28"/>
          <w:szCs w:val="28"/>
          <w:lang w:eastAsia="ru-RU"/>
        </w:rPr>
        <w:t xml:space="preserve"> полугодии 202</w:t>
      </w:r>
      <w:r w:rsidR="00EE4B91" w:rsidRPr="00EE4B91">
        <w:rPr>
          <w:rFonts w:eastAsiaTheme="minorEastAsia"/>
          <w:sz w:val="28"/>
          <w:szCs w:val="28"/>
          <w:lang w:eastAsia="ru-RU"/>
        </w:rPr>
        <w:t>1</w:t>
      </w:r>
      <w:r w:rsidRPr="00EE4B91">
        <w:rPr>
          <w:rFonts w:eastAsiaTheme="minorEastAsia"/>
          <w:sz w:val="28"/>
          <w:szCs w:val="28"/>
          <w:lang w:eastAsia="ru-RU"/>
        </w:rPr>
        <w:t xml:space="preserve"> года повысились в среднем на </w:t>
      </w:r>
      <w:r w:rsidR="00EE4B91" w:rsidRPr="00EE4B91">
        <w:rPr>
          <w:rFonts w:eastAsiaTheme="minorEastAsia"/>
          <w:sz w:val="28"/>
          <w:szCs w:val="28"/>
          <w:lang w:eastAsia="ru-RU"/>
        </w:rPr>
        <w:t>6</w:t>
      </w:r>
      <w:r w:rsidRPr="00EE4B91">
        <w:rPr>
          <w:rFonts w:eastAsiaTheme="minorEastAsia"/>
          <w:sz w:val="28"/>
          <w:szCs w:val="28"/>
          <w:lang w:eastAsia="ru-RU"/>
        </w:rPr>
        <w:t>,</w:t>
      </w:r>
      <w:r w:rsidR="00EE4B91" w:rsidRPr="00EE4B91">
        <w:rPr>
          <w:rFonts w:eastAsiaTheme="minorEastAsia"/>
          <w:sz w:val="28"/>
          <w:szCs w:val="28"/>
          <w:lang w:eastAsia="ru-RU"/>
        </w:rPr>
        <w:t>4</w:t>
      </w:r>
      <w:r w:rsidRPr="00EE4B91">
        <w:rPr>
          <w:rFonts w:eastAsiaTheme="minorEastAsia"/>
          <w:sz w:val="28"/>
          <w:szCs w:val="28"/>
          <w:lang w:eastAsia="ru-RU"/>
        </w:rPr>
        <w:t xml:space="preserve">%, на непродовольственные товары – </w:t>
      </w:r>
      <w:r w:rsidR="00EE4B91" w:rsidRPr="00EE4B91">
        <w:rPr>
          <w:rFonts w:eastAsiaTheme="minorEastAsia"/>
          <w:sz w:val="28"/>
          <w:szCs w:val="28"/>
          <w:lang w:eastAsia="ru-RU"/>
        </w:rPr>
        <w:t>4</w:t>
      </w:r>
      <w:r w:rsidRPr="00EE4B91">
        <w:rPr>
          <w:rFonts w:eastAsiaTheme="minorEastAsia"/>
          <w:sz w:val="28"/>
          <w:szCs w:val="28"/>
          <w:lang w:eastAsia="ru-RU"/>
        </w:rPr>
        <w:t>,</w:t>
      </w:r>
      <w:r w:rsidR="00EE4B91" w:rsidRPr="00EE4B91">
        <w:rPr>
          <w:rFonts w:eastAsiaTheme="minorEastAsia"/>
          <w:sz w:val="28"/>
          <w:szCs w:val="28"/>
          <w:lang w:eastAsia="ru-RU"/>
        </w:rPr>
        <w:t>3</w:t>
      </w:r>
      <w:r w:rsidRPr="00EE4B91">
        <w:rPr>
          <w:rFonts w:eastAsiaTheme="minorEastAsia"/>
          <w:sz w:val="28"/>
          <w:szCs w:val="28"/>
          <w:lang w:eastAsia="ru-RU"/>
        </w:rPr>
        <w:t>% и платные услуги — на 1,</w:t>
      </w:r>
      <w:r w:rsidR="00EE4B91" w:rsidRPr="00EE4B91">
        <w:rPr>
          <w:rFonts w:eastAsiaTheme="minorEastAsia"/>
          <w:sz w:val="28"/>
          <w:szCs w:val="28"/>
          <w:lang w:eastAsia="ru-RU"/>
        </w:rPr>
        <w:t>9</w:t>
      </w:r>
      <w:r w:rsidRPr="00EE4B91">
        <w:rPr>
          <w:rFonts w:eastAsiaTheme="minorEastAsia"/>
          <w:sz w:val="28"/>
          <w:szCs w:val="28"/>
          <w:lang w:eastAsia="ru-RU"/>
        </w:rPr>
        <w:t>%.</w:t>
      </w:r>
    </w:p>
    <w:p w14:paraId="55A1946C" w14:textId="77777777" w:rsidR="009D4575" w:rsidRPr="00EE4B91" w:rsidRDefault="009D4575" w:rsidP="009D4575">
      <w:pPr>
        <w:suppressAutoHyphens w:val="0"/>
        <w:autoSpaceDE w:val="0"/>
        <w:autoSpaceDN w:val="0"/>
        <w:adjustRightInd w:val="0"/>
        <w:spacing w:line="276" w:lineRule="auto"/>
        <w:rPr>
          <w:rFonts w:eastAsiaTheme="minorEastAsia"/>
          <w:sz w:val="28"/>
          <w:szCs w:val="28"/>
          <w:lang w:eastAsia="ru-RU"/>
        </w:rPr>
      </w:pPr>
      <w:r w:rsidRPr="00EE4B91">
        <w:rPr>
          <w:rFonts w:eastAsiaTheme="minorEastAsia"/>
          <w:sz w:val="28"/>
          <w:szCs w:val="28"/>
          <w:lang w:eastAsia="ru-RU"/>
        </w:rPr>
        <w:t xml:space="preserve">Так, </w:t>
      </w:r>
      <w:r w:rsidR="00EE4B91" w:rsidRPr="00EE4B91">
        <w:rPr>
          <w:rFonts w:eastAsiaTheme="minorEastAsia"/>
          <w:sz w:val="28"/>
          <w:szCs w:val="28"/>
          <w:lang w:eastAsia="ru-RU"/>
        </w:rPr>
        <w:t xml:space="preserve">мясо и птица подорожали на 9,6%, </w:t>
      </w:r>
      <w:r w:rsidRPr="00EE4B91">
        <w:rPr>
          <w:rFonts w:eastAsiaTheme="minorEastAsia"/>
          <w:sz w:val="28"/>
          <w:szCs w:val="28"/>
          <w:lang w:eastAsia="ru-RU"/>
        </w:rPr>
        <w:t>рыба и морепродукты</w:t>
      </w:r>
      <w:r w:rsidR="00EE4B91" w:rsidRPr="00EE4B91">
        <w:rPr>
          <w:rFonts w:eastAsiaTheme="minorEastAsia"/>
          <w:sz w:val="28"/>
          <w:szCs w:val="28"/>
          <w:lang w:eastAsia="ru-RU"/>
        </w:rPr>
        <w:t xml:space="preserve"> -</w:t>
      </w:r>
      <w:r w:rsidRPr="00EE4B91">
        <w:rPr>
          <w:rFonts w:eastAsiaTheme="minorEastAsia"/>
          <w:sz w:val="28"/>
          <w:szCs w:val="28"/>
          <w:lang w:eastAsia="ru-RU"/>
        </w:rPr>
        <w:t xml:space="preserve"> на </w:t>
      </w:r>
      <w:r w:rsidR="00EE4B91" w:rsidRPr="00EE4B91">
        <w:rPr>
          <w:rFonts w:eastAsiaTheme="minorEastAsia"/>
          <w:sz w:val="28"/>
          <w:szCs w:val="28"/>
          <w:lang w:eastAsia="ru-RU"/>
        </w:rPr>
        <w:t>7,7</w:t>
      </w:r>
      <w:r w:rsidRPr="00EE4B91">
        <w:rPr>
          <w:rFonts w:eastAsiaTheme="minorEastAsia"/>
          <w:sz w:val="28"/>
          <w:szCs w:val="28"/>
          <w:lang w:eastAsia="ru-RU"/>
        </w:rPr>
        <w:t>%, мо</w:t>
      </w:r>
      <w:r w:rsidR="00EE4B91" w:rsidRPr="00EE4B91">
        <w:rPr>
          <w:rFonts w:eastAsiaTheme="minorEastAsia"/>
          <w:sz w:val="28"/>
          <w:szCs w:val="28"/>
          <w:lang w:eastAsia="ru-RU"/>
        </w:rPr>
        <w:t>локо и молочная продукция – на 3</w:t>
      </w:r>
      <w:r w:rsidRPr="00EE4B91">
        <w:rPr>
          <w:rFonts w:eastAsiaTheme="minorEastAsia"/>
          <w:sz w:val="28"/>
          <w:szCs w:val="28"/>
          <w:lang w:eastAsia="ru-RU"/>
        </w:rPr>
        <w:t>,</w:t>
      </w:r>
      <w:r w:rsidR="00EE4B91" w:rsidRPr="00EE4B91">
        <w:rPr>
          <w:rFonts w:eastAsiaTheme="minorEastAsia"/>
          <w:sz w:val="28"/>
          <w:szCs w:val="28"/>
          <w:lang w:eastAsia="ru-RU"/>
        </w:rPr>
        <w:t>3</w:t>
      </w:r>
      <w:r w:rsidRPr="00EE4B91">
        <w:rPr>
          <w:rFonts w:eastAsiaTheme="minorEastAsia"/>
          <w:sz w:val="28"/>
          <w:szCs w:val="28"/>
          <w:lang w:eastAsia="ru-RU"/>
        </w:rPr>
        <w:t xml:space="preserve">%, хлеб и хлебобулочные изделия – на </w:t>
      </w:r>
      <w:r w:rsidR="00EE4B91" w:rsidRPr="00EE4B91">
        <w:rPr>
          <w:rFonts w:eastAsiaTheme="minorEastAsia"/>
          <w:sz w:val="28"/>
          <w:szCs w:val="28"/>
          <w:lang w:eastAsia="ru-RU"/>
        </w:rPr>
        <w:t>5</w:t>
      </w:r>
      <w:r w:rsidRPr="00EE4B91">
        <w:rPr>
          <w:rFonts w:eastAsiaTheme="minorEastAsia"/>
          <w:sz w:val="28"/>
          <w:szCs w:val="28"/>
          <w:lang w:eastAsia="ru-RU"/>
        </w:rPr>
        <w:t>,</w:t>
      </w:r>
      <w:r w:rsidR="00EE4B91" w:rsidRPr="00EE4B91">
        <w:rPr>
          <w:rFonts w:eastAsiaTheme="minorEastAsia"/>
          <w:sz w:val="28"/>
          <w:szCs w:val="28"/>
          <w:lang w:eastAsia="ru-RU"/>
        </w:rPr>
        <w:t>1</w:t>
      </w:r>
      <w:r w:rsidRPr="00EE4B91">
        <w:rPr>
          <w:rFonts w:eastAsiaTheme="minorEastAsia"/>
          <w:sz w:val="28"/>
          <w:szCs w:val="28"/>
          <w:lang w:eastAsia="ru-RU"/>
        </w:rPr>
        <w:t xml:space="preserve">%, плодоовощная продукция, включая картофель – на </w:t>
      </w:r>
      <w:r w:rsidR="00EE4B91" w:rsidRPr="00EE4B91">
        <w:rPr>
          <w:rFonts w:eastAsiaTheme="minorEastAsia"/>
          <w:sz w:val="28"/>
          <w:szCs w:val="28"/>
          <w:lang w:eastAsia="ru-RU"/>
        </w:rPr>
        <w:t>17</w:t>
      </w:r>
      <w:r w:rsidRPr="00EE4B91">
        <w:rPr>
          <w:rFonts w:eastAsiaTheme="minorEastAsia"/>
          <w:sz w:val="28"/>
          <w:szCs w:val="28"/>
          <w:lang w:eastAsia="ru-RU"/>
        </w:rPr>
        <w:t xml:space="preserve">%. </w:t>
      </w:r>
      <w:r w:rsidRPr="00EE4B91">
        <w:rPr>
          <w:rFonts w:eastAsiaTheme="minorEastAsia"/>
          <w:sz w:val="28"/>
          <w:szCs w:val="28"/>
          <w:lang w:eastAsia="ru-RU"/>
        </w:rPr>
        <w:lastRenderedPageBreak/>
        <w:t>Продолжилось увеличение розничных цен на автомобильное топливо. Снижение цен наблюдалось на яйца – на 1</w:t>
      </w:r>
      <w:r w:rsidR="00EE4B91" w:rsidRPr="00EE4B91">
        <w:rPr>
          <w:rFonts w:eastAsiaTheme="minorEastAsia"/>
          <w:sz w:val="28"/>
          <w:szCs w:val="28"/>
          <w:lang w:eastAsia="ru-RU"/>
        </w:rPr>
        <w:t>9</w:t>
      </w:r>
      <w:r w:rsidRPr="00EE4B91">
        <w:rPr>
          <w:rFonts w:eastAsiaTheme="minorEastAsia"/>
          <w:sz w:val="28"/>
          <w:szCs w:val="28"/>
          <w:lang w:eastAsia="ru-RU"/>
        </w:rPr>
        <w:t>,</w:t>
      </w:r>
      <w:r w:rsidR="00EE4B91" w:rsidRPr="00EE4B91">
        <w:rPr>
          <w:rFonts w:eastAsiaTheme="minorEastAsia"/>
          <w:sz w:val="28"/>
          <w:szCs w:val="28"/>
          <w:lang w:eastAsia="ru-RU"/>
        </w:rPr>
        <w:t>1</w:t>
      </w:r>
      <w:r w:rsidRPr="00EE4B91">
        <w:rPr>
          <w:rFonts w:eastAsiaTheme="minorEastAsia"/>
          <w:sz w:val="28"/>
          <w:szCs w:val="28"/>
          <w:lang w:eastAsia="ru-RU"/>
        </w:rPr>
        <w:t>%.</w:t>
      </w:r>
    </w:p>
    <w:p w14:paraId="32C7DB76" w14:textId="77777777" w:rsidR="009D4575" w:rsidRPr="008253D3" w:rsidRDefault="009D4575" w:rsidP="009D4575">
      <w:pPr>
        <w:suppressAutoHyphens w:val="0"/>
        <w:spacing w:line="276" w:lineRule="auto"/>
        <w:rPr>
          <w:sz w:val="28"/>
          <w:szCs w:val="28"/>
          <w:highlight w:val="yellow"/>
          <w:lang w:eastAsia="ru-RU"/>
        </w:rPr>
      </w:pPr>
      <w:r w:rsidRPr="00CA1205">
        <w:rPr>
          <w:rFonts w:eastAsiaTheme="minorEastAsia"/>
          <w:sz w:val="28"/>
          <w:szCs w:val="28"/>
          <w:lang w:eastAsia="ru-RU"/>
        </w:rPr>
        <w:t>Стоимость условного (минимального) набора продуктов питания в июне 202</w:t>
      </w:r>
      <w:r w:rsidR="00EE4B91" w:rsidRPr="00CA1205">
        <w:rPr>
          <w:rFonts w:eastAsiaTheme="minorEastAsia"/>
          <w:sz w:val="28"/>
          <w:szCs w:val="28"/>
          <w:lang w:eastAsia="ru-RU"/>
        </w:rPr>
        <w:t>1</w:t>
      </w:r>
      <w:r w:rsidRPr="00CA1205">
        <w:rPr>
          <w:rFonts w:eastAsiaTheme="minorEastAsia"/>
          <w:sz w:val="28"/>
          <w:szCs w:val="28"/>
          <w:lang w:eastAsia="ru-RU"/>
        </w:rPr>
        <w:t xml:space="preserve"> года составила в городском округе Тольятти </w:t>
      </w:r>
      <w:r w:rsidR="00EE4B91" w:rsidRPr="00CA1205">
        <w:rPr>
          <w:rFonts w:eastAsiaTheme="minorEastAsia"/>
          <w:sz w:val="28"/>
          <w:szCs w:val="28"/>
          <w:lang w:eastAsia="ru-RU"/>
        </w:rPr>
        <w:t>5 092,8</w:t>
      </w:r>
      <w:r w:rsidRPr="00CA1205">
        <w:rPr>
          <w:rFonts w:eastAsiaTheme="minorEastAsia"/>
          <w:sz w:val="28"/>
          <w:szCs w:val="28"/>
          <w:lang w:eastAsia="ru-RU"/>
        </w:rPr>
        <w:t xml:space="preserve"> рубл</w:t>
      </w:r>
      <w:r w:rsidR="00CA1205" w:rsidRPr="00CA1205">
        <w:rPr>
          <w:rFonts w:eastAsiaTheme="minorEastAsia"/>
          <w:sz w:val="28"/>
          <w:szCs w:val="28"/>
          <w:lang w:eastAsia="ru-RU"/>
        </w:rPr>
        <w:t>я</w:t>
      </w:r>
      <w:r w:rsidRPr="00CA1205">
        <w:rPr>
          <w:rFonts w:eastAsiaTheme="minorEastAsia"/>
          <w:sz w:val="28"/>
          <w:szCs w:val="28"/>
          <w:lang w:eastAsia="ru-RU"/>
        </w:rPr>
        <w:t xml:space="preserve"> в расчете на месяц, что ниже, чем в целом по Самарской области на 1</w:t>
      </w:r>
      <w:r w:rsidR="00CA1205" w:rsidRPr="00CA1205">
        <w:rPr>
          <w:rFonts w:eastAsiaTheme="minorEastAsia"/>
          <w:sz w:val="28"/>
          <w:szCs w:val="28"/>
          <w:lang w:eastAsia="ru-RU"/>
        </w:rPr>
        <w:t>18</w:t>
      </w:r>
      <w:r w:rsidRPr="00CA1205">
        <w:rPr>
          <w:rFonts w:eastAsiaTheme="minorEastAsia"/>
          <w:sz w:val="28"/>
          <w:szCs w:val="28"/>
          <w:lang w:eastAsia="ru-RU"/>
        </w:rPr>
        <w:t>,</w:t>
      </w:r>
      <w:r w:rsidR="00CA1205" w:rsidRPr="00CA1205">
        <w:rPr>
          <w:rFonts w:eastAsiaTheme="minorEastAsia"/>
          <w:sz w:val="28"/>
          <w:szCs w:val="28"/>
          <w:lang w:eastAsia="ru-RU"/>
        </w:rPr>
        <w:t>8</w:t>
      </w:r>
      <w:r w:rsidRPr="00CA1205">
        <w:rPr>
          <w:rFonts w:eastAsiaTheme="minorEastAsia"/>
          <w:sz w:val="28"/>
          <w:szCs w:val="28"/>
          <w:lang w:eastAsia="ru-RU"/>
        </w:rPr>
        <w:t xml:space="preserve"> рубл</w:t>
      </w:r>
      <w:r w:rsidR="00CA1205" w:rsidRPr="00CA1205">
        <w:rPr>
          <w:rFonts w:eastAsiaTheme="minorEastAsia"/>
          <w:sz w:val="28"/>
          <w:szCs w:val="28"/>
          <w:lang w:eastAsia="ru-RU"/>
        </w:rPr>
        <w:t>ей</w:t>
      </w:r>
      <w:r w:rsidRPr="00CA1205">
        <w:rPr>
          <w:rFonts w:eastAsiaTheme="minorEastAsia"/>
          <w:sz w:val="28"/>
          <w:szCs w:val="28"/>
          <w:lang w:eastAsia="ru-RU"/>
        </w:rPr>
        <w:t xml:space="preserve"> (для сравнения, в среднем по Российской Федерации стоимость минимального набора продуктов питания со</w:t>
      </w:r>
      <w:r w:rsidR="00253F67" w:rsidRPr="00CA1205">
        <w:rPr>
          <w:rFonts w:eastAsiaTheme="minorEastAsia"/>
          <w:sz w:val="28"/>
          <w:szCs w:val="28"/>
          <w:lang w:eastAsia="ru-RU"/>
        </w:rPr>
        <w:t xml:space="preserve">ставила </w:t>
      </w:r>
      <w:r w:rsidR="00CA1205" w:rsidRPr="00CA1205">
        <w:rPr>
          <w:rFonts w:eastAsiaTheme="minorEastAsia"/>
          <w:sz w:val="28"/>
          <w:szCs w:val="28"/>
          <w:lang w:eastAsia="ru-RU"/>
        </w:rPr>
        <w:t>5 183,9</w:t>
      </w:r>
      <w:r w:rsidR="00253F67" w:rsidRPr="00CA1205">
        <w:rPr>
          <w:rFonts w:eastAsiaTheme="minorEastAsia"/>
          <w:sz w:val="28"/>
          <w:szCs w:val="28"/>
          <w:lang w:eastAsia="ru-RU"/>
        </w:rPr>
        <w:t> </w:t>
      </w:r>
      <w:r w:rsidRPr="00CA1205">
        <w:rPr>
          <w:rFonts w:eastAsiaTheme="minorEastAsia"/>
          <w:sz w:val="28"/>
          <w:szCs w:val="28"/>
          <w:lang w:eastAsia="ru-RU"/>
        </w:rPr>
        <w:t>рублей).</w:t>
      </w:r>
    </w:p>
    <w:p w14:paraId="383B0ABF" w14:textId="0A6C38B3" w:rsidR="009D4575" w:rsidRDefault="009D4575" w:rsidP="009D4575">
      <w:pPr>
        <w:suppressAutoHyphens w:val="0"/>
        <w:spacing w:line="276" w:lineRule="auto"/>
        <w:rPr>
          <w:sz w:val="28"/>
          <w:szCs w:val="28"/>
          <w:lang w:eastAsia="ru-RU"/>
        </w:rPr>
      </w:pPr>
      <w:r w:rsidRPr="00BE37E1">
        <w:rPr>
          <w:sz w:val="28"/>
          <w:szCs w:val="28"/>
          <w:lang w:eastAsia="ru-RU"/>
        </w:rPr>
        <w:t>Во второй половине 202</w:t>
      </w:r>
      <w:r w:rsidR="00CA1205" w:rsidRPr="00BE37E1">
        <w:rPr>
          <w:sz w:val="28"/>
          <w:szCs w:val="28"/>
          <w:lang w:eastAsia="ru-RU"/>
        </w:rPr>
        <w:t>1</w:t>
      </w:r>
      <w:r w:rsidRPr="00BE37E1">
        <w:rPr>
          <w:sz w:val="28"/>
          <w:szCs w:val="28"/>
          <w:lang w:eastAsia="ru-RU"/>
        </w:rPr>
        <w:t xml:space="preserve"> года </w:t>
      </w:r>
      <w:r w:rsidR="00B23793">
        <w:rPr>
          <w:sz w:val="28"/>
          <w:szCs w:val="28"/>
          <w:lang w:eastAsia="ru-RU"/>
        </w:rPr>
        <w:t>наблюдается</w:t>
      </w:r>
      <w:r w:rsidRPr="00BE37E1">
        <w:rPr>
          <w:sz w:val="28"/>
          <w:szCs w:val="28"/>
          <w:lang w:eastAsia="ru-RU"/>
        </w:rPr>
        <w:t xml:space="preserve"> увеличение темпов потребительской инфляции на фоне влияния восстановления потребительского спроса, индексации тарифов с 1 июля текущего года, а также низкой базы второй полов</w:t>
      </w:r>
      <w:r w:rsidR="00253F67" w:rsidRPr="00BE37E1">
        <w:rPr>
          <w:sz w:val="28"/>
          <w:szCs w:val="28"/>
          <w:lang w:eastAsia="ru-RU"/>
        </w:rPr>
        <w:t>ины прошлого года.</w:t>
      </w:r>
    </w:p>
    <w:p w14:paraId="057DB285" w14:textId="519A7D1C" w:rsidR="00BE37E1" w:rsidRPr="00BE37E1" w:rsidRDefault="00BE37E1" w:rsidP="009D4575">
      <w:pPr>
        <w:suppressAutoHyphens w:val="0"/>
        <w:spacing w:line="276" w:lineRule="auto"/>
        <w:rPr>
          <w:sz w:val="28"/>
          <w:szCs w:val="28"/>
          <w:lang w:eastAsia="ru-RU"/>
        </w:rPr>
      </w:pPr>
      <w:r>
        <w:rPr>
          <w:sz w:val="28"/>
          <w:szCs w:val="28"/>
          <w:lang w:eastAsia="ru-RU"/>
        </w:rPr>
        <w:t xml:space="preserve">Так, </w:t>
      </w:r>
      <w:r w:rsidR="004C28D5">
        <w:rPr>
          <w:sz w:val="28"/>
          <w:szCs w:val="28"/>
          <w:lang w:eastAsia="ru-RU"/>
        </w:rPr>
        <w:t xml:space="preserve">в </w:t>
      </w:r>
      <w:r w:rsidR="00B23793">
        <w:rPr>
          <w:sz w:val="28"/>
          <w:szCs w:val="28"/>
          <w:lang w:eastAsia="ru-RU"/>
        </w:rPr>
        <w:t>сентябре</w:t>
      </w:r>
      <w:r>
        <w:rPr>
          <w:sz w:val="28"/>
          <w:szCs w:val="28"/>
          <w:lang w:eastAsia="ru-RU"/>
        </w:rPr>
        <w:t xml:space="preserve"> 2021 года </w:t>
      </w:r>
      <w:r w:rsidRPr="00EE4B91">
        <w:rPr>
          <w:sz w:val="28"/>
          <w:szCs w:val="28"/>
          <w:lang w:eastAsia="ru-RU"/>
        </w:rPr>
        <w:t xml:space="preserve">индекс потребительских цен </w:t>
      </w:r>
      <w:r>
        <w:rPr>
          <w:sz w:val="28"/>
          <w:szCs w:val="28"/>
          <w:lang w:eastAsia="ru-RU"/>
        </w:rPr>
        <w:t xml:space="preserve">Самарской области </w:t>
      </w:r>
      <w:r w:rsidRPr="00EE4B91">
        <w:rPr>
          <w:sz w:val="28"/>
          <w:szCs w:val="28"/>
          <w:lang w:eastAsia="ru-RU"/>
        </w:rPr>
        <w:t xml:space="preserve">составил </w:t>
      </w:r>
      <w:r w:rsidR="003D6FC4" w:rsidRPr="003D6FC4">
        <w:rPr>
          <w:sz w:val="28"/>
          <w:szCs w:val="28"/>
          <w:lang w:eastAsia="ru-RU"/>
        </w:rPr>
        <w:t>105,9</w:t>
      </w:r>
      <w:r w:rsidR="00DA1343" w:rsidRPr="003D6FC4">
        <w:rPr>
          <w:sz w:val="28"/>
          <w:szCs w:val="28"/>
          <w:lang w:eastAsia="ru-RU"/>
        </w:rPr>
        <w:t>%.</w:t>
      </w:r>
      <w:r w:rsidR="00F04E6E">
        <w:rPr>
          <w:sz w:val="28"/>
          <w:szCs w:val="28"/>
          <w:lang w:eastAsia="ru-RU"/>
        </w:rPr>
        <w:t xml:space="preserve"> При этом цены на продовольственные товары повысились в среднем на </w:t>
      </w:r>
      <w:r w:rsidR="003D6FC4">
        <w:rPr>
          <w:sz w:val="28"/>
          <w:szCs w:val="28"/>
          <w:lang w:eastAsia="ru-RU"/>
        </w:rPr>
        <w:t>6,9</w:t>
      </w:r>
      <w:r w:rsidR="00F04E6E">
        <w:rPr>
          <w:sz w:val="28"/>
          <w:szCs w:val="28"/>
          <w:lang w:eastAsia="ru-RU"/>
        </w:rPr>
        <w:t xml:space="preserve">%, на непродовольственные товары – </w:t>
      </w:r>
      <w:r w:rsidR="003D6FC4">
        <w:rPr>
          <w:sz w:val="28"/>
          <w:szCs w:val="28"/>
          <w:lang w:eastAsia="ru-RU"/>
        </w:rPr>
        <w:t>7,3</w:t>
      </w:r>
      <w:r w:rsidR="00F04E6E">
        <w:rPr>
          <w:sz w:val="28"/>
          <w:szCs w:val="28"/>
          <w:lang w:eastAsia="ru-RU"/>
        </w:rPr>
        <w:t>% и платные услуги – на 2,</w:t>
      </w:r>
      <w:r w:rsidR="003D6FC4">
        <w:rPr>
          <w:sz w:val="28"/>
          <w:szCs w:val="28"/>
          <w:lang w:eastAsia="ru-RU"/>
        </w:rPr>
        <w:t>7</w:t>
      </w:r>
      <w:r w:rsidR="00F04E6E">
        <w:rPr>
          <w:sz w:val="28"/>
          <w:szCs w:val="28"/>
          <w:lang w:eastAsia="ru-RU"/>
        </w:rPr>
        <w:t>%.</w:t>
      </w:r>
    </w:p>
    <w:p w14:paraId="4C1802CC" w14:textId="68FEAEC3" w:rsidR="009D4575" w:rsidRPr="00CA1205" w:rsidRDefault="009D4575" w:rsidP="009D4575">
      <w:pPr>
        <w:spacing w:line="276" w:lineRule="auto"/>
        <w:rPr>
          <w:sz w:val="28"/>
          <w:szCs w:val="28"/>
        </w:rPr>
      </w:pPr>
      <w:r w:rsidRPr="00CA1205">
        <w:rPr>
          <w:sz w:val="28"/>
          <w:szCs w:val="28"/>
        </w:rPr>
        <w:t>Согласно Сценарным условиям социально-экономического развития Самарской области на 202</w:t>
      </w:r>
      <w:r w:rsidR="00CA1205" w:rsidRPr="00CA1205">
        <w:rPr>
          <w:sz w:val="28"/>
          <w:szCs w:val="28"/>
        </w:rPr>
        <w:t>2</w:t>
      </w:r>
      <w:r w:rsidRPr="00CA1205">
        <w:rPr>
          <w:sz w:val="28"/>
          <w:szCs w:val="28"/>
        </w:rPr>
        <w:t xml:space="preserve"> год и плановый период 202</w:t>
      </w:r>
      <w:r w:rsidR="00CA1205" w:rsidRPr="00CA1205">
        <w:rPr>
          <w:sz w:val="28"/>
          <w:szCs w:val="28"/>
        </w:rPr>
        <w:t>3</w:t>
      </w:r>
      <w:r w:rsidRPr="00CA1205">
        <w:rPr>
          <w:sz w:val="28"/>
          <w:szCs w:val="28"/>
        </w:rPr>
        <w:t xml:space="preserve"> и 202</w:t>
      </w:r>
      <w:r w:rsidR="00CA1205" w:rsidRPr="00CA1205">
        <w:rPr>
          <w:sz w:val="28"/>
          <w:szCs w:val="28"/>
        </w:rPr>
        <w:t>4</w:t>
      </w:r>
      <w:r w:rsidRPr="00CA1205">
        <w:rPr>
          <w:sz w:val="28"/>
          <w:szCs w:val="28"/>
        </w:rPr>
        <w:t xml:space="preserve"> годов (далее – Сценарные условия</w:t>
      </w:r>
      <w:r w:rsidR="00B54078" w:rsidRPr="00CA1205">
        <w:rPr>
          <w:sz w:val="28"/>
          <w:szCs w:val="28"/>
        </w:rPr>
        <w:t xml:space="preserve"> Самарской области</w:t>
      </w:r>
      <w:r w:rsidRPr="00CA1205">
        <w:rPr>
          <w:sz w:val="28"/>
          <w:szCs w:val="28"/>
        </w:rPr>
        <w:t xml:space="preserve">) </w:t>
      </w:r>
      <w:r w:rsidR="00597F88">
        <w:rPr>
          <w:sz w:val="28"/>
          <w:szCs w:val="28"/>
        </w:rPr>
        <w:t xml:space="preserve">в целях расчета по ряду показателей прогноза </w:t>
      </w:r>
      <w:r w:rsidRPr="00CA1205">
        <w:rPr>
          <w:sz w:val="28"/>
          <w:szCs w:val="28"/>
        </w:rPr>
        <w:t>уровень инфляции в целом за 202</w:t>
      </w:r>
      <w:r w:rsidR="00CA1205" w:rsidRPr="00CA1205">
        <w:rPr>
          <w:sz w:val="28"/>
          <w:szCs w:val="28"/>
        </w:rPr>
        <w:t>1</w:t>
      </w:r>
      <w:r w:rsidRPr="00CA1205">
        <w:rPr>
          <w:sz w:val="28"/>
          <w:szCs w:val="28"/>
        </w:rPr>
        <w:t xml:space="preserve"> год </w:t>
      </w:r>
      <w:r w:rsidR="00B23793">
        <w:rPr>
          <w:sz w:val="28"/>
          <w:szCs w:val="28"/>
        </w:rPr>
        <w:t>принят</w:t>
      </w:r>
      <w:r w:rsidRPr="00CA1205">
        <w:rPr>
          <w:sz w:val="28"/>
          <w:szCs w:val="28"/>
        </w:rPr>
        <w:t xml:space="preserve"> на уровне </w:t>
      </w:r>
      <w:r w:rsidRPr="00F04E6E">
        <w:rPr>
          <w:sz w:val="28"/>
          <w:szCs w:val="28"/>
        </w:rPr>
        <w:t>105%</w:t>
      </w:r>
      <w:r w:rsidRPr="00CA1205">
        <w:rPr>
          <w:sz w:val="28"/>
          <w:szCs w:val="28"/>
        </w:rPr>
        <w:t xml:space="preserve"> (декабрь к декабрю предыдущего года) и </w:t>
      </w:r>
      <w:r w:rsidRPr="00F04E6E">
        <w:rPr>
          <w:sz w:val="28"/>
          <w:szCs w:val="28"/>
        </w:rPr>
        <w:t>10</w:t>
      </w:r>
      <w:r w:rsidR="00CA1205" w:rsidRPr="00F04E6E">
        <w:rPr>
          <w:sz w:val="28"/>
          <w:szCs w:val="28"/>
        </w:rPr>
        <w:t>6</w:t>
      </w:r>
      <w:r w:rsidR="0046384C">
        <w:rPr>
          <w:sz w:val="28"/>
          <w:szCs w:val="28"/>
        </w:rPr>
        <w:t>,0</w:t>
      </w:r>
      <w:r w:rsidRPr="00F04E6E">
        <w:rPr>
          <w:sz w:val="28"/>
          <w:szCs w:val="28"/>
        </w:rPr>
        <w:t>%</w:t>
      </w:r>
      <w:r w:rsidRPr="00CA1205">
        <w:rPr>
          <w:sz w:val="28"/>
          <w:szCs w:val="28"/>
        </w:rPr>
        <w:t xml:space="preserve"> в среднегодовом исчислении, индекс-дефлятор оборота розничн</w:t>
      </w:r>
      <w:r w:rsidR="00253F67" w:rsidRPr="00CA1205">
        <w:rPr>
          <w:sz w:val="28"/>
          <w:szCs w:val="28"/>
        </w:rPr>
        <w:t>ой торговли – на уровне 10</w:t>
      </w:r>
      <w:r w:rsidR="00CA1205" w:rsidRPr="00CA1205">
        <w:rPr>
          <w:sz w:val="28"/>
          <w:szCs w:val="28"/>
        </w:rPr>
        <w:t>6,3</w:t>
      </w:r>
      <w:r w:rsidR="00253F67" w:rsidRPr="00CA1205">
        <w:rPr>
          <w:sz w:val="28"/>
          <w:szCs w:val="28"/>
        </w:rPr>
        <w:t>%.</w:t>
      </w:r>
    </w:p>
    <w:p w14:paraId="50303BE7" w14:textId="609161AD" w:rsidR="00536336" w:rsidRPr="008A3DB8" w:rsidRDefault="00536336" w:rsidP="0048723E">
      <w:pPr>
        <w:spacing w:line="276" w:lineRule="auto"/>
        <w:rPr>
          <w:sz w:val="28"/>
          <w:szCs w:val="28"/>
        </w:rPr>
      </w:pPr>
      <w:r w:rsidRPr="008A3DB8">
        <w:rPr>
          <w:sz w:val="28"/>
          <w:szCs w:val="28"/>
        </w:rPr>
        <w:t>Индекс-дефлятор в промышленности, который находится расчетным путем, исходя из дефляторов по каждому виду промышленной деятельности, за 20</w:t>
      </w:r>
      <w:r w:rsidR="00E132CC" w:rsidRPr="008A3DB8">
        <w:rPr>
          <w:sz w:val="28"/>
          <w:szCs w:val="28"/>
        </w:rPr>
        <w:t>2</w:t>
      </w:r>
      <w:r w:rsidR="008A3DB8" w:rsidRPr="008A3DB8">
        <w:rPr>
          <w:sz w:val="28"/>
          <w:szCs w:val="28"/>
        </w:rPr>
        <w:t>1</w:t>
      </w:r>
      <w:r w:rsidRPr="008A3DB8">
        <w:rPr>
          <w:sz w:val="28"/>
          <w:szCs w:val="28"/>
        </w:rPr>
        <w:t xml:space="preserve"> год по городскому округу Тольятти по оценке составит </w:t>
      </w:r>
      <w:r w:rsidR="008A3DB8" w:rsidRPr="008A3DB8">
        <w:rPr>
          <w:sz w:val="28"/>
          <w:szCs w:val="28"/>
        </w:rPr>
        <w:t>117,1</w:t>
      </w:r>
      <w:r w:rsidRPr="008A3DB8">
        <w:rPr>
          <w:sz w:val="28"/>
          <w:szCs w:val="28"/>
        </w:rPr>
        <w:t>%.</w:t>
      </w:r>
    </w:p>
    <w:p w14:paraId="6576E70E" w14:textId="5B477524" w:rsidR="00536336" w:rsidRPr="008A3DB8" w:rsidRDefault="00250556" w:rsidP="0048723E">
      <w:pPr>
        <w:spacing w:line="276" w:lineRule="auto"/>
        <w:rPr>
          <w:sz w:val="28"/>
          <w:szCs w:val="28"/>
        </w:rPr>
      </w:pPr>
      <w:r w:rsidRPr="008A3DB8">
        <w:rPr>
          <w:sz w:val="28"/>
          <w:szCs w:val="28"/>
        </w:rPr>
        <w:t>Индекс цен в</w:t>
      </w:r>
      <w:r w:rsidR="00536336" w:rsidRPr="008A3DB8">
        <w:rPr>
          <w:sz w:val="28"/>
          <w:szCs w:val="28"/>
        </w:rPr>
        <w:t xml:space="preserve"> инвестиционн</w:t>
      </w:r>
      <w:r w:rsidRPr="008A3DB8">
        <w:rPr>
          <w:sz w:val="28"/>
          <w:szCs w:val="28"/>
        </w:rPr>
        <w:t>ой</w:t>
      </w:r>
      <w:r w:rsidR="00536336" w:rsidRPr="008A3DB8">
        <w:rPr>
          <w:sz w:val="28"/>
          <w:szCs w:val="28"/>
        </w:rPr>
        <w:t xml:space="preserve"> </w:t>
      </w:r>
      <w:r w:rsidRPr="008A3DB8">
        <w:rPr>
          <w:sz w:val="28"/>
          <w:szCs w:val="28"/>
        </w:rPr>
        <w:t>сфере</w:t>
      </w:r>
      <w:r w:rsidR="00536336" w:rsidRPr="008A3DB8">
        <w:rPr>
          <w:sz w:val="28"/>
          <w:szCs w:val="28"/>
        </w:rPr>
        <w:t xml:space="preserve"> </w:t>
      </w:r>
      <w:r w:rsidR="00B23793">
        <w:rPr>
          <w:sz w:val="28"/>
          <w:szCs w:val="28"/>
        </w:rPr>
        <w:t xml:space="preserve">составит </w:t>
      </w:r>
      <w:r w:rsidR="00B23793" w:rsidRPr="008A3DB8">
        <w:rPr>
          <w:sz w:val="28"/>
          <w:szCs w:val="28"/>
        </w:rPr>
        <w:t>105,7%</w:t>
      </w:r>
      <w:r w:rsidR="00B23793">
        <w:rPr>
          <w:sz w:val="28"/>
          <w:szCs w:val="28"/>
        </w:rPr>
        <w:t xml:space="preserve"> </w:t>
      </w:r>
      <w:r w:rsidRPr="008A3DB8">
        <w:rPr>
          <w:sz w:val="28"/>
          <w:szCs w:val="28"/>
        </w:rPr>
        <w:t xml:space="preserve">согласно </w:t>
      </w:r>
      <w:r w:rsidR="00255BA3" w:rsidRPr="008A3DB8">
        <w:rPr>
          <w:sz w:val="28"/>
          <w:szCs w:val="28"/>
        </w:rPr>
        <w:t xml:space="preserve">параметрам </w:t>
      </w:r>
      <w:r w:rsidR="001F4E94" w:rsidRPr="008A3DB8">
        <w:rPr>
          <w:sz w:val="28"/>
          <w:szCs w:val="28"/>
        </w:rPr>
        <w:t>С</w:t>
      </w:r>
      <w:r w:rsidRPr="008A3DB8">
        <w:rPr>
          <w:sz w:val="28"/>
          <w:szCs w:val="28"/>
        </w:rPr>
        <w:t>ценарны</w:t>
      </w:r>
      <w:r w:rsidR="00255BA3" w:rsidRPr="008A3DB8">
        <w:rPr>
          <w:sz w:val="28"/>
          <w:szCs w:val="28"/>
        </w:rPr>
        <w:t>х условий</w:t>
      </w:r>
      <w:r w:rsidR="00B54078" w:rsidRPr="008A3DB8">
        <w:rPr>
          <w:sz w:val="28"/>
          <w:szCs w:val="28"/>
        </w:rPr>
        <w:t xml:space="preserve"> Самарской области</w:t>
      </w:r>
      <w:r w:rsidR="00536336" w:rsidRPr="008A3DB8">
        <w:rPr>
          <w:sz w:val="28"/>
          <w:szCs w:val="28"/>
        </w:rPr>
        <w:t>.</w:t>
      </w:r>
    </w:p>
    <w:p w14:paraId="1D8AF1A2" w14:textId="77777777" w:rsidR="00CA1205" w:rsidRPr="00CA1205" w:rsidRDefault="00CA1205" w:rsidP="00CA1205">
      <w:pPr>
        <w:spacing w:line="276" w:lineRule="auto"/>
        <w:ind w:right="-1" w:firstLine="708"/>
        <w:rPr>
          <w:sz w:val="28"/>
          <w:szCs w:val="28"/>
          <w:lang w:eastAsia="ru-RU"/>
        </w:rPr>
      </w:pPr>
      <w:r w:rsidRPr="00CA1205">
        <w:rPr>
          <w:sz w:val="28"/>
          <w:szCs w:val="28"/>
          <w:lang w:eastAsia="ru-RU"/>
        </w:rPr>
        <w:t>Предельные индексы роста совокупной платы граждан за коммунальные услуги на 2021 год по городскому округу Тольятти утверждены постановлением Губернатора Самарской области от 29.12.2020 № 386.</w:t>
      </w:r>
    </w:p>
    <w:p w14:paraId="76649CC1" w14:textId="77777777" w:rsidR="00CA1205" w:rsidRPr="00CA1205" w:rsidRDefault="00CA1205" w:rsidP="00CA1205">
      <w:pPr>
        <w:spacing w:line="276" w:lineRule="auto"/>
        <w:ind w:right="-1" w:firstLine="708"/>
        <w:rPr>
          <w:sz w:val="28"/>
          <w:szCs w:val="28"/>
          <w:lang w:eastAsia="ru-RU"/>
        </w:rPr>
      </w:pPr>
      <w:r w:rsidRPr="00CA1205">
        <w:rPr>
          <w:sz w:val="28"/>
          <w:szCs w:val="28"/>
          <w:lang w:eastAsia="ru-RU"/>
        </w:rPr>
        <w:t>Тарифы на первое полугодие 2021 года (отопление, водопотребление, водоотведение, горячая вода и электроснабжение) установлены департаментом ценового и тарифного регулирования Самарской области.</w:t>
      </w:r>
    </w:p>
    <w:p w14:paraId="0CDE8E34" w14:textId="77777777" w:rsidR="00CA1205" w:rsidRPr="00CA1205" w:rsidRDefault="00CA1205" w:rsidP="00CA1205">
      <w:pPr>
        <w:spacing w:line="276" w:lineRule="auto"/>
        <w:ind w:right="-1" w:firstLine="708"/>
        <w:rPr>
          <w:sz w:val="28"/>
          <w:szCs w:val="28"/>
          <w:lang w:eastAsia="ru-RU"/>
        </w:rPr>
      </w:pPr>
      <w:r w:rsidRPr="00CA1205">
        <w:rPr>
          <w:sz w:val="28"/>
          <w:szCs w:val="28"/>
          <w:lang w:eastAsia="ru-RU"/>
        </w:rPr>
        <w:t>Тарифы на теплоэнергию по городскому округу Тольятти в первой половине 2021 года составили:</w:t>
      </w:r>
    </w:p>
    <w:p w14:paraId="51021E8E" w14:textId="77777777" w:rsidR="00CA1205" w:rsidRPr="00CA1205" w:rsidRDefault="00CA1205" w:rsidP="00CA1205">
      <w:pPr>
        <w:spacing w:line="276" w:lineRule="auto"/>
        <w:ind w:right="-1" w:firstLine="708"/>
        <w:rPr>
          <w:sz w:val="28"/>
          <w:szCs w:val="28"/>
          <w:lang w:eastAsia="ru-RU"/>
        </w:rPr>
      </w:pPr>
      <w:r>
        <w:rPr>
          <w:sz w:val="28"/>
          <w:szCs w:val="28"/>
          <w:lang w:eastAsia="ru-RU"/>
        </w:rPr>
        <w:t>д</w:t>
      </w:r>
      <w:r w:rsidRPr="00CA1205">
        <w:rPr>
          <w:sz w:val="28"/>
          <w:szCs w:val="28"/>
          <w:lang w:eastAsia="ru-RU"/>
        </w:rPr>
        <w:t>ля ПАО «Т Плюс» (СЦТ Автозаводский район городского округа Тольятти):</w:t>
      </w:r>
    </w:p>
    <w:p w14:paraId="595B1A3B" w14:textId="77777777" w:rsidR="00CA1205" w:rsidRPr="00CA1205" w:rsidRDefault="00CA1205" w:rsidP="00CA1205">
      <w:pPr>
        <w:spacing w:line="276" w:lineRule="auto"/>
        <w:ind w:right="-1" w:firstLine="708"/>
        <w:rPr>
          <w:sz w:val="28"/>
          <w:szCs w:val="28"/>
          <w:lang w:eastAsia="ru-RU"/>
        </w:rPr>
      </w:pPr>
      <w:r w:rsidRPr="00CA1205">
        <w:rPr>
          <w:sz w:val="28"/>
          <w:szCs w:val="28"/>
          <w:lang w:eastAsia="ru-RU"/>
        </w:rPr>
        <w:lastRenderedPageBreak/>
        <w:t xml:space="preserve">- с 01.01.2021 по 30.06.2021 – 1 610,4 рублей/Гкал с НДС с ростом 3,6%; </w:t>
      </w:r>
    </w:p>
    <w:p w14:paraId="170A31D0" w14:textId="77777777" w:rsidR="00CA1205" w:rsidRPr="00CA1205" w:rsidRDefault="00CA1205" w:rsidP="00CA1205">
      <w:pPr>
        <w:spacing w:line="276" w:lineRule="auto"/>
        <w:ind w:right="-1" w:firstLine="708"/>
        <w:rPr>
          <w:sz w:val="28"/>
          <w:szCs w:val="28"/>
          <w:lang w:eastAsia="ru-RU"/>
        </w:rPr>
      </w:pPr>
      <w:r>
        <w:rPr>
          <w:sz w:val="28"/>
          <w:szCs w:val="28"/>
          <w:lang w:eastAsia="ru-RU"/>
        </w:rPr>
        <w:t>д</w:t>
      </w:r>
      <w:r w:rsidRPr="00CA1205">
        <w:rPr>
          <w:sz w:val="28"/>
          <w:szCs w:val="28"/>
          <w:lang w:eastAsia="ru-RU"/>
        </w:rPr>
        <w:t>ля ПАО «Т Плюс» (СЦТ Центральный и Комсомольский районы городского округа Тольятти):</w:t>
      </w:r>
    </w:p>
    <w:p w14:paraId="7D25AD02" w14:textId="77777777" w:rsidR="00CA1205" w:rsidRPr="00CA1205" w:rsidRDefault="00CA1205" w:rsidP="00CA1205">
      <w:pPr>
        <w:spacing w:line="276" w:lineRule="auto"/>
        <w:ind w:right="-1" w:firstLine="708"/>
        <w:rPr>
          <w:sz w:val="28"/>
          <w:szCs w:val="28"/>
          <w:lang w:eastAsia="ru-RU"/>
        </w:rPr>
      </w:pPr>
      <w:r w:rsidRPr="00CA1205">
        <w:rPr>
          <w:sz w:val="28"/>
          <w:szCs w:val="28"/>
          <w:lang w:eastAsia="ru-RU"/>
        </w:rPr>
        <w:t>- с 01.01.2021 по 30.06.2021 – 1 497,6 рублей/Гкал с НДС с ростом 3,4%.</w:t>
      </w:r>
    </w:p>
    <w:p w14:paraId="296B2BA0" w14:textId="52478CC9" w:rsidR="00CA1205" w:rsidRPr="00CA1205" w:rsidRDefault="00CA1205" w:rsidP="00CA1205">
      <w:pPr>
        <w:spacing w:line="276" w:lineRule="auto"/>
        <w:ind w:right="-1" w:firstLine="708"/>
        <w:rPr>
          <w:sz w:val="28"/>
          <w:szCs w:val="28"/>
          <w:lang w:eastAsia="ru-RU"/>
        </w:rPr>
      </w:pPr>
      <w:r w:rsidRPr="00CA1205">
        <w:rPr>
          <w:sz w:val="28"/>
          <w:szCs w:val="28"/>
          <w:lang w:eastAsia="ru-RU"/>
        </w:rPr>
        <w:t xml:space="preserve">Рост тарифов на услуги по водоснабжению, водоотведению и очистке сточных вод организаций коммунального комплекса городского округа Тольятти в </w:t>
      </w:r>
      <w:r w:rsidR="004F3625">
        <w:rPr>
          <w:sz w:val="28"/>
          <w:szCs w:val="28"/>
          <w:lang w:val="en-US" w:eastAsia="ru-RU"/>
        </w:rPr>
        <w:t>I</w:t>
      </w:r>
      <w:r w:rsidRPr="00CA1205">
        <w:rPr>
          <w:sz w:val="28"/>
          <w:szCs w:val="28"/>
          <w:lang w:eastAsia="ru-RU"/>
        </w:rPr>
        <w:t xml:space="preserve"> полугодии 2021 года составил:</w:t>
      </w:r>
    </w:p>
    <w:p w14:paraId="0F756362" w14:textId="77777777" w:rsidR="00CA1205" w:rsidRPr="00CA1205" w:rsidRDefault="00CA1205" w:rsidP="00CA1205">
      <w:pPr>
        <w:spacing w:line="276" w:lineRule="auto"/>
        <w:ind w:right="-1" w:firstLine="708"/>
        <w:rPr>
          <w:sz w:val="28"/>
          <w:szCs w:val="28"/>
          <w:lang w:eastAsia="ru-RU"/>
        </w:rPr>
      </w:pPr>
      <w:r>
        <w:rPr>
          <w:sz w:val="28"/>
          <w:szCs w:val="28"/>
          <w:lang w:eastAsia="ru-RU"/>
        </w:rPr>
        <w:t xml:space="preserve">- </w:t>
      </w:r>
      <w:r w:rsidRPr="00CA1205">
        <w:rPr>
          <w:sz w:val="28"/>
          <w:szCs w:val="28"/>
          <w:lang w:eastAsia="ru-RU"/>
        </w:rPr>
        <w:t>по водоснабжению:</w:t>
      </w:r>
    </w:p>
    <w:p w14:paraId="25725A4E" w14:textId="77777777" w:rsidR="00CA1205" w:rsidRPr="00CA1205" w:rsidRDefault="00CA1205" w:rsidP="00CA1205">
      <w:pPr>
        <w:spacing w:line="276" w:lineRule="auto"/>
        <w:ind w:right="-1" w:firstLine="708"/>
        <w:rPr>
          <w:sz w:val="28"/>
          <w:szCs w:val="28"/>
          <w:lang w:eastAsia="ru-RU"/>
        </w:rPr>
      </w:pPr>
      <w:r>
        <w:rPr>
          <w:sz w:val="28"/>
          <w:szCs w:val="28"/>
          <w:lang w:eastAsia="ru-RU"/>
        </w:rPr>
        <w:t>д</w:t>
      </w:r>
      <w:r w:rsidRPr="00CA1205">
        <w:rPr>
          <w:sz w:val="28"/>
          <w:szCs w:val="28"/>
          <w:lang w:eastAsia="ru-RU"/>
        </w:rPr>
        <w:t>ля ООО «Волжские коммунальные системы» (Центральный и Комсомольский районы городского округа Тольятти) - 4,0%;</w:t>
      </w:r>
    </w:p>
    <w:p w14:paraId="2EFF228D" w14:textId="77777777" w:rsidR="00CA1205" w:rsidRPr="00CA1205" w:rsidRDefault="00CA1205" w:rsidP="00CA1205">
      <w:pPr>
        <w:spacing w:line="276" w:lineRule="auto"/>
        <w:ind w:right="-1" w:firstLine="708"/>
        <w:rPr>
          <w:sz w:val="28"/>
          <w:szCs w:val="28"/>
          <w:lang w:eastAsia="ru-RU"/>
        </w:rPr>
      </w:pPr>
      <w:r w:rsidRPr="00CA1205">
        <w:rPr>
          <w:sz w:val="28"/>
          <w:szCs w:val="28"/>
          <w:lang w:eastAsia="ru-RU"/>
        </w:rPr>
        <w:t>для ОАО «ТЕВИС» (Автозаводский район городского округа Тольятти) – 3,6%.</w:t>
      </w:r>
    </w:p>
    <w:p w14:paraId="0CDD4841" w14:textId="77777777" w:rsidR="00CA1205" w:rsidRPr="00CA1205" w:rsidRDefault="00CA1205" w:rsidP="00CA1205">
      <w:pPr>
        <w:spacing w:line="276" w:lineRule="auto"/>
        <w:ind w:right="-1" w:firstLine="708"/>
        <w:rPr>
          <w:sz w:val="28"/>
          <w:szCs w:val="28"/>
          <w:lang w:eastAsia="ru-RU"/>
        </w:rPr>
      </w:pPr>
      <w:r>
        <w:rPr>
          <w:sz w:val="28"/>
          <w:szCs w:val="28"/>
          <w:lang w:eastAsia="ru-RU"/>
        </w:rPr>
        <w:t xml:space="preserve">- </w:t>
      </w:r>
      <w:r w:rsidRPr="00CA1205">
        <w:rPr>
          <w:sz w:val="28"/>
          <w:szCs w:val="28"/>
          <w:lang w:eastAsia="ru-RU"/>
        </w:rPr>
        <w:t>по водоотведению и очистке сточных вод:</w:t>
      </w:r>
    </w:p>
    <w:p w14:paraId="20298E9A" w14:textId="77777777" w:rsidR="00CA1205" w:rsidRPr="00CA1205" w:rsidRDefault="00CA1205" w:rsidP="00CA1205">
      <w:pPr>
        <w:spacing w:line="276" w:lineRule="auto"/>
        <w:ind w:right="-1" w:firstLine="708"/>
        <w:rPr>
          <w:sz w:val="28"/>
          <w:szCs w:val="28"/>
          <w:lang w:eastAsia="ru-RU"/>
        </w:rPr>
      </w:pPr>
      <w:r w:rsidRPr="00CA1205">
        <w:rPr>
          <w:sz w:val="28"/>
          <w:szCs w:val="28"/>
          <w:lang w:eastAsia="ru-RU"/>
        </w:rPr>
        <w:t>для ООО «Волжские коммунальные системы» (Центральный и Комсомольский районы городского округа Тольятти) - 3,6%;</w:t>
      </w:r>
    </w:p>
    <w:p w14:paraId="75506B21" w14:textId="77777777" w:rsidR="00CA1205" w:rsidRPr="005B6D88" w:rsidRDefault="00CA1205" w:rsidP="00CA1205">
      <w:pPr>
        <w:spacing w:line="276" w:lineRule="auto"/>
        <w:ind w:right="-1" w:firstLine="708"/>
        <w:rPr>
          <w:sz w:val="28"/>
          <w:szCs w:val="28"/>
          <w:lang w:eastAsia="ru-RU"/>
        </w:rPr>
      </w:pPr>
      <w:r w:rsidRPr="00CA1205">
        <w:rPr>
          <w:sz w:val="28"/>
          <w:szCs w:val="28"/>
          <w:lang w:eastAsia="ru-RU"/>
        </w:rPr>
        <w:t xml:space="preserve">для ОАО «ТЕВИС» (Автозаводский район городского округа Тольятти) – 3,6% для не нормируемых абонентов (население) и 10,0% для абонентов, для </w:t>
      </w:r>
      <w:r w:rsidRPr="005B6D88">
        <w:rPr>
          <w:sz w:val="28"/>
          <w:szCs w:val="28"/>
          <w:lang w:eastAsia="ru-RU"/>
        </w:rPr>
        <w:t>которых устанавливаются нормативы водоотведения (сброса) по составу сточных вод.</w:t>
      </w:r>
    </w:p>
    <w:p w14:paraId="292AD23E" w14:textId="77777777" w:rsidR="00CA1205" w:rsidRPr="005B6D88" w:rsidRDefault="00CA1205" w:rsidP="00CA1205">
      <w:pPr>
        <w:spacing w:line="276" w:lineRule="auto"/>
        <w:ind w:right="-1" w:firstLine="708"/>
        <w:rPr>
          <w:sz w:val="28"/>
          <w:szCs w:val="28"/>
          <w:lang w:eastAsia="ru-RU"/>
        </w:rPr>
      </w:pPr>
      <w:r w:rsidRPr="005B6D88">
        <w:rPr>
          <w:sz w:val="28"/>
          <w:szCs w:val="28"/>
          <w:lang w:eastAsia="ru-RU"/>
        </w:rPr>
        <w:t>Рост тарифа на электрическую энергию для населения с 01.07.202</w:t>
      </w:r>
      <w:r w:rsidR="003120DE" w:rsidRPr="005B6D88">
        <w:rPr>
          <w:sz w:val="28"/>
          <w:szCs w:val="28"/>
          <w:lang w:eastAsia="ru-RU"/>
        </w:rPr>
        <w:t>1</w:t>
      </w:r>
      <w:r w:rsidRPr="005B6D88">
        <w:rPr>
          <w:sz w:val="28"/>
          <w:szCs w:val="28"/>
          <w:lang w:eastAsia="ru-RU"/>
        </w:rPr>
        <w:t xml:space="preserve"> составил:</w:t>
      </w:r>
    </w:p>
    <w:p w14:paraId="6AD054BC" w14:textId="77777777" w:rsidR="00CA1205" w:rsidRPr="005B6D88" w:rsidRDefault="00CA1205" w:rsidP="00CA1205">
      <w:pPr>
        <w:spacing w:line="276" w:lineRule="auto"/>
        <w:ind w:right="-1" w:firstLine="708"/>
        <w:rPr>
          <w:sz w:val="28"/>
          <w:szCs w:val="28"/>
          <w:lang w:eastAsia="ru-RU"/>
        </w:rPr>
      </w:pPr>
      <w:r w:rsidRPr="005B6D88">
        <w:rPr>
          <w:sz w:val="28"/>
          <w:szCs w:val="28"/>
          <w:lang w:eastAsia="ru-RU"/>
        </w:rPr>
        <w:t>для населения и приравненных к нему категорий, за исключением населения и потребителей, указанных в пунктах 2 и 3 приказа от 14.12.2018 № 776:</w:t>
      </w:r>
    </w:p>
    <w:p w14:paraId="554FA3AF" w14:textId="77777777" w:rsidR="00CA1205" w:rsidRPr="005B6D88" w:rsidRDefault="00CA1205" w:rsidP="00CA1205">
      <w:pPr>
        <w:spacing w:line="276" w:lineRule="auto"/>
        <w:ind w:right="-1" w:firstLine="708"/>
        <w:rPr>
          <w:sz w:val="28"/>
          <w:szCs w:val="28"/>
          <w:lang w:eastAsia="ru-RU"/>
        </w:rPr>
      </w:pPr>
      <w:r w:rsidRPr="005B6D88">
        <w:rPr>
          <w:sz w:val="28"/>
          <w:szCs w:val="28"/>
          <w:lang w:eastAsia="ru-RU"/>
        </w:rPr>
        <w:t xml:space="preserve">- </w:t>
      </w:r>
      <w:proofErr w:type="spellStart"/>
      <w:r w:rsidRPr="005B6D88">
        <w:rPr>
          <w:sz w:val="28"/>
          <w:szCs w:val="28"/>
          <w:lang w:eastAsia="ru-RU"/>
        </w:rPr>
        <w:t>одноставочный</w:t>
      </w:r>
      <w:proofErr w:type="spellEnd"/>
      <w:r w:rsidRPr="005B6D88">
        <w:rPr>
          <w:sz w:val="28"/>
          <w:szCs w:val="28"/>
          <w:lang w:eastAsia="ru-RU"/>
        </w:rPr>
        <w:t xml:space="preserve"> тариф – 3,6%;</w:t>
      </w:r>
    </w:p>
    <w:p w14:paraId="6B476649" w14:textId="77777777" w:rsidR="00CA1205" w:rsidRPr="005B6D88" w:rsidRDefault="00CA1205" w:rsidP="00CA1205">
      <w:pPr>
        <w:spacing w:line="276" w:lineRule="auto"/>
        <w:ind w:right="-1" w:firstLine="708"/>
        <w:rPr>
          <w:sz w:val="28"/>
          <w:szCs w:val="28"/>
          <w:lang w:eastAsia="ru-RU"/>
        </w:rPr>
      </w:pPr>
      <w:r w:rsidRPr="005B6D88">
        <w:rPr>
          <w:sz w:val="28"/>
          <w:szCs w:val="28"/>
          <w:lang w:eastAsia="ru-RU"/>
        </w:rPr>
        <w:t xml:space="preserve">- </w:t>
      </w:r>
      <w:proofErr w:type="spellStart"/>
      <w:r w:rsidRPr="005B6D88">
        <w:rPr>
          <w:sz w:val="28"/>
          <w:szCs w:val="28"/>
          <w:lang w:eastAsia="ru-RU"/>
        </w:rPr>
        <w:t>одноставочный</w:t>
      </w:r>
      <w:proofErr w:type="spellEnd"/>
      <w:r w:rsidRPr="005B6D88">
        <w:rPr>
          <w:sz w:val="28"/>
          <w:szCs w:val="28"/>
          <w:lang w:eastAsia="ru-RU"/>
        </w:rPr>
        <w:t xml:space="preserve"> тариф, дифференцированный по двум зонам суток – 5,3%.</w:t>
      </w:r>
    </w:p>
    <w:p w14:paraId="2D2BE612" w14:textId="77777777" w:rsidR="00CA1205" w:rsidRPr="005B6D88" w:rsidRDefault="00CA1205" w:rsidP="00CA1205">
      <w:pPr>
        <w:spacing w:line="276" w:lineRule="auto"/>
        <w:ind w:right="-1" w:firstLine="708"/>
        <w:rPr>
          <w:sz w:val="28"/>
          <w:szCs w:val="28"/>
          <w:lang w:eastAsia="ru-RU"/>
        </w:rPr>
      </w:pPr>
      <w:r w:rsidRPr="005B6D88">
        <w:rPr>
          <w:sz w:val="28"/>
          <w:szCs w:val="28"/>
          <w:lang w:eastAsia="ru-RU"/>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нему:</w:t>
      </w:r>
    </w:p>
    <w:p w14:paraId="08261B95" w14:textId="77777777" w:rsidR="00CA1205" w:rsidRPr="005B6D88" w:rsidRDefault="00CA1205" w:rsidP="00CA1205">
      <w:pPr>
        <w:spacing w:line="276" w:lineRule="auto"/>
        <w:ind w:right="-1" w:firstLine="708"/>
        <w:rPr>
          <w:sz w:val="28"/>
          <w:szCs w:val="28"/>
          <w:lang w:eastAsia="ru-RU"/>
        </w:rPr>
      </w:pPr>
      <w:r w:rsidRPr="005B6D88">
        <w:rPr>
          <w:sz w:val="28"/>
          <w:szCs w:val="28"/>
          <w:lang w:eastAsia="ru-RU"/>
        </w:rPr>
        <w:t xml:space="preserve">- </w:t>
      </w:r>
      <w:proofErr w:type="spellStart"/>
      <w:r w:rsidRPr="005B6D88">
        <w:rPr>
          <w:sz w:val="28"/>
          <w:szCs w:val="28"/>
          <w:lang w:eastAsia="ru-RU"/>
        </w:rPr>
        <w:t>одноставочный</w:t>
      </w:r>
      <w:proofErr w:type="spellEnd"/>
      <w:r w:rsidRPr="005B6D88">
        <w:rPr>
          <w:sz w:val="28"/>
          <w:szCs w:val="28"/>
          <w:lang w:eastAsia="ru-RU"/>
        </w:rPr>
        <w:t xml:space="preserve"> тариф – 3,4%;</w:t>
      </w:r>
    </w:p>
    <w:p w14:paraId="38FCCAD7" w14:textId="77777777" w:rsidR="00CA1205" w:rsidRPr="005B6D88" w:rsidRDefault="00CA1205" w:rsidP="00CA1205">
      <w:pPr>
        <w:spacing w:line="276" w:lineRule="auto"/>
        <w:ind w:right="-1" w:firstLine="708"/>
        <w:rPr>
          <w:sz w:val="28"/>
          <w:szCs w:val="28"/>
          <w:lang w:eastAsia="ru-RU"/>
        </w:rPr>
      </w:pPr>
      <w:r w:rsidRPr="005B6D88">
        <w:rPr>
          <w:sz w:val="28"/>
          <w:szCs w:val="28"/>
          <w:lang w:eastAsia="ru-RU"/>
        </w:rPr>
        <w:t>- тариф, дифференцированный по двум зонам суток – 4,3%.</w:t>
      </w:r>
    </w:p>
    <w:p w14:paraId="54FE7E49" w14:textId="77777777" w:rsidR="00CA1205" w:rsidRPr="005B6D88" w:rsidRDefault="00CA1205" w:rsidP="00CA1205">
      <w:pPr>
        <w:spacing w:line="276" w:lineRule="auto"/>
        <w:ind w:right="-1" w:firstLine="708"/>
        <w:rPr>
          <w:sz w:val="28"/>
          <w:szCs w:val="28"/>
          <w:lang w:eastAsia="ru-RU"/>
        </w:rPr>
      </w:pPr>
      <w:r w:rsidRPr="005B6D88">
        <w:rPr>
          <w:sz w:val="28"/>
          <w:szCs w:val="28"/>
          <w:lang w:eastAsia="ru-RU"/>
        </w:rPr>
        <w:t>Рост тарифа на газ природный, реализуемый населению Самарской области с 01.07.202</w:t>
      </w:r>
      <w:r w:rsidR="003120DE" w:rsidRPr="005B6D88">
        <w:rPr>
          <w:sz w:val="28"/>
          <w:szCs w:val="28"/>
          <w:lang w:eastAsia="ru-RU"/>
        </w:rPr>
        <w:t>0</w:t>
      </w:r>
      <w:r w:rsidRPr="005B6D88">
        <w:rPr>
          <w:sz w:val="28"/>
          <w:szCs w:val="28"/>
          <w:lang w:eastAsia="ru-RU"/>
        </w:rPr>
        <w:t xml:space="preserve"> составил 3,</w:t>
      </w:r>
      <w:r w:rsidR="003120DE" w:rsidRPr="005B6D88">
        <w:rPr>
          <w:sz w:val="28"/>
          <w:szCs w:val="28"/>
          <w:lang w:eastAsia="ru-RU"/>
        </w:rPr>
        <w:t>3</w:t>
      </w:r>
      <w:r w:rsidRPr="005B6D88">
        <w:rPr>
          <w:sz w:val="28"/>
          <w:szCs w:val="28"/>
          <w:lang w:eastAsia="ru-RU"/>
        </w:rPr>
        <w:t>%.</w:t>
      </w:r>
    </w:p>
    <w:p w14:paraId="423F8ABD" w14:textId="77777777" w:rsidR="00CA1205" w:rsidRPr="005B6D88" w:rsidRDefault="00CA1205" w:rsidP="00CA1205">
      <w:pPr>
        <w:spacing w:line="276" w:lineRule="auto"/>
        <w:ind w:right="-1" w:firstLine="708"/>
        <w:rPr>
          <w:sz w:val="28"/>
          <w:szCs w:val="28"/>
          <w:lang w:eastAsia="ru-RU"/>
        </w:rPr>
      </w:pPr>
      <w:r w:rsidRPr="005B6D88">
        <w:rPr>
          <w:sz w:val="28"/>
          <w:szCs w:val="28"/>
          <w:lang w:eastAsia="ru-RU"/>
        </w:rPr>
        <w:t>С 01.01</w:t>
      </w:r>
      <w:r w:rsidRPr="003D6FC4">
        <w:rPr>
          <w:sz w:val="28"/>
          <w:szCs w:val="28"/>
          <w:lang w:eastAsia="ru-RU"/>
        </w:rPr>
        <w:t>.2020</w:t>
      </w:r>
      <w:r w:rsidRPr="005B6D88">
        <w:rPr>
          <w:sz w:val="28"/>
          <w:szCs w:val="28"/>
          <w:lang w:eastAsia="ru-RU"/>
        </w:rPr>
        <w:t xml:space="preserve"> министерством энергетики и жилищно-коммунального хозяйства Самарской области утвержден единый тариф на услугу по </w:t>
      </w:r>
      <w:r w:rsidRPr="005B6D88">
        <w:rPr>
          <w:sz w:val="28"/>
          <w:szCs w:val="28"/>
          <w:lang w:eastAsia="ru-RU"/>
        </w:rPr>
        <w:lastRenderedPageBreak/>
        <w:t>обращению с твердыми коммунальными отходами на территории Самарской области для населения в размере 598,16 рублей.</w:t>
      </w:r>
    </w:p>
    <w:p w14:paraId="1ABA54CC" w14:textId="77777777" w:rsidR="00CA1205" w:rsidRPr="005B6D88" w:rsidRDefault="00CA1205" w:rsidP="00CA1205">
      <w:pPr>
        <w:spacing w:line="276" w:lineRule="auto"/>
        <w:ind w:right="-1" w:firstLine="708"/>
        <w:rPr>
          <w:sz w:val="28"/>
          <w:szCs w:val="28"/>
          <w:lang w:eastAsia="ru-RU"/>
        </w:rPr>
      </w:pPr>
      <w:r w:rsidRPr="005B6D88">
        <w:rPr>
          <w:sz w:val="28"/>
          <w:szCs w:val="28"/>
          <w:lang w:eastAsia="ru-RU"/>
        </w:rPr>
        <w:t>Тарифы на второе полугодие 2021 года (отопление, водопотребление, водоотведение, горячая вода и электроснабжение) установлены Департаментом ценового и тарифного регулирования Самарской области.</w:t>
      </w:r>
    </w:p>
    <w:p w14:paraId="7953CB4E" w14:textId="77777777" w:rsidR="00CA1205" w:rsidRPr="005B6D88" w:rsidRDefault="00CA1205" w:rsidP="00CA1205">
      <w:pPr>
        <w:spacing w:line="276" w:lineRule="auto"/>
        <w:ind w:right="-1" w:firstLine="708"/>
        <w:rPr>
          <w:sz w:val="28"/>
          <w:szCs w:val="28"/>
          <w:lang w:eastAsia="ru-RU"/>
        </w:rPr>
      </w:pPr>
      <w:r w:rsidRPr="005B6D88">
        <w:rPr>
          <w:sz w:val="28"/>
          <w:szCs w:val="28"/>
          <w:lang w:eastAsia="ru-RU"/>
        </w:rPr>
        <w:t>Тарифы на теплоэнергию по городскому округу Тольятти во второй половине 2021 году составили:</w:t>
      </w:r>
    </w:p>
    <w:p w14:paraId="1EAB6E31" w14:textId="77777777" w:rsidR="00CA1205" w:rsidRPr="005B6D88" w:rsidRDefault="00CA1205" w:rsidP="00CA1205">
      <w:pPr>
        <w:spacing w:line="276" w:lineRule="auto"/>
        <w:ind w:right="-1" w:firstLine="708"/>
        <w:rPr>
          <w:sz w:val="28"/>
          <w:szCs w:val="28"/>
          <w:lang w:eastAsia="ru-RU"/>
        </w:rPr>
      </w:pPr>
      <w:r w:rsidRPr="005B6D88">
        <w:rPr>
          <w:sz w:val="28"/>
          <w:szCs w:val="28"/>
          <w:lang w:eastAsia="ru-RU"/>
        </w:rPr>
        <w:t>для ПАО «Т Плюс» (СЦТ Автозаводский район городского округа Тольятти):</w:t>
      </w:r>
    </w:p>
    <w:p w14:paraId="31AF1535" w14:textId="77777777" w:rsidR="00CA1205" w:rsidRPr="005B6D88" w:rsidRDefault="00CA1205" w:rsidP="00CA1205">
      <w:pPr>
        <w:spacing w:line="276" w:lineRule="auto"/>
        <w:ind w:right="-1" w:firstLine="708"/>
        <w:rPr>
          <w:sz w:val="28"/>
          <w:szCs w:val="28"/>
          <w:lang w:eastAsia="ru-RU"/>
        </w:rPr>
      </w:pPr>
      <w:r w:rsidRPr="005B6D88">
        <w:rPr>
          <w:sz w:val="28"/>
          <w:szCs w:val="28"/>
          <w:lang w:eastAsia="ru-RU"/>
        </w:rPr>
        <w:t>- с 01.07.2021 по 31.12.2021 – 1 658,40 рублей/Гкал с НДС с ростом 3,0%.</w:t>
      </w:r>
    </w:p>
    <w:p w14:paraId="24CD7011" w14:textId="77777777" w:rsidR="00CA1205" w:rsidRPr="005B6D88" w:rsidRDefault="00CA1205" w:rsidP="00CA1205">
      <w:pPr>
        <w:spacing w:line="276" w:lineRule="auto"/>
        <w:ind w:right="-1" w:firstLine="708"/>
        <w:rPr>
          <w:sz w:val="28"/>
          <w:szCs w:val="28"/>
          <w:lang w:eastAsia="ru-RU"/>
        </w:rPr>
      </w:pPr>
      <w:r w:rsidRPr="005B6D88">
        <w:rPr>
          <w:sz w:val="28"/>
          <w:szCs w:val="28"/>
          <w:lang w:eastAsia="ru-RU"/>
        </w:rPr>
        <w:t>для ПАО «Т Плюс» (СЦТ Центральный и Комсомольский районы городского округа Тольятти):</w:t>
      </w:r>
    </w:p>
    <w:p w14:paraId="7850FF89" w14:textId="77777777" w:rsidR="00CA1205" w:rsidRPr="005B6D88" w:rsidRDefault="00CA1205" w:rsidP="00CA1205">
      <w:pPr>
        <w:spacing w:line="276" w:lineRule="auto"/>
        <w:ind w:right="-1" w:firstLine="708"/>
        <w:rPr>
          <w:sz w:val="28"/>
          <w:szCs w:val="28"/>
          <w:lang w:eastAsia="ru-RU"/>
        </w:rPr>
      </w:pPr>
      <w:r w:rsidRPr="005B6D88">
        <w:rPr>
          <w:sz w:val="28"/>
          <w:szCs w:val="28"/>
          <w:lang w:eastAsia="ru-RU"/>
        </w:rPr>
        <w:t>- с 01.07.2021 по 31.12.2021 – 1 542,00 рублей/Гкал с НДС с ростом 3,0%.</w:t>
      </w:r>
    </w:p>
    <w:p w14:paraId="56680FEC" w14:textId="77777777" w:rsidR="00CA1205" w:rsidRPr="005B6D88" w:rsidRDefault="00CA1205" w:rsidP="00CA1205">
      <w:pPr>
        <w:spacing w:line="276" w:lineRule="auto"/>
        <w:ind w:right="-1" w:firstLine="708"/>
        <w:rPr>
          <w:sz w:val="28"/>
          <w:szCs w:val="28"/>
          <w:lang w:eastAsia="ru-RU"/>
        </w:rPr>
      </w:pPr>
      <w:r w:rsidRPr="005B6D88">
        <w:rPr>
          <w:sz w:val="28"/>
          <w:szCs w:val="28"/>
          <w:lang w:eastAsia="ru-RU"/>
        </w:rPr>
        <w:t>Рост тарифов на услуги по водоснабжению, водоотведению и очистке сточных вод организаций коммунального комплекса городского округа Тольятти во втором полугодии 2021 года состави</w:t>
      </w:r>
      <w:r w:rsidR="003120DE" w:rsidRPr="005B6D88">
        <w:rPr>
          <w:sz w:val="28"/>
          <w:szCs w:val="28"/>
          <w:lang w:eastAsia="ru-RU"/>
        </w:rPr>
        <w:t>л</w:t>
      </w:r>
      <w:r w:rsidRPr="005B6D88">
        <w:rPr>
          <w:sz w:val="28"/>
          <w:szCs w:val="28"/>
          <w:lang w:eastAsia="ru-RU"/>
        </w:rPr>
        <w:t>:</w:t>
      </w:r>
    </w:p>
    <w:p w14:paraId="7137B2F6" w14:textId="77777777" w:rsidR="00CA1205" w:rsidRPr="005B6D88" w:rsidRDefault="003120DE" w:rsidP="00CA1205">
      <w:pPr>
        <w:spacing w:line="276" w:lineRule="auto"/>
        <w:ind w:right="-1" w:firstLine="708"/>
        <w:rPr>
          <w:sz w:val="28"/>
          <w:szCs w:val="28"/>
          <w:lang w:eastAsia="ru-RU"/>
        </w:rPr>
      </w:pPr>
      <w:r w:rsidRPr="005B6D88">
        <w:rPr>
          <w:sz w:val="28"/>
          <w:szCs w:val="28"/>
          <w:lang w:eastAsia="ru-RU"/>
        </w:rPr>
        <w:t xml:space="preserve">- </w:t>
      </w:r>
      <w:r w:rsidR="00CA1205" w:rsidRPr="005B6D88">
        <w:rPr>
          <w:sz w:val="28"/>
          <w:szCs w:val="28"/>
          <w:lang w:eastAsia="ru-RU"/>
        </w:rPr>
        <w:t>по водоснабжению:</w:t>
      </w:r>
    </w:p>
    <w:p w14:paraId="00D98C98" w14:textId="77777777" w:rsidR="00CA1205" w:rsidRPr="005B6D88" w:rsidRDefault="00CA1205" w:rsidP="00CA1205">
      <w:pPr>
        <w:spacing w:line="276" w:lineRule="auto"/>
        <w:ind w:right="-1" w:firstLine="708"/>
        <w:rPr>
          <w:sz w:val="28"/>
          <w:szCs w:val="28"/>
          <w:lang w:eastAsia="ru-RU"/>
        </w:rPr>
      </w:pPr>
      <w:r w:rsidRPr="005B6D88">
        <w:rPr>
          <w:sz w:val="28"/>
          <w:szCs w:val="28"/>
          <w:lang w:eastAsia="ru-RU"/>
        </w:rPr>
        <w:t>для ООО «Волжские коммунальные системы» (Центральный и Комсомольский районы городского округа Тольятти) – 3,6%;</w:t>
      </w:r>
    </w:p>
    <w:p w14:paraId="34F35532" w14:textId="77777777" w:rsidR="00CA1205" w:rsidRPr="005B6D88" w:rsidRDefault="00CA1205" w:rsidP="00CA1205">
      <w:pPr>
        <w:spacing w:line="276" w:lineRule="auto"/>
        <w:ind w:right="-1" w:firstLine="708"/>
        <w:rPr>
          <w:sz w:val="28"/>
          <w:szCs w:val="28"/>
          <w:lang w:eastAsia="ru-RU"/>
        </w:rPr>
      </w:pPr>
      <w:r w:rsidRPr="005B6D88">
        <w:rPr>
          <w:sz w:val="28"/>
          <w:szCs w:val="28"/>
          <w:lang w:eastAsia="ru-RU"/>
        </w:rPr>
        <w:t>для ОАО «ТЕВИС» (Автозаводский район городского округа Тольятти) – 4,0%.</w:t>
      </w:r>
    </w:p>
    <w:p w14:paraId="76183EEC" w14:textId="77777777" w:rsidR="00CA1205" w:rsidRPr="005B6D88" w:rsidRDefault="003120DE" w:rsidP="00CA1205">
      <w:pPr>
        <w:spacing w:line="276" w:lineRule="auto"/>
        <w:ind w:right="-1" w:firstLine="708"/>
        <w:rPr>
          <w:sz w:val="28"/>
          <w:szCs w:val="28"/>
          <w:lang w:eastAsia="ru-RU"/>
        </w:rPr>
      </w:pPr>
      <w:r w:rsidRPr="005B6D88">
        <w:rPr>
          <w:sz w:val="28"/>
          <w:szCs w:val="28"/>
          <w:lang w:eastAsia="ru-RU"/>
        </w:rPr>
        <w:t xml:space="preserve">- </w:t>
      </w:r>
      <w:r w:rsidR="00CA1205" w:rsidRPr="005B6D88">
        <w:rPr>
          <w:sz w:val="28"/>
          <w:szCs w:val="28"/>
          <w:lang w:eastAsia="ru-RU"/>
        </w:rPr>
        <w:t>по водоотведению и очистке сточных вод:</w:t>
      </w:r>
    </w:p>
    <w:p w14:paraId="1B32CE53" w14:textId="77777777" w:rsidR="00CA1205" w:rsidRPr="005B6D88" w:rsidRDefault="00CA1205" w:rsidP="00CA1205">
      <w:pPr>
        <w:spacing w:line="276" w:lineRule="auto"/>
        <w:ind w:right="-1" w:firstLine="708"/>
        <w:rPr>
          <w:sz w:val="28"/>
          <w:szCs w:val="28"/>
          <w:lang w:eastAsia="ru-RU"/>
        </w:rPr>
      </w:pPr>
      <w:r w:rsidRPr="005B6D88">
        <w:rPr>
          <w:sz w:val="28"/>
          <w:szCs w:val="28"/>
          <w:lang w:eastAsia="ru-RU"/>
        </w:rPr>
        <w:t>для ООО «Волжские коммунальные системы» (Центральный и Комсомольский районы городского округа Тольятти) - 3,2%;</w:t>
      </w:r>
    </w:p>
    <w:p w14:paraId="0721F549" w14:textId="77777777" w:rsidR="00CA1205" w:rsidRPr="005B6D88" w:rsidRDefault="00CA1205" w:rsidP="00CA1205">
      <w:pPr>
        <w:spacing w:line="276" w:lineRule="auto"/>
        <w:ind w:right="-1" w:firstLine="708"/>
        <w:rPr>
          <w:sz w:val="28"/>
          <w:szCs w:val="28"/>
          <w:lang w:eastAsia="ru-RU"/>
        </w:rPr>
      </w:pPr>
      <w:r w:rsidRPr="005B6D88">
        <w:rPr>
          <w:sz w:val="28"/>
          <w:szCs w:val="28"/>
          <w:lang w:eastAsia="ru-RU"/>
        </w:rPr>
        <w:t>для ОАО «ТЕВИС» (Автозаводский район городского округа Тольятти) – 4,0% для не нормируемых абонентов (население) и 11,7% для абонентов, для которых устанавливаются нормативы водоотведения (сброса) по составу сточных вод.</w:t>
      </w:r>
    </w:p>
    <w:p w14:paraId="3CCBAEA9" w14:textId="77777777" w:rsidR="00CA1205" w:rsidRPr="005B6D88" w:rsidRDefault="00CA1205" w:rsidP="00CA1205">
      <w:pPr>
        <w:spacing w:line="276" w:lineRule="auto"/>
        <w:ind w:right="-1" w:firstLine="708"/>
        <w:rPr>
          <w:sz w:val="28"/>
          <w:szCs w:val="28"/>
          <w:lang w:eastAsia="ru-RU"/>
        </w:rPr>
      </w:pPr>
      <w:r w:rsidRPr="005B6D88">
        <w:rPr>
          <w:sz w:val="28"/>
          <w:szCs w:val="28"/>
          <w:lang w:eastAsia="ru-RU"/>
        </w:rPr>
        <w:t>Рост тарифа на электрическую энергию для населения с 01.07.2021 составил:</w:t>
      </w:r>
    </w:p>
    <w:p w14:paraId="6CF86BA0" w14:textId="77777777" w:rsidR="00CA1205" w:rsidRPr="005B6D88" w:rsidRDefault="003120DE" w:rsidP="00CA1205">
      <w:pPr>
        <w:spacing w:line="276" w:lineRule="auto"/>
        <w:ind w:right="-1" w:firstLine="708"/>
        <w:rPr>
          <w:sz w:val="28"/>
          <w:szCs w:val="28"/>
          <w:lang w:eastAsia="ru-RU"/>
        </w:rPr>
      </w:pPr>
      <w:r w:rsidRPr="005B6D88">
        <w:rPr>
          <w:sz w:val="28"/>
          <w:szCs w:val="28"/>
          <w:lang w:eastAsia="ru-RU"/>
        </w:rPr>
        <w:t>д</w:t>
      </w:r>
      <w:r w:rsidR="00CA1205" w:rsidRPr="005B6D88">
        <w:rPr>
          <w:sz w:val="28"/>
          <w:szCs w:val="28"/>
          <w:lang w:eastAsia="ru-RU"/>
        </w:rPr>
        <w:t>ля населения и приравненных к нему категорий, за исключением населения и потребителей, указанных в пунктах 2 и 3 приказа от 10.12.2020 № 666:</w:t>
      </w:r>
    </w:p>
    <w:p w14:paraId="1145B7FD" w14:textId="77777777" w:rsidR="00CA1205" w:rsidRPr="005B6D88" w:rsidRDefault="00CA1205" w:rsidP="00CA1205">
      <w:pPr>
        <w:spacing w:line="276" w:lineRule="auto"/>
        <w:ind w:right="-1" w:firstLine="708"/>
        <w:rPr>
          <w:sz w:val="28"/>
          <w:szCs w:val="28"/>
          <w:lang w:eastAsia="ru-RU"/>
        </w:rPr>
      </w:pPr>
      <w:r w:rsidRPr="005B6D88">
        <w:rPr>
          <w:sz w:val="28"/>
          <w:szCs w:val="28"/>
          <w:lang w:eastAsia="ru-RU"/>
        </w:rPr>
        <w:t xml:space="preserve">- </w:t>
      </w:r>
      <w:proofErr w:type="spellStart"/>
      <w:r w:rsidRPr="005B6D88">
        <w:rPr>
          <w:sz w:val="28"/>
          <w:szCs w:val="28"/>
          <w:lang w:eastAsia="ru-RU"/>
        </w:rPr>
        <w:t>одноставочный</w:t>
      </w:r>
      <w:proofErr w:type="spellEnd"/>
      <w:r w:rsidRPr="005B6D88">
        <w:rPr>
          <w:sz w:val="28"/>
          <w:szCs w:val="28"/>
          <w:lang w:eastAsia="ru-RU"/>
        </w:rPr>
        <w:t xml:space="preserve"> тариф – 3,2%;</w:t>
      </w:r>
    </w:p>
    <w:p w14:paraId="3AB016E3" w14:textId="77777777" w:rsidR="00CA1205" w:rsidRPr="005B6D88" w:rsidRDefault="00CA1205" w:rsidP="00CA1205">
      <w:pPr>
        <w:spacing w:line="276" w:lineRule="auto"/>
        <w:ind w:right="-1"/>
        <w:rPr>
          <w:sz w:val="28"/>
          <w:szCs w:val="28"/>
          <w:lang w:eastAsia="ru-RU"/>
        </w:rPr>
      </w:pPr>
      <w:r w:rsidRPr="005B6D88">
        <w:rPr>
          <w:sz w:val="28"/>
          <w:szCs w:val="28"/>
          <w:lang w:eastAsia="ru-RU"/>
        </w:rPr>
        <w:t xml:space="preserve">- </w:t>
      </w:r>
      <w:proofErr w:type="spellStart"/>
      <w:r w:rsidRPr="005B6D88">
        <w:rPr>
          <w:sz w:val="28"/>
          <w:szCs w:val="28"/>
          <w:lang w:eastAsia="ru-RU"/>
        </w:rPr>
        <w:t>одноставочный</w:t>
      </w:r>
      <w:proofErr w:type="spellEnd"/>
      <w:r w:rsidRPr="005B6D88">
        <w:rPr>
          <w:sz w:val="28"/>
          <w:szCs w:val="28"/>
          <w:lang w:eastAsia="ru-RU"/>
        </w:rPr>
        <w:t xml:space="preserve"> тариф, дифференцированный по двум зонам суток – 5,4%.</w:t>
      </w:r>
    </w:p>
    <w:p w14:paraId="106AE23A" w14:textId="77777777" w:rsidR="00CA1205" w:rsidRPr="005B6D88" w:rsidRDefault="00CA1205" w:rsidP="00CA1205">
      <w:pPr>
        <w:spacing w:line="276" w:lineRule="auto"/>
        <w:ind w:right="-1" w:firstLine="708"/>
        <w:rPr>
          <w:sz w:val="28"/>
          <w:szCs w:val="28"/>
          <w:lang w:eastAsia="ru-RU"/>
        </w:rPr>
      </w:pPr>
      <w:r w:rsidRPr="005B6D88">
        <w:rPr>
          <w:sz w:val="28"/>
          <w:szCs w:val="28"/>
          <w:lang w:eastAsia="ru-RU"/>
        </w:rPr>
        <w:lastRenderedPageBreak/>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нему:</w:t>
      </w:r>
    </w:p>
    <w:p w14:paraId="6F7583CA" w14:textId="77777777" w:rsidR="00CA1205" w:rsidRPr="005B6D88" w:rsidRDefault="00CA1205" w:rsidP="00CA1205">
      <w:pPr>
        <w:spacing w:line="276" w:lineRule="auto"/>
        <w:ind w:right="-1" w:firstLine="708"/>
        <w:rPr>
          <w:sz w:val="28"/>
          <w:szCs w:val="28"/>
          <w:lang w:eastAsia="ru-RU"/>
        </w:rPr>
      </w:pPr>
      <w:r w:rsidRPr="005B6D88">
        <w:rPr>
          <w:sz w:val="28"/>
          <w:szCs w:val="28"/>
          <w:lang w:eastAsia="ru-RU"/>
        </w:rPr>
        <w:t xml:space="preserve">- </w:t>
      </w:r>
      <w:proofErr w:type="spellStart"/>
      <w:r w:rsidRPr="005B6D88">
        <w:rPr>
          <w:sz w:val="28"/>
          <w:szCs w:val="28"/>
          <w:lang w:eastAsia="ru-RU"/>
        </w:rPr>
        <w:t>одноставочный</w:t>
      </w:r>
      <w:proofErr w:type="spellEnd"/>
      <w:r w:rsidRPr="005B6D88">
        <w:rPr>
          <w:sz w:val="28"/>
          <w:szCs w:val="28"/>
          <w:lang w:eastAsia="ru-RU"/>
        </w:rPr>
        <w:t xml:space="preserve"> тариф – 3,3%;</w:t>
      </w:r>
    </w:p>
    <w:p w14:paraId="0A4DC97B" w14:textId="77777777" w:rsidR="00CA1205" w:rsidRPr="005B6D88" w:rsidRDefault="00CA1205" w:rsidP="00CA1205">
      <w:pPr>
        <w:spacing w:line="276" w:lineRule="auto"/>
        <w:ind w:right="-1"/>
        <w:rPr>
          <w:sz w:val="28"/>
          <w:szCs w:val="28"/>
          <w:lang w:eastAsia="ru-RU"/>
        </w:rPr>
      </w:pPr>
      <w:r w:rsidRPr="005B6D88">
        <w:rPr>
          <w:sz w:val="28"/>
          <w:szCs w:val="28"/>
          <w:lang w:eastAsia="ru-RU"/>
        </w:rPr>
        <w:t>- тариф, дифференцированный по двум зонам суток – 5,4%.</w:t>
      </w:r>
    </w:p>
    <w:p w14:paraId="65373924" w14:textId="77777777" w:rsidR="00CA1205" w:rsidRPr="005B6D88" w:rsidRDefault="00CA1205" w:rsidP="00CA1205">
      <w:pPr>
        <w:spacing w:line="276" w:lineRule="auto"/>
        <w:ind w:right="-1" w:firstLine="708"/>
        <w:rPr>
          <w:sz w:val="28"/>
          <w:szCs w:val="28"/>
          <w:lang w:eastAsia="ru-RU"/>
        </w:rPr>
      </w:pPr>
      <w:r w:rsidRPr="005B6D88">
        <w:rPr>
          <w:sz w:val="28"/>
          <w:szCs w:val="28"/>
          <w:lang w:eastAsia="ru-RU"/>
        </w:rPr>
        <w:t>Рост тарифа на газ природный, реализуемый населению Самарской области с 01.07.2021 составил 3,4%.</w:t>
      </w:r>
    </w:p>
    <w:p w14:paraId="12980288" w14:textId="77777777" w:rsidR="00CA1205" w:rsidRPr="005B6D88" w:rsidRDefault="00CA1205" w:rsidP="00CA1205">
      <w:pPr>
        <w:spacing w:line="276" w:lineRule="auto"/>
        <w:ind w:right="-1" w:firstLine="708"/>
        <w:rPr>
          <w:sz w:val="28"/>
          <w:szCs w:val="28"/>
          <w:lang w:eastAsia="ru-RU"/>
        </w:rPr>
      </w:pPr>
      <w:r w:rsidRPr="005B6D88">
        <w:rPr>
          <w:sz w:val="28"/>
          <w:szCs w:val="28"/>
          <w:lang w:eastAsia="ru-RU"/>
        </w:rPr>
        <w:t>С 01.07.2021 единый тариф на услугу по обращению с твердыми коммунальными отходами на территории Самарской области для населения составил 598,16 рублей.</w:t>
      </w:r>
    </w:p>
    <w:p w14:paraId="6CA5D6D2" w14:textId="77777777" w:rsidR="00CA1205" w:rsidRPr="005B6D88" w:rsidRDefault="00CA1205" w:rsidP="00CA1205">
      <w:pPr>
        <w:spacing w:line="276" w:lineRule="auto"/>
        <w:ind w:right="-1" w:firstLine="708"/>
        <w:rPr>
          <w:sz w:val="28"/>
          <w:szCs w:val="28"/>
          <w:lang w:eastAsia="ru-RU"/>
        </w:rPr>
      </w:pPr>
      <w:r w:rsidRPr="005B6D88">
        <w:rPr>
          <w:sz w:val="28"/>
          <w:szCs w:val="28"/>
          <w:lang w:eastAsia="ru-RU"/>
        </w:rPr>
        <w:t>Размер платы за содержание жилого помещения для нанимателей муниципального жилищного фонда в 2021 году по степени благоустройства в соответствии с постановлением администрации городского округа Тольятти № 3935-п/1 от 24.12.2020</w:t>
      </w:r>
      <w:r w:rsidR="003120DE" w:rsidRPr="005B6D88">
        <w:rPr>
          <w:sz w:val="28"/>
          <w:szCs w:val="28"/>
          <w:lang w:eastAsia="ru-RU"/>
        </w:rPr>
        <w:t xml:space="preserve"> </w:t>
      </w:r>
      <w:r w:rsidRPr="005B6D88">
        <w:rPr>
          <w:sz w:val="28"/>
          <w:szCs w:val="28"/>
          <w:lang w:eastAsia="ru-RU"/>
        </w:rPr>
        <w:t>составит 24,02 рубля/м2.</w:t>
      </w:r>
    </w:p>
    <w:p w14:paraId="312F3811" w14:textId="77777777" w:rsidR="00CA1205" w:rsidRPr="005B6D88" w:rsidRDefault="00CA1205" w:rsidP="00CA1205">
      <w:pPr>
        <w:spacing w:line="276" w:lineRule="auto"/>
        <w:ind w:firstLine="708"/>
        <w:rPr>
          <w:sz w:val="28"/>
          <w:szCs w:val="28"/>
          <w:lang w:eastAsia="ru-RU"/>
        </w:rPr>
      </w:pPr>
      <w:r w:rsidRPr="005B6D88">
        <w:rPr>
          <w:sz w:val="28"/>
          <w:szCs w:val="28"/>
          <w:lang w:eastAsia="ru-RU"/>
        </w:rPr>
        <w:t>Постановлением администрации городского округа Тольятти от 25.12.2019 № 3637-п/1 утверждены регулируемые тарифы на перевозки пассажиров и багажа по муниципальным маршрутам регулярных перевозок в городском округе Тольятти с 01.01.2020:</w:t>
      </w:r>
    </w:p>
    <w:p w14:paraId="7B86AEBA" w14:textId="77777777" w:rsidR="00CA1205" w:rsidRPr="005B6D88" w:rsidRDefault="00CA1205" w:rsidP="00CA1205">
      <w:pPr>
        <w:spacing w:line="276" w:lineRule="auto"/>
        <w:ind w:firstLine="708"/>
        <w:rPr>
          <w:sz w:val="28"/>
          <w:szCs w:val="28"/>
          <w:lang w:eastAsia="ru-RU"/>
        </w:rPr>
      </w:pPr>
      <w:r w:rsidRPr="005B6D88">
        <w:rPr>
          <w:sz w:val="28"/>
          <w:szCs w:val="28"/>
          <w:lang w:eastAsia="ru-RU"/>
        </w:rPr>
        <w:t>- регулируемые тарифы на перевозки пассажиров и багажа при приобретении билета на одну поездку в размере 29 рублей;</w:t>
      </w:r>
    </w:p>
    <w:p w14:paraId="78EA0B81" w14:textId="77777777" w:rsidR="00CA1205" w:rsidRPr="005B6D88" w:rsidRDefault="00CA1205" w:rsidP="00CA1205">
      <w:pPr>
        <w:spacing w:line="276" w:lineRule="auto"/>
        <w:ind w:firstLine="708"/>
        <w:rPr>
          <w:sz w:val="28"/>
          <w:szCs w:val="28"/>
          <w:lang w:eastAsia="ru-RU"/>
        </w:rPr>
      </w:pPr>
      <w:r w:rsidRPr="005B6D88">
        <w:rPr>
          <w:sz w:val="28"/>
          <w:szCs w:val="28"/>
          <w:lang w:eastAsia="ru-RU"/>
        </w:rPr>
        <w:t>- льготные регулируемые тарифы на перевозки пассажиров и багажа при оплате транспортными картами жителя городского округа Тольятти в размере 26 рублей;</w:t>
      </w:r>
    </w:p>
    <w:p w14:paraId="45C85078" w14:textId="77777777" w:rsidR="00CA1205" w:rsidRPr="005B6D88" w:rsidRDefault="00CA1205" w:rsidP="00CA1205">
      <w:pPr>
        <w:spacing w:line="276" w:lineRule="auto"/>
        <w:ind w:firstLine="708"/>
        <w:rPr>
          <w:sz w:val="28"/>
          <w:szCs w:val="28"/>
          <w:lang w:eastAsia="ru-RU"/>
        </w:rPr>
      </w:pPr>
      <w:r w:rsidRPr="005B6D88">
        <w:rPr>
          <w:sz w:val="28"/>
          <w:szCs w:val="28"/>
          <w:lang w:eastAsia="ru-RU"/>
        </w:rPr>
        <w:t>- стоимость льготного электронного проездного билета «Студенческий» на месяц на два вида транспорта (автобус, троллейбус) в размере 870 рублей;</w:t>
      </w:r>
    </w:p>
    <w:p w14:paraId="30C3E822" w14:textId="77777777" w:rsidR="00CA1205" w:rsidRPr="00CA1205" w:rsidRDefault="00CA1205" w:rsidP="00CA1205">
      <w:pPr>
        <w:spacing w:line="276" w:lineRule="auto"/>
        <w:ind w:firstLine="708"/>
        <w:rPr>
          <w:sz w:val="28"/>
          <w:szCs w:val="28"/>
          <w:lang w:eastAsia="ru-RU"/>
        </w:rPr>
      </w:pPr>
      <w:r w:rsidRPr="005B6D88">
        <w:rPr>
          <w:sz w:val="28"/>
          <w:szCs w:val="28"/>
          <w:lang w:eastAsia="ru-RU"/>
        </w:rPr>
        <w:t>- стоимость льготного электронного проездного билета «Для учащихся» на месяц на два вида транспорта (автобус, троллейбус) в размере 609 рублей;</w:t>
      </w:r>
    </w:p>
    <w:p w14:paraId="66AD2057" w14:textId="77777777" w:rsidR="00CA1205" w:rsidRPr="00CA1205" w:rsidRDefault="00CA1205" w:rsidP="00CA1205">
      <w:pPr>
        <w:spacing w:line="276" w:lineRule="auto"/>
        <w:ind w:firstLine="708"/>
        <w:rPr>
          <w:sz w:val="28"/>
          <w:szCs w:val="28"/>
          <w:lang w:eastAsia="ru-RU"/>
        </w:rPr>
      </w:pPr>
      <w:r w:rsidRPr="00CA1205">
        <w:rPr>
          <w:sz w:val="28"/>
          <w:szCs w:val="28"/>
          <w:lang w:eastAsia="ru-RU"/>
        </w:rPr>
        <w:t>- стоимость безлимитной единой транспортной карты на два вида транспорта (автобус, троллейбус) в размере 1 550 рублей.</w:t>
      </w:r>
    </w:p>
    <w:p w14:paraId="1A77B612" w14:textId="77777777" w:rsidR="00616D7E" w:rsidRPr="008253D3" w:rsidRDefault="00616D7E" w:rsidP="00443EE9">
      <w:pPr>
        <w:pStyle w:val="1f0"/>
        <w:spacing w:line="276" w:lineRule="auto"/>
        <w:ind w:right="-1"/>
        <w:jc w:val="center"/>
        <w:rPr>
          <w:rFonts w:ascii="Times New Roman" w:hAnsi="Times New Roman" w:cs="Times New Roman"/>
          <w:b/>
          <w:sz w:val="28"/>
          <w:szCs w:val="28"/>
          <w:highlight w:val="yellow"/>
        </w:rPr>
      </w:pPr>
    </w:p>
    <w:p w14:paraId="7D909099" w14:textId="77777777" w:rsidR="004D3812" w:rsidRPr="005B6D88" w:rsidRDefault="004D3812" w:rsidP="00974690">
      <w:pPr>
        <w:pStyle w:val="3"/>
        <w:rPr>
          <w:rStyle w:val="31"/>
          <w:rFonts w:ascii="Times New Roman" w:hAnsi="Times New Roman"/>
          <w:b/>
          <w:bCs w:val="0"/>
          <w:sz w:val="28"/>
          <w:szCs w:val="28"/>
        </w:rPr>
      </w:pPr>
      <w:r w:rsidRPr="005B6D88">
        <w:rPr>
          <w:rStyle w:val="31"/>
          <w:rFonts w:ascii="Times New Roman" w:hAnsi="Times New Roman"/>
          <w:b/>
          <w:bCs w:val="0"/>
          <w:sz w:val="28"/>
          <w:szCs w:val="28"/>
        </w:rPr>
        <w:t>Промышленное производство</w:t>
      </w:r>
      <w:bookmarkStart w:id="0" w:name="пром"/>
      <w:bookmarkEnd w:id="0"/>
      <w:r w:rsidRPr="005B6D88">
        <w:rPr>
          <w:rStyle w:val="31"/>
          <w:rFonts w:ascii="Times New Roman" w:hAnsi="Times New Roman"/>
          <w:b/>
          <w:bCs w:val="0"/>
          <w:sz w:val="28"/>
          <w:szCs w:val="28"/>
        </w:rPr>
        <w:t xml:space="preserve"> </w:t>
      </w:r>
    </w:p>
    <w:p w14:paraId="2E084966" w14:textId="77777777" w:rsidR="004D3812" w:rsidRPr="005B6D88" w:rsidRDefault="004D3812" w:rsidP="00974690">
      <w:pPr>
        <w:pStyle w:val="1f0"/>
        <w:keepNext/>
        <w:spacing w:line="276" w:lineRule="auto"/>
        <w:ind w:right="-1"/>
        <w:jc w:val="center"/>
        <w:rPr>
          <w:rFonts w:ascii="Times New Roman" w:hAnsi="Times New Roman" w:cs="Times New Roman"/>
          <w:b/>
          <w:sz w:val="28"/>
          <w:szCs w:val="28"/>
        </w:rPr>
      </w:pPr>
      <w:r w:rsidRPr="005B6D88">
        <w:rPr>
          <w:rFonts w:ascii="Times New Roman" w:hAnsi="Times New Roman" w:cs="Times New Roman"/>
          <w:b/>
          <w:sz w:val="28"/>
          <w:szCs w:val="28"/>
        </w:rPr>
        <w:t>(Обрабатывающие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14:paraId="0EF4A5CD" w14:textId="77777777" w:rsidR="004D3812" w:rsidRPr="008253D3" w:rsidRDefault="004D3812" w:rsidP="00974690">
      <w:pPr>
        <w:pStyle w:val="1f0"/>
        <w:keepNext/>
        <w:spacing w:line="276" w:lineRule="auto"/>
        <w:ind w:right="-1"/>
        <w:jc w:val="center"/>
        <w:rPr>
          <w:rFonts w:ascii="Times New Roman" w:hAnsi="Times New Roman" w:cs="Times New Roman"/>
          <w:b/>
          <w:sz w:val="28"/>
          <w:szCs w:val="28"/>
          <w:highlight w:val="yellow"/>
        </w:rPr>
      </w:pPr>
    </w:p>
    <w:p w14:paraId="38BCDE8D" w14:textId="349D0AC4" w:rsidR="004C28D5" w:rsidRPr="004C28D5" w:rsidRDefault="004C28D5" w:rsidP="004C28D5">
      <w:pPr>
        <w:widowControl w:val="0"/>
        <w:numPr>
          <w:ilvl w:val="0"/>
          <w:numId w:val="5"/>
        </w:numPr>
        <w:suppressAutoHyphens w:val="0"/>
        <w:spacing w:line="276" w:lineRule="auto"/>
        <w:ind w:left="0" w:firstLine="851"/>
        <w:rPr>
          <w:color w:val="000000"/>
          <w:sz w:val="28"/>
          <w:szCs w:val="28"/>
          <w:lang w:eastAsia="ru-RU"/>
        </w:rPr>
      </w:pPr>
      <w:r w:rsidRPr="004C28D5">
        <w:rPr>
          <w:color w:val="000000"/>
          <w:sz w:val="28"/>
          <w:szCs w:val="28"/>
          <w:lang w:eastAsia="ru-RU"/>
        </w:rPr>
        <w:t xml:space="preserve">В городском округе Тольятти насчитывается 176 крупных и средних </w:t>
      </w:r>
      <w:r w:rsidRPr="004C28D5">
        <w:rPr>
          <w:color w:val="000000"/>
          <w:sz w:val="28"/>
          <w:szCs w:val="28"/>
          <w:lang w:eastAsia="ru-RU"/>
        </w:rPr>
        <w:lastRenderedPageBreak/>
        <w:t xml:space="preserve">предприятий, 2756 субъектов малого предпринимательства </w:t>
      </w:r>
      <w:r w:rsidR="00B17B3D">
        <w:rPr>
          <w:color w:val="000000"/>
          <w:sz w:val="28"/>
          <w:szCs w:val="28"/>
          <w:lang w:eastAsia="ru-RU"/>
        </w:rPr>
        <w:t>(</w:t>
      </w:r>
      <w:r w:rsidRPr="004C28D5">
        <w:rPr>
          <w:color w:val="000000"/>
          <w:sz w:val="28"/>
          <w:szCs w:val="28"/>
          <w:lang w:eastAsia="ru-RU"/>
        </w:rPr>
        <w:t>малых и ми</w:t>
      </w:r>
      <w:r w:rsidR="0046384C">
        <w:rPr>
          <w:color w:val="000000"/>
          <w:sz w:val="28"/>
          <w:szCs w:val="28"/>
          <w:lang w:eastAsia="ru-RU"/>
        </w:rPr>
        <w:t>к</w:t>
      </w:r>
      <w:r w:rsidRPr="004C28D5">
        <w:rPr>
          <w:color w:val="000000"/>
          <w:sz w:val="28"/>
          <w:szCs w:val="28"/>
          <w:lang w:eastAsia="ru-RU"/>
        </w:rPr>
        <w:t>ро предприятий</w:t>
      </w:r>
      <w:r w:rsidR="0046384C">
        <w:rPr>
          <w:color w:val="000000"/>
          <w:sz w:val="28"/>
          <w:szCs w:val="28"/>
          <w:lang w:eastAsia="ru-RU"/>
        </w:rPr>
        <w:t>,</w:t>
      </w:r>
      <w:r w:rsidRPr="004C28D5">
        <w:rPr>
          <w:color w:val="000000"/>
          <w:sz w:val="28"/>
          <w:szCs w:val="28"/>
          <w:lang w:eastAsia="ru-RU"/>
        </w:rPr>
        <w:t xml:space="preserve"> индивидуальных предпринимателей), основной вид деятельности которых – промышленное производство (разделы ОКВЭД </w:t>
      </w:r>
      <w:r w:rsidRPr="004C28D5">
        <w:rPr>
          <w:color w:val="000000"/>
          <w:sz w:val="28"/>
          <w:szCs w:val="28"/>
          <w:lang w:val="en-US" w:eastAsia="ru-RU"/>
        </w:rPr>
        <w:t>B</w:t>
      </w:r>
      <w:r w:rsidRPr="004C28D5">
        <w:rPr>
          <w:color w:val="000000"/>
          <w:sz w:val="28"/>
          <w:szCs w:val="28"/>
          <w:lang w:eastAsia="ru-RU"/>
        </w:rPr>
        <w:t>,</w:t>
      </w:r>
      <w:r w:rsidRPr="004C28D5">
        <w:rPr>
          <w:color w:val="000000"/>
          <w:sz w:val="28"/>
          <w:szCs w:val="28"/>
          <w:lang w:val="en-US" w:eastAsia="ru-RU"/>
        </w:rPr>
        <w:t>C</w:t>
      </w:r>
      <w:r w:rsidRPr="004C28D5">
        <w:rPr>
          <w:color w:val="000000"/>
          <w:sz w:val="28"/>
          <w:szCs w:val="28"/>
          <w:lang w:eastAsia="ru-RU"/>
        </w:rPr>
        <w:t>,</w:t>
      </w:r>
      <w:r w:rsidRPr="004C28D5">
        <w:rPr>
          <w:color w:val="000000"/>
          <w:sz w:val="28"/>
          <w:szCs w:val="28"/>
          <w:lang w:val="en-US" w:eastAsia="ru-RU"/>
        </w:rPr>
        <w:t>D</w:t>
      </w:r>
      <w:r w:rsidRPr="004C28D5">
        <w:rPr>
          <w:color w:val="000000"/>
          <w:sz w:val="28"/>
          <w:szCs w:val="28"/>
          <w:lang w:eastAsia="ru-RU"/>
        </w:rPr>
        <w:t>,</w:t>
      </w:r>
      <w:r w:rsidRPr="004C28D5">
        <w:rPr>
          <w:color w:val="000000"/>
          <w:sz w:val="28"/>
          <w:szCs w:val="28"/>
          <w:lang w:val="en-US" w:eastAsia="ru-RU"/>
        </w:rPr>
        <w:t>E</w:t>
      </w:r>
      <w:r w:rsidRPr="004C28D5">
        <w:rPr>
          <w:color w:val="000000"/>
          <w:sz w:val="28"/>
          <w:szCs w:val="28"/>
          <w:lang w:eastAsia="ru-RU"/>
        </w:rPr>
        <w:t>).</w:t>
      </w:r>
    </w:p>
    <w:p w14:paraId="40B2A003" w14:textId="77777777" w:rsidR="004C28D5" w:rsidRPr="004C28D5" w:rsidRDefault="004C28D5" w:rsidP="004C28D5">
      <w:pPr>
        <w:widowControl w:val="0"/>
        <w:numPr>
          <w:ilvl w:val="0"/>
          <w:numId w:val="5"/>
        </w:numPr>
        <w:suppressAutoHyphens w:val="0"/>
        <w:spacing w:line="276" w:lineRule="auto"/>
        <w:ind w:left="0" w:firstLine="709"/>
        <w:contextualSpacing/>
        <w:rPr>
          <w:color w:val="000000"/>
          <w:sz w:val="28"/>
          <w:szCs w:val="28"/>
          <w:lang w:eastAsia="ru-RU"/>
        </w:rPr>
      </w:pPr>
      <w:r w:rsidRPr="004C28D5">
        <w:rPr>
          <w:color w:val="000000"/>
          <w:sz w:val="28"/>
          <w:szCs w:val="28"/>
          <w:lang w:eastAsia="ru-RU"/>
        </w:rPr>
        <w:t xml:space="preserve">Негативное влияние на промышленный комплекс городского округа Тольятти, который составляет основу экономики города, оказали ограничительные меры, введенные в стране в связи с распространением новой коронавирусной инфекции. Многие предприятия в 2020 году были вынуждены сократить производство, находились в простое. Это привело к снижению показателей деятельности по большинству видов промышленной деятельности. </w:t>
      </w:r>
    </w:p>
    <w:p w14:paraId="1FB1764C" w14:textId="07B2CD42" w:rsidR="004C28D5" w:rsidRPr="004C28D5" w:rsidRDefault="004C28D5" w:rsidP="004C28D5">
      <w:pPr>
        <w:widowControl w:val="0"/>
        <w:numPr>
          <w:ilvl w:val="0"/>
          <w:numId w:val="5"/>
        </w:numPr>
        <w:suppressAutoHyphens w:val="0"/>
        <w:spacing w:line="276" w:lineRule="auto"/>
        <w:ind w:left="0" w:firstLine="709"/>
        <w:contextualSpacing/>
        <w:rPr>
          <w:color w:val="000000"/>
          <w:sz w:val="28"/>
          <w:szCs w:val="28"/>
          <w:lang w:eastAsia="ru-RU"/>
        </w:rPr>
      </w:pPr>
      <w:r w:rsidRPr="004C28D5">
        <w:rPr>
          <w:color w:val="000000"/>
          <w:sz w:val="28"/>
          <w:szCs w:val="28"/>
          <w:lang w:eastAsia="ru-RU"/>
        </w:rPr>
        <w:t xml:space="preserve">В итоге, </w:t>
      </w:r>
      <w:r w:rsidR="000D1764">
        <w:rPr>
          <w:color w:val="000000"/>
          <w:sz w:val="28"/>
          <w:szCs w:val="28"/>
          <w:lang w:eastAsia="ru-RU"/>
        </w:rPr>
        <w:t xml:space="preserve">по данным </w:t>
      </w:r>
      <w:proofErr w:type="spellStart"/>
      <w:r w:rsidR="000D1764">
        <w:rPr>
          <w:color w:val="000000"/>
          <w:sz w:val="28"/>
          <w:szCs w:val="28"/>
          <w:lang w:eastAsia="ru-RU"/>
        </w:rPr>
        <w:t>Самарастата</w:t>
      </w:r>
      <w:proofErr w:type="spellEnd"/>
      <w:r w:rsidR="00B17B3D">
        <w:rPr>
          <w:color w:val="000000"/>
          <w:sz w:val="28"/>
          <w:szCs w:val="28"/>
          <w:lang w:eastAsia="ru-RU"/>
        </w:rPr>
        <w:t>,</w:t>
      </w:r>
      <w:r w:rsidR="000D1764">
        <w:rPr>
          <w:color w:val="000000"/>
          <w:sz w:val="28"/>
          <w:szCs w:val="28"/>
          <w:lang w:eastAsia="ru-RU"/>
        </w:rPr>
        <w:t xml:space="preserve"> </w:t>
      </w:r>
      <w:r w:rsidRPr="004C28D5">
        <w:rPr>
          <w:color w:val="000000"/>
          <w:sz w:val="28"/>
          <w:szCs w:val="28"/>
          <w:lang w:eastAsia="ru-RU"/>
        </w:rPr>
        <w:t xml:space="preserve">за 2020 год индекс промышленного производства составил 92% к 2019 году, в том числе в производстве автотранспортных средств – 84,3%. Государственные меры стимулирования автомобильного рынка и успешная реализация программы опережающих госзакупок нивелировали часть негативных последствий для градообразующего предприятия АО «АВТОВАЗ». </w:t>
      </w:r>
    </w:p>
    <w:p w14:paraId="761407F7" w14:textId="4B3ED485" w:rsidR="004C28D5" w:rsidRPr="004C28D5" w:rsidRDefault="004C28D5" w:rsidP="004C28D5">
      <w:pPr>
        <w:widowControl w:val="0"/>
        <w:suppressAutoHyphens w:val="0"/>
        <w:spacing w:line="276" w:lineRule="auto"/>
        <w:rPr>
          <w:color w:val="000000"/>
          <w:sz w:val="28"/>
          <w:szCs w:val="28"/>
          <w:lang w:eastAsia="ru-RU"/>
        </w:rPr>
      </w:pPr>
      <w:r w:rsidRPr="004C28D5">
        <w:rPr>
          <w:color w:val="000000"/>
          <w:sz w:val="28"/>
          <w:szCs w:val="28"/>
          <w:lang w:eastAsia="ru-RU"/>
        </w:rPr>
        <w:t xml:space="preserve">Объем отгруженной промышленной продукции промышленных предприятий города в 2020 году сократился на 7,8% и составил 505 518,7 млн. рублей, за счет снижения отгрузки в автомобилестроении (на 12,4% до 300977,0 млн. рублей) и в химическом производстве (на 6,8% до 84 166,2 млн. рублей), прочие виды деятельности, напротив, выросли на 11,6% до </w:t>
      </w:r>
      <w:r w:rsidR="00376BCA">
        <w:rPr>
          <w:color w:val="000000"/>
          <w:sz w:val="28"/>
          <w:szCs w:val="28"/>
          <w:lang w:eastAsia="ru-RU"/>
        </w:rPr>
        <w:t xml:space="preserve">             </w:t>
      </w:r>
      <w:r w:rsidRPr="004C28D5">
        <w:rPr>
          <w:color w:val="000000"/>
          <w:sz w:val="28"/>
          <w:szCs w:val="28"/>
          <w:lang w:eastAsia="ru-RU"/>
        </w:rPr>
        <w:t xml:space="preserve">84 166,2 млн. рублей. </w:t>
      </w:r>
    </w:p>
    <w:p w14:paraId="79827E12" w14:textId="53DC2FBD" w:rsidR="004C28D5" w:rsidRPr="004C28D5" w:rsidRDefault="004C28D5" w:rsidP="004C28D5">
      <w:pPr>
        <w:widowControl w:val="0"/>
        <w:suppressAutoHyphens w:val="0"/>
        <w:spacing w:line="276" w:lineRule="auto"/>
        <w:rPr>
          <w:rFonts w:eastAsia="Calibri"/>
          <w:sz w:val="28"/>
          <w:szCs w:val="28"/>
          <w:lang w:eastAsia="ru-RU"/>
        </w:rPr>
      </w:pPr>
      <w:r w:rsidRPr="004C28D5">
        <w:rPr>
          <w:rFonts w:eastAsia="Calibri"/>
          <w:sz w:val="28"/>
          <w:szCs w:val="28"/>
          <w:lang w:eastAsia="ru-RU"/>
        </w:rPr>
        <w:t xml:space="preserve">В </w:t>
      </w:r>
      <w:r w:rsidR="0046250A">
        <w:rPr>
          <w:rFonts w:eastAsia="Calibri"/>
          <w:sz w:val="28"/>
          <w:szCs w:val="28"/>
          <w:lang w:val="en-US" w:eastAsia="ru-RU"/>
        </w:rPr>
        <w:t>I</w:t>
      </w:r>
      <w:r w:rsidRPr="004C28D5">
        <w:rPr>
          <w:rFonts w:eastAsia="Calibri"/>
          <w:sz w:val="28"/>
          <w:szCs w:val="28"/>
          <w:lang w:eastAsia="ru-RU"/>
        </w:rPr>
        <w:t xml:space="preserve"> полугодии 2021 года в промышленном комплексе городского округа Тольятти наблюдается значительный рост производства к низкой базе 2020 года.</w:t>
      </w:r>
    </w:p>
    <w:p w14:paraId="1E2B75BF" w14:textId="77777777" w:rsidR="004C28D5" w:rsidRPr="004C28D5" w:rsidRDefault="004C28D5" w:rsidP="004C28D5">
      <w:pPr>
        <w:widowControl w:val="0"/>
        <w:numPr>
          <w:ilvl w:val="0"/>
          <w:numId w:val="5"/>
        </w:numPr>
        <w:suppressAutoHyphens w:val="0"/>
        <w:spacing w:line="276" w:lineRule="auto"/>
        <w:ind w:left="0" w:firstLine="709"/>
        <w:rPr>
          <w:color w:val="000000"/>
          <w:sz w:val="28"/>
          <w:szCs w:val="28"/>
          <w:lang w:eastAsia="ru-RU"/>
        </w:rPr>
      </w:pPr>
      <w:r w:rsidRPr="004C28D5">
        <w:rPr>
          <w:color w:val="000000"/>
          <w:sz w:val="28"/>
          <w:szCs w:val="28"/>
          <w:lang w:eastAsia="ru-RU"/>
        </w:rPr>
        <w:t>За январь-июнь 2021 года индекс промышленного производства, который характеризует динамику объемов промышленного производства в натуральном выражении, составил 117,4% к уровню аналогичного периода 2020 года, в том числе в обрабатывающем секторе – 130,7%, в обеспечении электрической энергией, газом и паром; кондиционировании воздуха – 110,1%; в водоснабжении, водоотведении, организации сбора и утилизации отходов, деятельности по ликвидации загрязнений – 101,2%.</w:t>
      </w:r>
    </w:p>
    <w:p w14:paraId="0450E7F2" w14:textId="71791E76" w:rsidR="004C28D5" w:rsidRPr="004C28D5" w:rsidRDefault="004C28D5" w:rsidP="004C28D5">
      <w:pPr>
        <w:widowControl w:val="0"/>
        <w:numPr>
          <w:ilvl w:val="0"/>
          <w:numId w:val="5"/>
        </w:numPr>
        <w:suppressAutoHyphens w:val="0"/>
        <w:spacing w:line="276" w:lineRule="auto"/>
        <w:ind w:left="0" w:firstLine="709"/>
        <w:rPr>
          <w:color w:val="000000"/>
          <w:sz w:val="28"/>
          <w:szCs w:val="28"/>
          <w:lang w:eastAsia="ru-RU"/>
        </w:rPr>
      </w:pPr>
      <w:r w:rsidRPr="004C28D5">
        <w:rPr>
          <w:color w:val="000000"/>
          <w:sz w:val="28"/>
          <w:szCs w:val="28"/>
          <w:lang w:eastAsia="ru-RU"/>
        </w:rPr>
        <w:t>Среди городских округов Самарской области за январь-июнь 2021 года городской округ Тольятти занял 5 место по индексу промышленного производства, улучшив свой результат на 3 позиции (на 1 месте г. Чапаевск – 133</w:t>
      </w:r>
      <w:r w:rsidR="00B17B3D">
        <w:rPr>
          <w:color w:val="000000"/>
          <w:sz w:val="28"/>
          <w:szCs w:val="28"/>
          <w:lang w:eastAsia="ru-RU"/>
        </w:rPr>
        <w:t>,0</w:t>
      </w:r>
      <w:r w:rsidRPr="004C28D5">
        <w:rPr>
          <w:color w:val="000000"/>
          <w:sz w:val="28"/>
          <w:szCs w:val="28"/>
          <w:lang w:eastAsia="ru-RU"/>
        </w:rPr>
        <w:t>%).</w:t>
      </w:r>
    </w:p>
    <w:p w14:paraId="2EDEF44D" w14:textId="43FADA1D" w:rsidR="004C28D5" w:rsidRPr="004C28D5" w:rsidRDefault="004C28D5" w:rsidP="004C28D5">
      <w:pPr>
        <w:widowControl w:val="0"/>
        <w:numPr>
          <w:ilvl w:val="0"/>
          <w:numId w:val="5"/>
        </w:numPr>
        <w:suppressAutoHyphens w:val="0"/>
        <w:spacing w:line="276" w:lineRule="auto"/>
        <w:ind w:left="0" w:firstLine="709"/>
        <w:rPr>
          <w:color w:val="000000"/>
          <w:sz w:val="28"/>
          <w:szCs w:val="28"/>
          <w:lang w:eastAsia="ru-RU"/>
        </w:rPr>
      </w:pPr>
      <w:r w:rsidRPr="004C28D5">
        <w:rPr>
          <w:color w:val="000000"/>
          <w:sz w:val="28"/>
          <w:szCs w:val="28"/>
          <w:lang w:eastAsia="ru-RU"/>
        </w:rPr>
        <w:t xml:space="preserve">Объем отгруженной продукции собственного производства вырос за январь-июнь 2021 года на 53,8% или на 115 256,8 млн. рублей к </w:t>
      </w:r>
      <w:r w:rsidRPr="004C28D5">
        <w:rPr>
          <w:color w:val="000000"/>
          <w:sz w:val="28"/>
          <w:szCs w:val="28"/>
          <w:lang w:eastAsia="ru-RU"/>
        </w:rPr>
        <w:lastRenderedPageBreak/>
        <w:t xml:space="preserve">аналогичному периоду  2020 года и составил 329 628,6 млн. рублей (32,3% от объема по Самарской области), в том числе в обрабатывающем секторе – на 57,4% до 308 093,0 млн. рублей, в обеспечении электрической энергией, газом и паром; кондиционировании воздуха - на 18,2% до 13 208,8 млн. рублей; в водоснабжении, водоотведении, организации сбора и утилизации отходов, деятельности по ликвидации загрязнений - на 10,8% и составил </w:t>
      </w:r>
      <w:r w:rsidR="00376BCA">
        <w:rPr>
          <w:color w:val="000000"/>
          <w:sz w:val="28"/>
          <w:szCs w:val="28"/>
          <w:lang w:eastAsia="ru-RU"/>
        </w:rPr>
        <w:t xml:space="preserve">               </w:t>
      </w:r>
      <w:r w:rsidRPr="004C28D5">
        <w:rPr>
          <w:color w:val="000000"/>
          <w:sz w:val="28"/>
          <w:szCs w:val="28"/>
          <w:lang w:eastAsia="ru-RU"/>
        </w:rPr>
        <w:t>8 326,7 млн. рублей.</w:t>
      </w:r>
    </w:p>
    <w:p w14:paraId="3A4EE917" w14:textId="246EDFA0" w:rsidR="004C28D5" w:rsidRPr="004C28D5" w:rsidRDefault="004C28D5" w:rsidP="004C28D5">
      <w:pPr>
        <w:widowControl w:val="0"/>
        <w:numPr>
          <w:ilvl w:val="0"/>
          <w:numId w:val="5"/>
        </w:numPr>
        <w:suppressAutoHyphens w:val="0"/>
        <w:spacing w:line="276" w:lineRule="auto"/>
        <w:ind w:left="0" w:firstLine="709"/>
        <w:rPr>
          <w:color w:val="000000"/>
          <w:sz w:val="28"/>
          <w:szCs w:val="28"/>
          <w:lang w:eastAsia="ru-RU"/>
        </w:rPr>
      </w:pPr>
      <w:r w:rsidRPr="004C28D5">
        <w:rPr>
          <w:color w:val="000000"/>
          <w:sz w:val="28"/>
          <w:szCs w:val="28"/>
          <w:lang w:eastAsia="ru-RU"/>
        </w:rPr>
        <w:t>Среди городских округов Самарской области за январь-июнь 2021 года городской округ Тольятти занял 1 место по объемам отгруженных товаров</w:t>
      </w:r>
      <w:r w:rsidR="000D1764">
        <w:rPr>
          <w:color w:val="000000"/>
          <w:sz w:val="28"/>
          <w:szCs w:val="28"/>
          <w:lang w:eastAsia="ru-RU"/>
        </w:rPr>
        <w:t xml:space="preserve"> (2 место среди 15 региональных центров Приволжского Федерального округа после Уфы)</w:t>
      </w:r>
      <w:r w:rsidRPr="004C28D5">
        <w:rPr>
          <w:color w:val="000000"/>
          <w:sz w:val="28"/>
          <w:szCs w:val="28"/>
          <w:lang w:eastAsia="ru-RU"/>
        </w:rPr>
        <w:t xml:space="preserve">, а в расчете на душу населения - 4 </w:t>
      </w:r>
      <w:r w:rsidRPr="000C73C9">
        <w:rPr>
          <w:color w:val="000000"/>
          <w:sz w:val="28"/>
          <w:szCs w:val="28"/>
          <w:lang w:eastAsia="ru-RU"/>
        </w:rPr>
        <w:t>место (снижение на 1 позицию).</w:t>
      </w:r>
    </w:p>
    <w:p w14:paraId="0050FD43" w14:textId="18894F77" w:rsidR="004C28D5" w:rsidRPr="004C28D5" w:rsidRDefault="004C28D5" w:rsidP="004C28D5">
      <w:pPr>
        <w:widowControl w:val="0"/>
        <w:numPr>
          <w:ilvl w:val="0"/>
          <w:numId w:val="5"/>
        </w:numPr>
        <w:suppressAutoHyphens w:val="0"/>
        <w:spacing w:line="276" w:lineRule="auto"/>
        <w:ind w:left="0" w:firstLine="709"/>
        <w:rPr>
          <w:color w:val="000000"/>
          <w:sz w:val="28"/>
          <w:szCs w:val="28"/>
          <w:lang w:eastAsia="ru-RU"/>
        </w:rPr>
      </w:pPr>
      <w:r w:rsidRPr="004C28D5">
        <w:rPr>
          <w:color w:val="000000"/>
          <w:sz w:val="28"/>
          <w:szCs w:val="28"/>
          <w:lang w:eastAsia="ru-RU"/>
        </w:rPr>
        <w:t xml:space="preserve">Наибольшая доля в общем объеме отгруженных товаров пришлась на «Обрабатывающие производства» (87,3%). В структуре промышленности города по-прежнему преобладают традиционные виды деятельности </w:t>
      </w:r>
      <w:r w:rsidR="00376BCA">
        <w:rPr>
          <w:color w:val="000000"/>
          <w:sz w:val="28"/>
          <w:szCs w:val="28"/>
          <w:lang w:eastAsia="ru-RU"/>
        </w:rPr>
        <w:t>–</w:t>
      </w:r>
      <w:r w:rsidRPr="004C28D5">
        <w:rPr>
          <w:color w:val="000000"/>
          <w:sz w:val="28"/>
          <w:szCs w:val="28"/>
          <w:lang w:eastAsia="ru-RU"/>
        </w:rPr>
        <w:t xml:space="preserve"> </w:t>
      </w:r>
      <w:r w:rsidR="00376BCA">
        <w:rPr>
          <w:color w:val="000000"/>
          <w:sz w:val="28"/>
          <w:szCs w:val="28"/>
          <w:lang w:eastAsia="ru-RU"/>
        </w:rPr>
        <w:t>производство автотранспортных средств</w:t>
      </w:r>
      <w:r w:rsidRPr="004C28D5">
        <w:rPr>
          <w:color w:val="000000"/>
          <w:sz w:val="28"/>
          <w:szCs w:val="28"/>
          <w:lang w:eastAsia="ru-RU"/>
        </w:rPr>
        <w:t xml:space="preserve"> и химическое производство:  в январе – июне 2021 года их доля выросла и составила 57,4% и 28,4% соответственно. Удельный вес других видов деятельности сократился на 11,4 процентных пункта к соответствующему периоду прошлого года и составил 14,2%.</w:t>
      </w:r>
    </w:p>
    <w:p w14:paraId="3E10A804" w14:textId="77777777" w:rsidR="004C28D5" w:rsidRPr="004C28D5" w:rsidRDefault="004C28D5" w:rsidP="004C28D5">
      <w:pPr>
        <w:suppressAutoHyphens w:val="0"/>
        <w:spacing w:line="276" w:lineRule="auto"/>
        <w:ind w:right="-1"/>
        <w:rPr>
          <w:sz w:val="28"/>
          <w:szCs w:val="28"/>
          <w:lang w:eastAsia="ru-RU"/>
        </w:rPr>
      </w:pPr>
      <w:r w:rsidRPr="004C28D5">
        <w:rPr>
          <w:sz w:val="28"/>
          <w:szCs w:val="28"/>
          <w:lang w:eastAsia="ru-RU"/>
        </w:rPr>
        <w:t xml:space="preserve">Динамика показателей по видам промышленной деятельности за январь-июнь 2021 года в обрабатывающем секторе сложилась  следующим образом: </w:t>
      </w:r>
    </w:p>
    <w:p w14:paraId="200A6F88" w14:textId="2A5DDFF6" w:rsidR="004C28D5" w:rsidRPr="004C28D5" w:rsidRDefault="004C28D5" w:rsidP="004C28D5">
      <w:pPr>
        <w:suppressAutoHyphens w:val="0"/>
        <w:spacing w:line="276" w:lineRule="auto"/>
        <w:ind w:right="-1"/>
        <w:rPr>
          <w:sz w:val="28"/>
          <w:szCs w:val="28"/>
          <w:lang w:eastAsia="ru-RU"/>
        </w:rPr>
      </w:pPr>
      <w:r w:rsidRPr="004C28D5">
        <w:rPr>
          <w:sz w:val="28"/>
          <w:szCs w:val="28"/>
          <w:lang w:eastAsia="ru-RU"/>
        </w:rPr>
        <w:t>- производство автотранспортных средств, прицепов и полуприцепов:  индекс производства составил 137,8%; объем отгруженной продукции вырос на 65,0% до 189 233 млн. рублей, производство легковых автомобилей увеличилось на 37,8% до 176</w:t>
      </w:r>
      <w:r w:rsidR="00BE4400">
        <w:rPr>
          <w:sz w:val="28"/>
          <w:szCs w:val="28"/>
          <w:lang w:eastAsia="ru-RU"/>
        </w:rPr>
        <w:t>,</w:t>
      </w:r>
      <w:r w:rsidRPr="004C28D5">
        <w:rPr>
          <w:sz w:val="28"/>
          <w:szCs w:val="28"/>
          <w:lang w:eastAsia="ru-RU"/>
        </w:rPr>
        <w:t xml:space="preserve">0 </w:t>
      </w:r>
      <w:r w:rsidR="00BE4400">
        <w:rPr>
          <w:sz w:val="28"/>
          <w:szCs w:val="28"/>
          <w:lang w:eastAsia="ru-RU"/>
        </w:rPr>
        <w:t xml:space="preserve">тыс. </w:t>
      </w:r>
      <w:r w:rsidRPr="004C28D5">
        <w:rPr>
          <w:sz w:val="28"/>
          <w:szCs w:val="28"/>
          <w:lang w:eastAsia="ru-RU"/>
        </w:rPr>
        <w:t xml:space="preserve">штук, производство комплектующих и принадлежностей для автотранспортных средств выросло на 53,7%. </w:t>
      </w:r>
    </w:p>
    <w:p w14:paraId="4B65809C" w14:textId="164D8ADE" w:rsidR="004C28D5" w:rsidRPr="004C28D5" w:rsidRDefault="004C28D5" w:rsidP="004C28D5">
      <w:pPr>
        <w:suppressAutoHyphens w:val="0"/>
        <w:spacing w:line="276" w:lineRule="auto"/>
        <w:rPr>
          <w:sz w:val="28"/>
          <w:szCs w:val="28"/>
          <w:lang w:eastAsia="ru-RU"/>
        </w:rPr>
      </w:pPr>
      <w:r w:rsidRPr="004C28D5">
        <w:rPr>
          <w:sz w:val="28"/>
          <w:szCs w:val="28"/>
          <w:lang w:eastAsia="ru-RU"/>
        </w:rPr>
        <w:t>Основное влияние на динамику показателей в автомобилестроении оказывает деятельность АО «АВТОВАЗ», объемы производства и реализации продукции которого в  полугодии 2021 года существенно выросли в сравнении с низкой базой 2020 года. По данным предприятия, за 6 месяцев 2021 года мировые продажи автомобилей LADA в первом полугодии 2021 года увеличились на 41,1% до 215 448 единиц, в России было продано             200 219 легковых и легких коммерческих автомобилей LADA, что на 51% больше, чем в первой половине 2020 года. Доля рынка LADA составила 23% (+2,1 процентных пункта к</w:t>
      </w:r>
      <w:r w:rsidR="00B81A11">
        <w:rPr>
          <w:sz w:val="28"/>
          <w:szCs w:val="28"/>
          <w:lang w:eastAsia="ru-RU"/>
        </w:rPr>
        <w:t xml:space="preserve"> </w:t>
      </w:r>
      <w:r w:rsidR="00B81A11">
        <w:rPr>
          <w:sz w:val="28"/>
          <w:szCs w:val="28"/>
          <w:lang w:val="en-US" w:eastAsia="ru-RU"/>
        </w:rPr>
        <w:t>I</w:t>
      </w:r>
      <w:r w:rsidR="00C4437E">
        <w:rPr>
          <w:sz w:val="28"/>
          <w:szCs w:val="28"/>
          <w:lang w:eastAsia="ru-RU"/>
        </w:rPr>
        <w:t xml:space="preserve"> полугодию 2020 года)</w:t>
      </w:r>
      <w:r w:rsidRPr="004C28D5">
        <w:rPr>
          <w:sz w:val="28"/>
          <w:szCs w:val="28"/>
          <w:lang w:eastAsia="ru-RU"/>
        </w:rPr>
        <w:t xml:space="preserve">. Уровень локализации автомобилей LADA в настоящее время составляет от 50 до 90% в зависимости от модели. </w:t>
      </w:r>
    </w:p>
    <w:p w14:paraId="1003B019" w14:textId="28BCFA3E" w:rsidR="004C28D5" w:rsidRPr="004C28D5" w:rsidRDefault="004C28D5" w:rsidP="004C28D5">
      <w:pPr>
        <w:shd w:val="clear" w:color="auto" w:fill="FFFFFF"/>
        <w:spacing w:line="276" w:lineRule="auto"/>
        <w:rPr>
          <w:sz w:val="28"/>
          <w:szCs w:val="28"/>
          <w:lang w:eastAsia="ru-RU"/>
        </w:rPr>
      </w:pPr>
      <w:r w:rsidRPr="004C28D5">
        <w:rPr>
          <w:sz w:val="28"/>
          <w:szCs w:val="28"/>
          <w:lang w:eastAsia="ru-RU"/>
        </w:rPr>
        <w:lastRenderedPageBreak/>
        <w:t>Однако, в связи с нехваткой у завода электронных компонентов, в   июле, августе</w:t>
      </w:r>
      <w:r w:rsidR="00376BCA">
        <w:rPr>
          <w:sz w:val="28"/>
          <w:szCs w:val="28"/>
          <w:lang w:eastAsia="ru-RU"/>
        </w:rPr>
        <w:t>,</w:t>
      </w:r>
      <w:r w:rsidRPr="004C28D5">
        <w:rPr>
          <w:sz w:val="28"/>
          <w:szCs w:val="28"/>
          <w:lang w:eastAsia="ru-RU"/>
        </w:rPr>
        <w:t xml:space="preserve"> сентябре</w:t>
      </w:r>
      <w:r w:rsidR="00376BCA">
        <w:rPr>
          <w:sz w:val="28"/>
          <w:szCs w:val="28"/>
          <w:lang w:eastAsia="ru-RU"/>
        </w:rPr>
        <w:t xml:space="preserve"> и октябре</w:t>
      </w:r>
      <w:r w:rsidRPr="004C28D5">
        <w:rPr>
          <w:sz w:val="28"/>
          <w:szCs w:val="28"/>
          <w:lang w:eastAsia="ru-RU"/>
        </w:rPr>
        <w:t xml:space="preserve"> предприятие временно останавливало производство на всех трех линиях по производству автомобилей. Это привело к дефициту автомобилей Lada на автомобильном рынке страны, в частности самой популярной модели - </w:t>
      </w:r>
      <w:proofErr w:type="spellStart"/>
      <w:r w:rsidRPr="004C28D5">
        <w:rPr>
          <w:sz w:val="28"/>
          <w:szCs w:val="28"/>
          <w:lang w:eastAsia="ru-RU"/>
        </w:rPr>
        <w:t>Granta</w:t>
      </w:r>
      <w:proofErr w:type="spellEnd"/>
      <w:r w:rsidRPr="004C28D5">
        <w:rPr>
          <w:sz w:val="28"/>
          <w:szCs w:val="28"/>
          <w:lang w:eastAsia="ru-RU"/>
        </w:rPr>
        <w:t>. Продажи предприят</w:t>
      </w:r>
      <w:r w:rsidR="00C4437E">
        <w:rPr>
          <w:sz w:val="28"/>
          <w:szCs w:val="28"/>
          <w:lang w:eastAsia="ru-RU"/>
        </w:rPr>
        <w:t>ия в августе снизились на 32,6% к августу 2020 года</w:t>
      </w:r>
      <w:r w:rsidRPr="004C28D5">
        <w:rPr>
          <w:sz w:val="28"/>
          <w:szCs w:val="28"/>
          <w:lang w:eastAsia="ru-RU"/>
        </w:rPr>
        <w:t xml:space="preserve">. </w:t>
      </w:r>
    </w:p>
    <w:p w14:paraId="7887773C" w14:textId="3D121D46" w:rsidR="004C28D5" w:rsidRPr="004C28D5" w:rsidRDefault="004C28D5" w:rsidP="004C28D5">
      <w:pPr>
        <w:suppressAutoHyphens w:val="0"/>
        <w:spacing w:line="276" w:lineRule="auto"/>
        <w:ind w:right="-1"/>
        <w:rPr>
          <w:sz w:val="28"/>
          <w:szCs w:val="28"/>
          <w:lang w:eastAsia="ru-RU"/>
        </w:rPr>
      </w:pPr>
      <w:r w:rsidRPr="004C28D5">
        <w:rPr>
          <w:sz w:val="28"/>
          <w:szCs w:val="28"/>
          <w:lang w:eastAsia="ru-RU"/>
        </w:rPr>
        <w:t xml:space="preserve">Помимо АО «АВТОВАЗ» в городском округе Тольятти действуют около </w:t>
      </w:r>
      <w:r w:rsidR="00C4437E">
        <w:rPr>
          <w:sz w:val="28"/>
          <w:szCs w:val="28"/>
          <w:lang w:eastAsia="ru-RU"/>
        </w:rPr>
        <w:t>50</w:t>
      </w:r>
      <w:r w:rsidRPr="004C28D5">
        <w:rPr>
          <w:sz w:val="28"/>
          <w:szCs w:val="28"/>
          <w:lang w:eastAsia="ru-RU"/>
        </w:rPr>
        <w:t xml:space="preserve"> крупных и средних предприятий по производству автокомпонентов,  деятельность которых непосредственно связана с АО «АВТОВАЗ».</w:t>
      </w:r>
    </w:p>
    <w:p w14:paraId="7FF635EC" w14:textId="77777777" w:rsidR="004C28D5" w:rsidRPr="004C28D5" w:rsidRDefault="004C28D5" w:rsidP="004C28D5">
      <w:pPr>
        <w:suppressAutoHyphens w:val="0"/>
        <w:spacing w:line="276" w:lineRule="auto"/>
        <w:ind w:right="-1"/>
        <w:rPr>
          <w:sz w:val="28"/>
          <w:szCs w:val="28"/>
          <w:lang w:eastAsia="ru-RU"/>
        </w:rPr>
      </w:pPr>
      <w:r w:rsidRPr="004C28D5">
        <w:rPr>
          <w:sz w:val="28"/>
          <w:szCs w:val="28"/>
          <w:lang w:eastAsia="ru-RU"/>
        </w:rPr>
        <w:t>В текущем году производство внедорожника «Лада Нива Travel» на АО «Лада Запад Тольятти» (бывший ЗАО «</w:t>
      </w:r>
      <w:r w:rsidRPr="004C28D5">
        <w:rPr>
          <w:sz w:val="28"/>
          <w:szCs w:val="28"/>
          <w:lang w:val="en-US" w:eastAsia="ru-RU"/>
        </w:rPr>
        <w:t>GM</w:t>
      </w:r>
      <w:r w:rsidRPr="004C28D5">
        <w:rPr>
          <w:sz w:val="28"/>
          <w:szCs w:val="28"/>
          <w:lang w:eastAsia="ru-RU"/>
        </w:rPr>
        <w:t xml:space="preserve">-АВТОВАЗ») перенесено на основную производственную площадку АО «АВТОВАЗ» – линию «Нива Legend». </w:t>
      </w:r>
    </w:p>
    <w:p w14:paraId="237FAC20" w14:textId="3B79A9A8" w:rsidR="004C28D5" w:rsidRPr="004C28D5" w:rsidRDefault="004C28D5" w:rsidP="004C28D5">
      <w:pPr>
        <w:suppressAutoHyphens w:val="0"/>
        <w:spacing w:line="276" w:lineRule="auto"/>
        <w:ind w:right="-1"/>
        <w:rPr>
          <w:sz w:val="28"/>
          <w:szCs w:val="28"/>
          <w:lang w:eastAsia="ru-RU"/>
        </w:rPr>
      </w:pPr>
      <w:r w:rsidRPr="004C28D5">
        <w:rPr>
          <w:sz w:val="28"/>
          <w:szCs w:val="28"/>
          <w:lang w:eastAsia="ru-RU"/>
        </w:rPr>
        <w:t xml:space="preserve">Таким образом, с учетом замедления темпов роста производства автомобилей во втором полугодии 2021 года </w:t>
      </w:r>
      <w:r w:rsidR="00374EF9" w:rsidRPr="00374EF9">
        <w:rPr>
          <w:sz w:val="28"/>
          <w:szCs w:val="28"/>
          <w:lang w:eastAsia="ru-RU"/>
        </w:rPr>
        <w:t>(</w:t>
      </w:r>
      <w:r w:rsidR="00374EF9">
        <w:rPr>
          <w:sz w:val="28"/>
          <w:szCs w:val="28"/>
          <w:lang w:eastAsia="ru-RU"/>
        </w:rPr>
        <w:t>в январе-августе 2021 года темп роста прои</w:t>
      </w:r>
      <w:r w:rsidR="00376BCA">
        <w:rPr>
          <w:sz w:val="28"/>
          <w:szCs w:val="28"/>
          <w:lang w:eastAsia="ru-RU"/>
        </w:rPr>
        <w:t>з</w:t>
      </w:r>
      <w:r w:rsidR="00374EF9">
        <w:rPr>
          <w:sz w:val="28"/>
          <w:szCs w:val="28"/>
          <w:lang w:eastAsia="ru-RU"/>
        </w:rPr>
        <w:t>водства автомобил</w:t>
      </w:r>
      <w:r w:rsidR="00376BCA">
        <w:rPr>
          <w:sz w:val="28"/>
          <w:szCs w:val="28"/>
          <w:lang w:eastAsia="ru-RU"/>
        </w:rPr>
        <w:t>е</w:t>
      </w:r>
      <w:r w:rsidR="00374EF9">
        <w:rPr>
          <w:sz w:val="28"/>
          <w:szCs w:val="28"/>
          <w:lang w:eastAsia="ru-RU"/>
        </w:rPr>
        <w:t xml:space="preserve">й составил 115,8%) </w:t>
      </w:r>
      <w:r w:rsidRPr="004C28D5">
        <w:rPr>
          <w:sz w:val="28"/>
          <w:szCs w:val="28"/>
          <w:lang w:eastAsia="ru-RU"/>
        </w:rPr>
        <w:t xml:space="preserve">на основании уточненных производственных планов АО «АВТОВАЗ», </w:t>
      </w:r>
      <w:r w:rsidR="00C4437E">
        <w:rPr>
          <w:sz w:val="28"/>
          <w:szCs w:val="28"/>
          <w:lang w:eastAsia="ru-RU"/>
        </w:rPr>
        <w:t xml:space="preserve">количество </w:t>
      </w:r>
      <w:r w:rsidRPr="004C28D5">
        <w:rPr>
          <w:sz w:val="28"/>
          <w:szCs w:val="28"/>
          <w:lang w:eastAsia="ru-RU"/>
        </w:rPr>
        <w:t>произв</w:t>
      </w:r>
      <w:r w:rsidR="00C4437E">
        <w:rPr>
          <w:sz w:val="28"/>
          <w:szCs w:val="28"/>
          <w:lang w:eastAsia="ru-RU"/>
        </w:rPr>
        <w:t>еденных</w:t>
      </w:r>
      <w:r w:rsidRPr="004C28D5">
        <w:rPr>
          <w:sz w:val="28"/>
          <w:szCs w:val="28"/>
          <w:lang w:eastAsia="ru-RU"/>
        </w:rPr>
        <w:t xml:space="preserve"> легковых автомобилей на территории городского округа Тольятти в 2021 году оценивается на уровне 337,0 тыс. штук, что на 4,2% больше чем в 2020 году (в 2020 году произведено 323,6 тыс. штук). Объем отгруженной автомобильной продукции с учетом неоднократного повышения цен АО «АВТОВАЗ» на выпущенные автомобили увеличится на 12,5% и оценивается на сумму 338 626,6 млн. рублей</w:t>
      </w:r>
      <w:r w:rsidR="00376BCA">
        <w:rPr>
          <w:sz w:val="28"/>
          <w:szCs w:val="28"/>
          <w:lang w:eastAsia="ru-RU"/>
        </w:rPr>
        <w:t>;</w:t>
      </w:r>
    </w:p>
    <w:p w14:paraId="13D61AE2" w14:textId="3741664A" w:rsidR="004C28D5" w:rsidRPr="004C28D5" w:rsidRDefault="004C28D5" w:rsidP="004C28D5">
      <w:pPr>
        <w:suppressAutoHyphens w:val="0"/>
        <w:spacing w:line="276" w:lineRule="auto"/>
        <w:rPr>
          <w:sz w:val="28"/>
          <w:szCs w:val="28"/>
          <w:lang w:eastAsia="ru-RU"/>
        </w:rPr>
      </w:pPr>
      <w:r w:rsidRPr="004C28D5">
        <w:rPr>
          <w:sz w:val="28"/>
          <w:szCs w:val="28"/>
          <w:lang w:eastAsia="ru-RU"/>
        </w:rPr>
        <w:t xml:space="preserve">- </w:t>
      </w:r>
      <w:r w:rsidR="00C4437E">
        <w:rPr>
          <w:sz w:val="28"/>
          <w:szCs w:val="28"/>
          <w:lang w:eastAsia="ru-RU"/>
        </w:rPr>
        <w:t xml:space="preserve">химическое </w:t>
      </w:r>
      <w:r w:rsidRPr="004C28D5">
        <w:rPr>
          <w:sz w:val="28"/>
          <w:szCs w:val="28"/>
          <w:lang w:eastAsia="ru-RU"/>
        </w:rPr>
        <w:t xml:space="preserve">производство: индекс производства в </w:t>
      </w:r>
      <w:r w:rsidR="002E3A48">
        <w:rPr>
          <w:sz w:val="28"/>
          <w:szCs w:val="28"/>
          <w:lang w:val="en-US" w:eastAsia="ru-RU"/>
        </w:rPr>
        <w:t>I</w:t>
      </w:r>
      <w:r w:rsidRPr="004C28D5">
        <w:rPr>
          <w:sz w:val="28"/>
          <w:szCs w:val="28"/>
          <w:lang w:eastAsia="ru-RU"/>
        </w:rPr>
        <w:t xml:space="preserve"> полугодии 2021 года составил 101,4%. Производство минеральных или химических удобрений выросло на 1,8%, карбоната – на 9,7%, пластмассы в первичных формах - на 9,6%, полиамида в первичных формах - на 24,1%, синтетических каучуков – на 0,2%; при этом на 0,7% снижено производство аммиака. Объем отгруженной химической продукции вырос на 54,3% до 93 558,6 млн. рублей, что стало следствием восстановления мировой экономики и высоких цен на внешнем рынке.  </w:t>
      </w:r>
    </w:p>
    <w:p w14:paraId="17D2047B" w14:textId="77777777" w:rsidR="004C28D5" w:rsidRPr="004C28D5" w:rsidRDefault="004C28D5" w:rsidP="004C28D5">
      <w:pPr>
        <w:widowControl w:val="0"/>
        <w:spacing w:line="276" w:lineRule="auto"/>
        <w:rPr>
          <w:rFonts w:eastAsia="Calibri"/>
          <w:sz w:val="28"/>
          <w:szCs w:val="28"/>
          <w:lang w:eastAsia="ru-RU"/>
        </w:rPr>
      </w:pPr>
      <w:r w:rsidRPr="004C28D5">
        <w:rPr>
          <w:sz w:val="28"/>
          <w:szCs w:val="28"/>
          <w:lang w:eastAsia="ru-RU"/>
        </w:rPr>
        <w:t xml:space="preserve">Химическая отрасль является одной из лидирующих отраслей промышленности городского округа Тольятти. </w:t>
      </w:r>
      <w:r w:rsidRPr="004C28D5">
        <w:rPr>
          <w:rFonts w:eastAsia="Calibri"/>
          <w:sz w:val="28"/>
          <w:szCs w:val="28"/>
          <w:lang w:eastAsia="ru-RU"/>
        </w:rPr>
        <w:t>С учетом динамики производства химической продукции, а также на основании собственных прогнозов крупнейших химических предприятий города, по итогам 2021 года индекс химического производства оценочно составит 102,2%, объем отгруженной химической продукции увеличится на 55,5% до 187 200 млн. рублей;</w:t>
      </w:r>
    </w:p>
    <w:p w14:paraId="6F0294E2" w14:textId="2B2F3E80" w:rsidR="004C28D5" w:rsidRPr="004C28D5" w:rsidRDefault="004C28D5" w:rsidP="004C28D5">
      <w:pPr>
        <w:suppressAutoHyphens w:val="0"/>
        <w:spacing w:line="276" w:lineRule="auto"/>
        <w:rPr>
          <w:sz w:val="28"/>
          <w:szCs w:val="28"/>
          <w:lang w:eastAsia="ru-RU"/>
        </w:rPr>
      </w:pPr>
      <w:r w:rsidRPr="004C28D5">
        <w:rPr>
          <w:sz w:val="28"/>
          <w:szCs w:val="28"/>
          <w:lang w:eastAsia="ru-RU"/>
        </w:rPr>
        <w:lastRenderedPageBreak/>
        <w:t xml:space="preserve">- производство пищевых продуктов: индекс производства вырос до 106,4%, в том числе производство колбасных изделий </w:t>
      </w:r>
      <w:r w:rsidR="004F6311">
        <w:rPr>
          <w:sz w:val="28"/>
          <w:szCs w:val="28"/>
          <w:lang w:eastAsia="ru-RU"/>
        </w:rPr>
        <w:t>увеличилось</w:t>
      </w:r>
      <w:r w:rsidRPr="004C28D5">
        <w:rPr>
          <w:sz w:val="28"/>
          <w:szCs w:val="28"/>
          <w:lang w:eastAsia="ru-RU"/>
        </w:rPr>
        <w:t xml:space="preserve"> на 12,1% до 17,0 тыс. тонн, полуфабрикатов мясных – на 14,7% до 4,6 тыс. тонн, производство молока (кроме сырного) - на 17,5%; производство тортов и пирожных недлительного хранения – на 10,3% до 0,3 тыс. тонн.  При этом снижено производство: хлеба и хлебобулочных изделий – на 2% до 13,5 тыс. тонн, кондитерских изделий - на 9,7% до 3,9 тыс. тонн. Объем отгруженной пищевой продукции за период с начала отчетного года к соответствующему периоду прошлого года увеличился на 6,4% до 8166,4 млн. рублей.</w:t>
      </w:r>
    </w:p>
    <w:p w14:paraId="511696C4" w14:textId="77777777" w:rsidR="004C28D5" w:rsidRPr="004C28D5" w:rsidRDefault="004C28D5" w:rsidP="004C28D5">
      <w:pPr>
        <w:suppressAutoHyphens w:val="0"/>
        <w:spacing w:line="276" w:lineRule="auto"/>
        <w:rPr>
          <w:color w:val="333333"/>
          <w:sz w:val="28"/>
          <w:szCs w:val="28"/>
          <w:shd w:val="clear" w:color="auto" w:fill="FFFFFF"/>
          <w:lang w:eastAsia="ru-RU"/>
        </w:rPr>
      </w:pPr>
      <w:r w:rsidRPr="004C28D5">
        <w:rPr>
          <w:sz w:val="28"/>
          <w:szCs w:val="28"/>
          <w:shd w:val="clear" w:color="auto" w:fill="FFFFFF"/>
          <w:lang w:eastAsia="ru-RU"/>
        </w:rPr>
        <w:t>Пищевая промышленность городского округа Тольятти представлена производством мясной и молочной продукции, хлеба и хлебобулочных изделий, кондитерских изделий. В городском округе Тольятти насчитывается 10 крупных и средних предприятий, производящих продукцию пищевой промышленности, 130 малых и миро предприятий и 94 индивидуальных предпринимателей, основной вид деятельности которых - производство пищевой промышленности.</w:t>
      </w:r>
      <w:r w:rsidRPr="004C28D5">
        <w:rPr>
          <w:color w:val="333333"/>
          <w:sz w:val="28"/>
          <w:szCs w:val="28"/>
          <w:shd w:val="clear" w:color="auto" w:fill="FFFFFF"/>
          <w:lang w:eastAsia="ru-RU"/>
        </w:rPr>
        <w:t xml:space="preserve"> </w:t>
      </w:r>
    </w:p>
    <w:p w14:paraId="6AA2AFFF" w14:textId="7E5DFA22" w:rsidR="004C28D5" w:rsidRPr="004C28D5" w:rsidRDefault="004C28D5" w:rsidP="004C28D5">
      <w:pPr>
        <w:widowControl w:val="0"/>
        <w:suppressAutoHyphens w:val="0"/>
        <w:spacing w:line="276" w:lineRule="auto"/>
        <w:rPr>
          <w:sz w:val="28"/>
          <w:szCs w:val="28"/>
          <w:lang w:eastAsia="ru-RU"/>
        </w:rPr>
      </w:pPr>
      <w:r w:rsidRPr="004C28D5">
        <w:rPr>
          <w:sz w:val="28"/>
          <w:szCs w:val="28"/>
          <w:lang w:eastAsia="ru-RU"/>
        </w:rPr>
        <w:t>Следует отметить, что в период введенных в стране ограничений, связанных с распространения новой коронавирусной инфекцией, предприятия пищевой промышленности, в отличие от остальных предприятий промышленного сектора, осуществляли производственную деятельность в полном объеме, что позволило не допус</w:t>
      </w:r>
      <w:r w:rsidR="004F6311">
        <w:rPr>
          <w:sz w:val="28"/>
          <w:szCs w:val="28"/>
          <w:lang w:eastAsia="ru-RU"/>
        </w:rPr>
        <w:t>тить снижение динамики развития;</w:t>
      </w:r>
    </w:p>
    <w:p w14:paraId="7E46BED2" w14:textId="2DAEEE81" w:rsidR="004C28D5" w:rsidRPr="004C28D5" w:rsidRDefault="004C28D5" w:rsidP="004C28D5">
      <w:pPr>
        <w:suppressAutoHyphens w:val="0"/>
        <w:spacing w:line="276" w:lineRule="auto"/>
        <w:ind w:right="-1"/>
        <w:rPr>
          <w:sz w:val="28"/>
          <w:szCs w:val="28"/>
          <w:lang w:eastAsia="ru-RU"/>
        </w:rPr>
      </w:pPr>
      <w:r w:rsidRPr="004C28D5">
        <w:rPr>
          <w:sz w:val="28"/>
          <w:szCs w:val="28"/>
          <w:lang w:eastAsia="ru-RU"/>
        </w:rPr>
        <w:t>- производство текстильных изделий: индекс производства составил 153,3%, объем отгруженной продукции вырос на 58,9% и составил 1645,1 млн. рублей;</w:t>
      </w:r>
    </w:p>
    <w:p w14:paraId="7B1381C9" w14:textId="77777777" w:rsidR="004C28D5" w:rsidRPr="004C28D5" w:rsidRDefault="004C28D5" w:rsidP="004C28D5">
      <w:pPr>
        <w:suppressAutoHyphens w:val="0"/>
        <w:spacing w:line="276" w:lineRule="auto"/>
        <w:ind w:right="-1"/>
        <w:rPr>
          <w:sz w:val="28"/>
          <w:szCs w:val="28"/>
          <w:lang w:eastAsia="ru-RU"/>
        </w:rPr>
      </w:pPr>
      <w:r w:rsidRPr="004C28D5">
        <w:rPr>
          <w:sz w:val="28"/>
          <w:szCs w:val="28"/>
          <w:lang w:eastAsia="ru-RU"/>
        </w:rPr>
        <w:t>- производство резиновых и пластмассовых изделий: индекс производства - 115,5%; объем отгруженной продукции вырос на 83,3% до 3476,9 млн. рублей;</w:t>
      </w:r>
    </w:p>
    <w:p w14:paraId="3666F3D5" w14:textId="77777777" w:rsidR="004C28D5" w:rsidRPr="004C28D5" w:rsidRDefault="004C28D5" w:rsidP="004C28D5">
      <w:pPr>
        <w:suppressAutoHyphens w:val="0"/>
        <w:spacing w:line="276" w:lineRule="auto"/>
        <w:ind w:right="-1"/>
        <w:rPr>
          <w:sz w:val="28"/>
          <w:szCs w:val="28"/>
          <w:lang w:eastAsia="ru-RU"/>
        </w:rPr>
      </w:pPr>
      <w:r w:rsidRPr="004C28D5">
        <w:rPr>
          <w:sz w:val="28"/>
          <w:szCs w:val="28"/>
          <w:lang w:eastAsia="ru-RU"/>
        </w:rPr>
        <w:t>- производство прочей неметаллической минеральной продукции: индекс производства - 109,5%, производство бетона выросло в 2,3 раза; при этом объем отгруженной продукции снизился на 13,6% до 924,9 млн. рублей;</w:t>
      </w:r>
    </w:p>
    <w:p w14:paraId="26A4F6F1" w14:textId="77777777" w:rsidR="004C28D5" w:rsidRPr="004C28D5" w:rsidRDefault="004C28D5" w:rsidP="004C28D5">
      <w:pPr>
        <w:suppressAutoHyphens w:val="0"/>
        <w:spacing w:line="276" w:lineRule="auto"/>
        <w:ind w:right="-1"/>
        <w:rPr>
          <w:sz w:val="28"/>
          <w:szCs w:val="28"/>
          <w:lang w:eastAsia="ru-RU"/>
        </w:rPr>
      </w:pPr>
      <w:r w:rsidRPr="004C28D5">
        <w:rPr>
          <w:sz w:val="28"/>
          <w:szCs w:val="28"/>
          <w:lang w:eastAsia="ru-RU"/>
        </w:rPr>
        <w:t>- металлургическое производство: индекс производства составил 101,8%; объем отгруженной продукции по данному виду деятельности увеличился на 68,0% до 4449,5 млн. рублей;</w:t>
      </w:r>
    </w:p>
    <w:p w14:paraId="21A236BF" w14:textId="77777777" w:rsidR="004C28D5" w:rsidRPr="004C28D5" w:rsidRDefault="004C28D5" w:rsidP="004C28D5">
      <w:pPr>
        <w:suppressAutoHyphens w:val="0"/>
        <w:spacing w:line="276" w:lineRule="auto"/>
        <w:ind w:right="-1"/>
        <w:rPr>
          <w:sz w:val="28"/>
          <w:szCs w:val="28"/>
          <w:lang w:eastAsia="ru-RU"/>
        </w:rPr>
      </w:pPr>
      <w:r w:rsidRPr="004C28D5">
        <w:rPr>
          <w:sz w:val="28"/>
          <w:szCs w:val="28"/>
          <w:lang w:eastAsia="ru-RU"/>
        </w:rPr>
        <w:t>- производство готовых металлических изделий, кроме машин и оборудования: индекс производства - 109,4%; объем отгруженной продукции вырос на 31,0% до 1258,2 млн. рублей;</w:t>
      </w:r>
    </w:p>
    <w:p w14:paraId="671B03E4" w14:textId="3C2C273D" w:rsidR="004C28D5" w:rsidRPr="004C28D5" w:rsidRDefault="004C28D5" w:rsidP="004C28D5">
      <w:pPr>
        <w:suppressAutoHyphens w:val="0"/>
        <w:spacing w:line="276" w:lineRule="auto"/>
        <w:ind w:right="-1"/>
        <w:rPr>
          <w:sz w:val="28"/>
          <w:szCs w:val="28"/>
          <w:lang w:eastAsia="ru-RU"/>
        </w:rPr>
      </w:pPr>
      <w:r w:rsidRPr="004C28D5">
        <w:rPr>
          <w:sz w:val="28"/>
          <w:szCs w:val="28"/>
          <w:lang w:eastAsia="ru-RU"/>
        </w:rPr>
        <w:t xml:space="preserve">- производство машин и оборудования, не включенных в другие группировки: индекс производства – 845,9% </w:t>
      </w:r>
      <w:r w:rsidRPr="004C28D5">
        <w:rPr>
          <w:rFonts w:eastAsia="Calibri"/>
          <w:sz w:val="26"/>
          <w:szCs w:val="26"/>
        </w:rPr>
        <w:t xml:space="preserve">за счет производства </w:t>
      </w:r>
      <w:r w:rsidRPr="004C28D5">
        <w:rPr>
          <w:rFonts w:eastAsia="Calibri"/>
          <w:sz w:val="26"/>
          <w:szCs w:val="26"/>
        </w:rPr>
        <w:lastRenderedPageBreak/>
        <w:t xml:space="preserve">автокондиционеров на ООО </w:t>
      </w:r>
      <w:r w:rsidR="00806DED">
        <w:rPr>
          <w:rFonts w:eastAsia="Calibri"/>
          <w:sz w:val="26"/>
          <w:szCs w:val="26"/>
        </w:rPr>
        <w:t>«</w:t>
      </w:r>
      <w:r w:rsidRPr="004C28D5">
        <w:rPr>
          <w:rFonts w:eastAsia="Calibri"/>
          <w:sz w:val="26"/>
          <w:szCs w:val="26"/>
        </w:rPr>
        <w:t>Фрост</w:t>
      </w:r>
      <w:r w:rsidR="00806DED">
        <w:rPr>
          <w:rFonts w:eastAsia="Calibri"/>
          <w:sz w:val="26"/>
          <w:szCs w:val="26"/>
        </w:rPr>
        <w:t>»</w:t>
      </w:r>
      <w:r w:rsidRPr="004C28D5">
        <w:rPr>
          <w:sz w:val="28"/>
          <w:szCs w:val="28"/>
          <w:lang w:eastAsia="ru-RU"/>
        </w:rPr>
        <w:t>; объем отгруженной продукции вырос на 28,9% до 1413,6 млн. рублей;</w:t>
      </w:r>
    </w:p>
    <w:p w14:paraId="12713F1D" w14:textId="04EA270E" w:rsidR="004C28D5" w:rsidRPr="004C28D5" w:rsidRDefault="004C28D5" w:rsidP="004C28D5">
      <w:pPr>
        <w:suppressAutoHyphens w:val="0"/>
        <w:spacing w:line="276" w:lineRule="auto"/>
        <w:ind w:right="-1"/>
        <w:rPr>
          <w:sz w:val="28"/>
          <w:szCs w:val="28"/>
          <w:lang w:eastAsia="ru-RU"/>
        </w:rPr>
      </w:pPr>
      <w:r w:rsidRPr="004C28D5">
        <w:rPr>
          <w:sz w:val="28"/>
          <w:szCs w:val="28"/>
          <w:lang w:eastAsia="ru-RU"/>
        </w:rPr>
        <w:t>- производство по виду деятельности ремонт и монтаж машин и оборудования: индекс производства – 101,3%; при этом, объем отгруженной продукции – снизился на 0,7% до 1081,9 млн. рублей</w:t>
      </w:r>
      <w:r w:rsidR="00806DED">
        <w:rPr>
          <w:sz w:val="28"/>
          <w:szCs w:val="28"/>
          <w:lang w:eastAsia="ru-RU"/>
        </w:rPr>
        <w:t>.</w:t>
      </w:r>
      <w:r w:rsidRPr="004C28D5">
        <w:rPr>
          <w:sz w:val="28"/>
          <w:szCs w:val="28"/>
          <w:lang w:eastAsia="ru-RU"/>
        </w:rPr>
        <w:t xml:space="preserve"> </w:t>
      </w:r>
    </w:p>
    <w:p w14:paraId="1D8EE3A0" w14:textId="77777777" w:rsidR="004C28D5" w:rsidRPr="004C28D5" w:rsidRDefault="004C28D5" w:rsidP="004C28D5">
      <w:pPr>
        <w:suppressAutoHyphens w:val="0"/>
        <w:spacing w:line="276" w:lineRule="auto"/>
        <w:ind w:right="-1"/>
        <w:rPr>
          <w:sz w:val="28"/>
          <w:szCs w:val="28"/>
          <w:lang w:eastAsia="ru-RU"/>
        </w:rPr>
      </w:pPr>
      <w:r w:rsidRPr="004C28D5">
        <w:rPr>
          <w:sz w:val="28"/>
          <w:szCs w:val="28"/>
          <w:lang w:eastAsia="ru-RU"/>
        </w:rPr>
        <w:t xml:space="preserve">Снижение производства продукции в отчетном периоде к 2020 году в обрабатывающем секторе демонстрировали следующие виды экономической деятельности: </w:t>
      </w:r>
    </w:p>
    <w:p w14:paraId="0DBF2B6C" w14:textId="77777777" w:rsidR="004C28D5" w:rsidRPr="004C28D5" w:rsidRDefault="004C28D5" w:rsidP="004C28D5">
      <w:pPr>
        <w:suppressAutoHyphens w:val="0"/>
        <w:spacing w:line="276" w:lineRule="auto"/>
        <w:ind w:right="-1"/>
        <w:rPr>
          <w:sz w:val="28"/>
          <w:szCs w:val="28"/>
          <w:lang w:eastAsia="ru-RU"/>
        </w:rPr>
      </w:pPr>
      <w:r w:rsidRPr="004C28D5">
        <w:rPr>
          <w:sz w:val="28"/>
          <w:szCs w:val="28"/>
          <w:lang w:eastAsia="ru-RU"/>
        </w:rPr>
        <w:t>- производство электрического оборудования: индекс производства – 33,6%; производство трансформаторов снизилось на 66,4%; объем отгруженной продукции снизился на 36,8% до 1175,8 млн. рублей;</w:t>
      </w:r>
    </w:p>
    <w:p w14:paraId="79F18DD8" w14:textId="77777777" w:rsidR="004C28D5" w:rsidRPr="004C28D5" w:rsidRDefault="004C28D5" w:rsidP="004C28D5">
      <w:pPr>
        <w:suppressAutoHyphens w:val="0"/>
        <w:spacing w:line="276" w:lineRule="auto"/>
        <w:ind w:right="-1"/>
        <w:rPr>
          <w:sz w:val="28"/>
          <w:szCs w:val="28"/>
          <w:lang w:eastAsia="ru-RU"/>
        </w:rPr>
      </w:pPr>
      <w:r w:rsidRPr="004C28D5">
        <w:rPr>
          <w:sz w:val="28"/>
          <w:szCs w:val="28"/>
          <w:lang w:eastAsia="ru-RU"/>
        </w:rPr>
        <w:t>- производство прочих готовых изделий: индекс производства – 62,3%; объем отгрузки по данному виду деятельности снизился на 29,0%.</w:t>
      </w:r>
    </w:p>
    <w:p w14:paraId="42DB9FD7" w14:textId="2EBE8E43" w:rsidR="004C28D5" w:rsidRPr="004C28D5" w:rsidRDefault="004C28D5" w:rsidP="004C28D5">
      <w:pPr>
        <w:widowControl w:val="0"/>
        <w:suppressAutoHyphens w:val="0"/>
        <w:spacing w:line="276" w:lineRule="auto"/>
        <w:rPr>
          <w:rFonts w:eastAsia="Calibri"/>
          <w:sz w:val="28"/>
          <w:szCs w:val="28"/>
          <w:lang w:eastAsia="ru-RU"/>
        </w:rPr>
      </w:pPr>
      <w:r w:rsidRPr="004C28D5">
        <w:rPr>
          <w:rFonts w:eastAsia="Calibri"/>
          <w:sz w:val="28"/>
          <w:szCs w:val="28"/>
          <w:lang w:eastAsia="ru-RU"/>
        </w:rPr>
        <w:t xml:space="preserve">По виду деятельности «Обеспечении электрической энергией, газом и паром, кондиционировании воздуха» (раздел D) в </w:t>
      </w:r>
      <w:r w:rsidR="002E3A48">
        <w:rPr>
          <w:rFonts w:eastAsia="Calibri"/>
          <w:sz w:val="28"/>
          <w:szCs w:val="28"/>
          <w:lang w:val="en-US" w:eastAsia="ru-RU"/>
        </w:rPr>
        <w:t>I</w:t>
      </w:r>
      <w:r w:rsidRPr="004C28D5">
        <w:rPr>
          <w:rFonts w:eastAsia="Calibri"/>
          <w:sz w:val="28"/>
          <w:szCs w:val="28"/>
          <w:lang w:eastAsia="ru-RU"/>
        </w:rPr>
        <w:t xml:space="preserve"> полугодии 2021 года индекс производства составил 110,1%; увеличено производство электроэнергии на 13,3%, пара и горячей воды - на 10% до 7936 тыс. </w:t>
      </w:r>
      <w:proofErr w:type="spellStart"/>
      <w:r w:rsidRPr="004C28D5">
        <w:rPr>
          <w:rFonts w:eastAsia="Calibri"/>
          <w:sz w:val="28"/>
          <w:szCs w:val="28"/>
          <w:lang w:eastAsia="ru-RU"/>
        </w:rPr>
        <w:t>гигакалорий</w:t>
      </w:r>
      <w:proofErr w:type="spellEnd"/>
      <w:r w:rsidRPr="004C28D5">
        <w:rPr>
          <w:rFonts w:eastAsia="Calibri"/>
          <w:sz w:val="28"/>
          <w:szCs w:val="28"/>
          <w:lang w:eastAsia="ru-RU"/>
        </w:rPr>
        <w:t>.  Объем отгруженной промышленной продукции вырос на 18,2% до 13208,8 млн. рублей. До конца года сложившаяся тенденция по данному виду деятельности изменится: в связи с ожидаемым снижением темпов промышленного производства во втором полугодии 2021 года индекс производства ожидается на уровне 99,8%. Объем отгруженной продукции увеличится незначительно до 22 800 млн. рублей.</w:t>
      </w:r>
    </w:p>
    <w:p w14:paraId="7E8FC50E" w14:textId="5B515E8C" w:rsidR="004C28D5" w:rsidRPr="004C28D5" w:rsidRDefault="004C28D5" w:rsidP="004C28D5">
      <w:pPr>
        <w:widowControl w:val="0"/>
        <w:suppressAutoHyphens w:val="0"/>
        <w:spacing w:line="276" w:lineRule="auto"/>
        <w:rPr>
          <w:rFonts w:eastAsia="Calibri"/>
          <w:sz w:val="28"/>
          <w:szCs w:val="28"/>
          <w:lang w:eastAsia="ru-RU"/>
        </w:rPr>
      </w:pPr>
      <w:r w:rsidRPr="004C28D5">
        <w:rPr>
          <w:rFonts w:eastAsia="Calibri"/>
          <w:sz w:val="28"/>
          <w:szCs w:val="28"/>
          <w:lang w:eastAsia="ru-RU"/>
        </w:rPr>
        <w:t xml:space="preserve">В </w:t>
      </w:r>
      <w:r w:rsidR="002E3A48">
        <w:rPr>
          <w:rFonts w:eastAsia="Calibri"/>
          <w:sz w:val="28"/>
          <w:szCs w:val="28"/>
          <w:lang w:val="en-US" w:eastAsia="ru-RU"/>
        </w:rPr>
        <w:t>I</w:t>
      </w:r>
      <w:r w:rsidRPr="004C28D5">
        <w:rPr>
          <w:rFonts w:eastAsia="Calibri"/>
          <w:sz w:val="28"/>
          <w:szCs w:val="28"/>
          <w:lang w:eastAsia="ru-RU"/>
        </w:rPr>
        <w:t xml:space="preserve"> полугодии 2021 года по виду деятельности «Водоснабжение, водоотведении, организации сбора и утилизации отходов, деятельности по ликвидации загрязнений» (раздел Е)  индекс производства составил 101,2% за счет роста сбора и обработки сточных вод (на 4,5%), при этом, производство по виду деятельности забор, очистка и распределение воды снизилось в </w:t>
      </w:r>
      <w:r w:rsidR="002E3A48">
        <w:rPr>
          <w:rFonts w:eastAsia="Calibri"/>
          <w:sz w:val="28"/>
          <w:szCs w:val="28"/>
          <w:lang w:val="en-US" w:eastAsia="ru-RU"/>
        </w:rPr>
        <w:t>I</w:t>
      </w:r>
      <w:r w:rsidRPr="004C28D5">
        <w:rPr>
          <w:rFonts w:eastAsia="Calibri"/>
          <w:sz w:val="28"/>
          <w:szCs w:val="28"/>
          <w:lang w:eastAsia="ru-RU"/>
        </w:rPr>
        <w:t xml:space="preserve"> полугодии 2021 года на 5,6%. Объем отгрузки по разделу Е вырос до 8326,7 млн. рублей, что на 10,8% больше 2020 года. К концу года индекс производства ожидается на уровне 97,3%. Объем отгруженной продукции составит 16 500 млн. рублей.</w:t>
      </w:r>
    </w:p>
    <w:p w14:paraId="6C87B500" w14:textId="68AD9669" w:rsidR="004C28D5" w:rsidRDefault="004C28D5" w:rsidP="004C28D5">
      <w:pPr>
        <w:widowControl w:val="0"/>
        <w:suppressAutoHyphens w:val="0"/>
        <w:spacing w:line="276" w:lineRule="auto"/>
        <w:ind w:right="2"/>
        <w:rPr>
          <w:sz w:val="28"/>
          <w:szCs w:val="28"/>
          <w:lang w:eastAsia="ru-RU"/>
        </w:rPr>
      </w:pPr>
      <w:r w:rsidRPr="004C28D5">
        <w:rPr>
          <w:sz w:val="28"/>
          <w:szCs w:val="28"/>
          <w:lang w:eastAsia="ru-RU"/>
        </w:rPr>
        <w:t>На рост и диверсификацию промышленного производства города оказывает влияние Особая экономическая зона промышленно-производственного типа «Тольятти» (</w:t>
      </w:r>
      <w:r w:rsidR="00803B29">
        <w:rPr>
          <w:sz w:val="28"/>
          <w:szCs w:val="28"/>
          <w:lang w:eastAsia="ru-RU"/>
        </w:rPr>
        <w:t xml:space="preserve">далее - </w:t>
      </w:r>
      <w:r w:rsidRPr="004C28D5">
        <w:rPr>
          <w:sz w:val="28"/>
          <w:szCs w:val="28"/>
          <w:lang w:eastAsia="ru-RU"/>
        </w:rPr>
        <w:t xml:space="preserve">ОЭЗ ППТ «Тольятти»), которая вошла в границы городского округа Тольятти в июне 2020 года. В </w:t>
      </w:r>
      <w:r w:rsidR="002E3A48">
        <w:rPr>
          <w:sz w:val="28"/>
          <w:szCs w:val="28"/>
          <w:lang w:val="en-US" w:eastAsia="ru-RU"/>
        </w:rPr>
        <w:t>I</w:t>
      </w:r>
      <w:r w:rsidRPr="004C28D5">
        <w:rPr>
          <w:sz w:val="28"/>
          <w:szCs w:val="28"/>
          <w:lang w:eastAsia="ru-RU"/>
        </w:rPr>
        <w:t xml:space="preserve"> полугодии 2021 года всеми резидентами ОЭЗ ППТ «Тольятти» отгружено промышленной продукции на сумму 4698,2 млн. рублей, что на 83,2% больше соответствующего периода прошлого года,  за 2021 год планируется </w:t>
      </w:r>
      <w:r w:rsidRPr="004C28D5">
        <w:rPr>
          <w:sz w:val="28"/>
          <w:szCs w:val="28"/>
          <w:lang w:eastAsia="ru-RU"/>
        </w:rPr>
        <w:lastRenderedPageBreak/>
        <w:t>отгрузить 5500 млн. рублей (по данным управляющей компании ОЭЗ ППТ «Тольятти»).</w:t>
      </w:r>
    </w:p>
    <w:p w14:paraId="2D37B836" w14:textId="67AF08B1" w:rsidR="004C28D5" w:rsidRPr="00517DD5" w:rsidRDefault="004C28D5" w:rsidP="00525FB3">
      <w:pPr>
        <w:widowControl w:val="0"/>
        <w:numPr>
          <w:ilvl w:val="0"/>
          <w:numId w:val="5"/>
        </w:numPr>
        <w:tabs>
          <w:tab w:val="left" w:pos="142"/>
        </w:tabs>
        <w:suppressAutoHyphens w:val="0"/>
        <w:spacing w:after="200" w:line="276" w:lineRule="auto"/>
        <w:ind w:left="0" w:firstLine="709"/>
        <w:contextualSpacing/>
        <w:rPr>
          <w:sz w:val="28"/>
          <w:szCs w:val="28"/>
          <w:lang w:eastAsia="ru-RU"/>
        </w:rPr>
      </w:pPr>
      <w:r w:rsidRPr="00517DD5">
        <w:rPr>
          <w:sz w:val="28"/>
          <w:szCs w:val="28"/>
          <w:lang w:eastAsia="ru-RU"/>
        </w:rPr>
        <w:t>В целом с учетом текущих тенденций индекс промышленного производства в 2021 году по городу по оценке составит 103,5%, объем отгруженной промышленной продукции увеличится на 21,2% к 2020 году</w:t>
      </w:r>
      <w:r w:rsidR="00E56577" w:rsidRPr="00517DD5">
        <w:rPr>
          <w:sz w:val="28"/>
          <w:szCs w:val="28"/>
          <w:lang w:eastAsia="ru-RU"/>
        </w:rPr>
        <w:t xml:space="preserve"> и составит 612 653 млн. рублей, что больше докризисного 2019 года на </w:t>
      </w:r>
      <w:r w:rsidRPr="00517DD5">
        <w:rPr>
          <w:sz w:val="28"/>
          <w:szCs w:val="28"/>
          <w:lang w:eastAsia="ru-RU"/>
        </w:rPr>
        <w:t xml:space="preserve"> </w:t>
      </w:r>
      <w:r w:rsidR="00E56577" w:rsidRPr="00517DD5">
        <w:rPr>
          <w:sz w:val="28"/>
          <w:szCs w:val="28"/>
          <w:lang w:eastAsia="ru-RU"/>
        </w:rPr>
        <w:t>64 542 млн. рублей или на 11,8%.</w:t>
      </w:r>
    </w:p>
    <w:p w14:paraId="52FC4BD3" w14:textId="77777777" w:rsidR="00517DD5" w:rsidRDefault="00517DD5" w:rsidP="004C28D5">
      <w:pPr>
        <w:ind w:firstLine="0"/>
        <w:jc w:val="center"/>
        <w:rPr>
          <w:sz w:val="28"/>
          <w:szCs w:val="28"/>
        </w:rPr>
      </w:pPr>
    </w:p>
    <w:p w14:paraId="01FC5227" w14:textId="7A1356F7" w:rsidR="004C28D5" w:rsidRPr="004C28D5" w:rsidRDefault="004C28D5" w:rsidP="004C28D5">
      <w:pPr>
        <w:ind w:firstLine="0"/>
        <w:jc w:val="center"/>
        <w:rPr>
          <w:sz w:val="28"/>
          <w:szCs w:val="28"/>
        </w:rPr>
      </w:pPr>
      <w:r w:rsidRPr="004C28D5">
        <w:rPr>
          <w:sz w:val="28"/>
          <w:szCs w:val="28"/>
        </w:rPr>
        <w:t xml:space="preserve">Ожидаемое выполнение прогнозных показателей по разделу </w:t>
      </w:r>
    </w:p>
    <w:p w14:paraId="47E85C9D" w14:textId="33F5AE80" w:rsidR="004C28D5" w:rsidRDefault="004C28D5" w:rsidP="004C28D5">
      <w:pPr>
        <w:ind w:firstLine="0"/>
        <w:jc w:val="center"/>
        <w:rPr>
          <w:sz w:val="28"/>
          <w:szCs w:val="28"/>
        </w:rPr>
      </w:pPr>
      <w:r w:rsidRPr="004C28D5">
        <w:rPr>
          <w:sz w:val="28"/>
          <w:szCs w:val="28"/>
        </w:rPr>
        <w:t>«Промышл</w:t>
      </w:r>
      <w:r w:rsidR="00EF4863">
        <w:rPr>
          <w:sz w:val="28"/>
          <w:szCs w:val="28"/>
        </w:rPr>
        <w:t>енное производство» на 2021 год</w:t>
      </w:r>
    </w:p>
    <w:tbl>
      <w:tblPr>
        <w:tblW w:w="9499" w:type="dxa"/>
        <w:tblInd w:w="-35" w:type="dxa"/>
        <w:tblLayout w:type="fixed"/>
        <w:tblLook w:val="0000" w:firstRow="0" w:lastRow="0" w:firstColumn="0" w:lastColumn="0" w:noHBand="0" w:noVBand="0"/>
      </w:tblPr>
      <w:tblGrid>
        <w:gridCol w:w="3687"/>
        <w:gridCol w:w="1276"/>
        <w:gridCol w:w="1559"/>
        <w:gridCol w:w="1559"/>
        <w:gridCol w:w="1418"/>
      </w:tblGrid>
      <w:tr w:rsidR="004C28D5" w:rsidRPr="004C28D5" w14:paraId="4B4FFC98" w14:textId="77777777" w:rsidTr="00803B29">
        <w:trPr>
          <w:tblHeader/>
        </w:trPr>
        <w:tc>
          <w:tcPr>
            <w:tcW w:w="3687" w:type="dxa"/>
            <w:vMerge w:val="restart"/>
            <w:tcBorders>
              <w:top w:val="single" w:sz="4" w:space="0" w:color="000000"/>
              <w:left w:val="single" w:sz="4" w:space="0" w:color="000000"/>
              <w:bottom w:val="single" w:sz="4" w:space="0" w:color="000000"/>
            </w:tcBorders>
            <w:shd w:val="clear" w:color="auto" w:fill="auto"/>
            <w:vAlign w:val="center"/>
          </w:tcPr>
          <w:p w14:paraId="012A2B43" w14:textId="77777777" w:rsidR="004C28D5" w:rsidRPr="004C28D5" w:rsidRDefault="004C28D5" w:rsidP="004C28D5">
            <w:pPr>
              <w:ind w:firstLine="0"/>
              <w:jc w:val="center"/>
              <w:rPr>
                <w:sz w:val="28"/>
                <w:szCs w:val="28"/>
              </w:rPr>
            </w:pPr>
          </w:p>
          <w:p w14:paraId="49CA6AFA" w14:textId="77777777" w:rsidR="004C28D5" w:rsidRPr="004C28D5" w:rsidRDefault="004C28D5" w:rsidP="004C28D5">
            <w:pPr>
              <w:ind w:firstLine="0"/>
              <w:jc w:val="center"/>
              <w:rPr>
                <w:sz w:val="28"/>
                <w:szCs w:val="28"/>
              </w:rPr>
            </w:pPr>
            <w:r w:rsidRPr="004C28D5">
              <w:rPr>
                <w:sz w:val="28"/>
                <w:szCs w:val="28"/>
              </w:rPr>
              <w:t>Наименование показателя</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14:paraId="7576D727" w14:textId="77777777" w:rsidR="004C28D5" w:rsidRPr="004C28D5" w:rsidRDefault="004C28D5" w:rsidP="004C28D5">
            <w:pPr>
              <w:ind w:firstLine="0"/>
              <w:jc w:val="center"/>
              <w:rPr>
                <w:szCs w:val="24"/>
              </w:rPr>
            </w:pPr>
            <w:r w:rsidRPr="004C28D5">
              <w:rPr>
                <w:szCs w:val="24"/>
              </w:rPr>
              <w:t xml:space="preserve">Единица </w:t>
            </w:r>
            <w:proofErr w:type="spellStart"/>
            <w:r w:rsidRPr="004C28D5">
              <w:rPr>
                <w:szCs w:val="24"/>
              </w:rPr>
              <w:t>измере</w:t>
            </w:r>
            <w:proofErr w:type="spellEnd"/>
          </w:p>
          <w:p w14:paraId="6B28F2C5" w14:textId="77777777" w:rsidR="004C28D5" w:rsidRPr="004C28D5" w:rsidRDefault="004C28D5" w:rsidP="004C28D5">
            <w:pPr>
              <w:ind w:firstLine="0"/>
              <w:jc w:val="center"/>
              <w:rPr>
                <w:sz w:val="28"/>
                <w:szCs w:val="28"/>
              </w:rPr>
            </w:pPr>
            <w:proofErr w:type="spellStart"/>
            <w:r w:rsidRPr="004C28D5">
              <w:rPr>
                <w:szCs w:val="24"/>
              </w:rPr>
              <w:t>ния</w:t>
            </w:r>
            <w:proofErr w:type="spellEnd"/>
          </w:p>
        </w:tc>
        <w:tc>
          <w:tcPr>
            <w:tcW w:w="3118" w:type="dxa"/>
            <w:gridSpan w:val="2"/>
            <w:tcBorders>
              <w:top w:val="single" w:sz="4" w:space="0" w:color="000000"/>
              <w:left w:val="single" w:sz="4" w:space="0" w:color="000000"/>
              <w:bottom w:val="single" w:sz="4" w:space="0" w:color="000000"/>
            </w:tcBorders>
            <w:shd w:val="clear" w:color="auto" w:fill="auto"/>
            <w:vAlign w:val="center"/>
          </w:tcPr>
          <w:p w14:paraId="1CF6564C" w14:textId="77777777" w:rsidR="004C28D5" w:rsidRPr="004C28D5" w:rsidRDefault="004C28D5" w:rsidP="004C28D5">
            <w:pPr>
              <w:ind w:firstLine="0"/>
              <w:jc w:val="center"/>
              <w:rPr>
                <w:sz w:val="28"/>
                <w:szCs w:val="28"/>
              </w:rPr>
            </w:pPr>
            <w:r w:rsidRPr="004C28D5">
              <w:rPr>
                <w:sz w:val="28"/>
                <w:szCs w:val="28"/>
              </w:rPr>
              <w:t>Прогноз на 2021 год</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31595649" w14:textId="77777777" w:rsidR="004C28D5" w:rsidRPr="004C28D5" w:rsidRDefault="004C28D5" w:rsidP="004C28D5">
            <w:pPr>
              <w:ind w:firstLine="0"/>
              <w:jc w:val="center"/>
              <w:rPr>
                <w:sz w:val="28"/>
                <w:szCs w:val="28"/>
                <w:highlight w:val="yellow"/>
              </w:rPr>
            </w:pPr>
            <w:r w:rsidRPr="004C28D5">
              <w:rPr>
                <w:sz w:val="28"/>
                <w:szCs w:val="28"/>
              </w:rPr>
              <w:t>2021 год (оценка)</w:t>
            </w:r>
          </w:p>
        </w:tc>
      </w:tr>
      <w:tr w:rsidR="004C28D5" w:rsidRPr="004C28D5" w14:paraId="2236FC87" w14:textId="77777777" w:rsidTr="00803B29">
        <w:trPr>
          <w:tblHeader/>
        </w:trPr>
        <w:tc>
          <w:tcPr>
            <w:tcW w:w="3687" w:type="dxa"/>
            <w:vMerge/>
            <w:tcBorders>
              <w:top w:val="single" w:sz="4" w:space="0" w:color="000000"/>
              <w:left w:val="single" w:sz="4" w:space="0" w:color="000000"/>
              <w:bottom w:val="single" w:sz="4" w:space="0" w:color="000000"/>
            </w:tcBorders>
            <w:shd w:val="clear" w:color="auto" w:fill="auto"/>
          </w:tcPr>
          <w:p w14:paraId="569A3766" w14:textId="77777777" w:rsidR="004C28D5" w:rsidRPr="004C28D5" w:rsidRDefault="004C28D5" w:rsidP="004C28D5">
            <w:pPr>
              <w:snapToGrid w:val="0"/>
              <w:ind w:firstLine="0"/>
              <w:jc w:val="center"/>
              <w:rPr>
                <w:sz w:val="28"/>
                <w:szCs w:val="28"/>
              </w:rPr>
            </w:pPr>
          </w:p>
        </w:tc>
        <w:tc>
          <w:tcPr>
            <w:tcW w:w="1276" w:type="dxa"/>
            <w:vMerge/>
            <w:tcBorders>
              <w:top w:val="single" w:sz="4" w:space="0" w:color="000000"/>
              <w:left w:val="single" w:sz="4" w:space="0" w:color="000000"/>
              <w:bottom w:val="single" w:sz="4" w:space="0" w:color="000000"/>
            </w:tcBorders>
            <w:shd w:val="clear" w:color="auto" w:fill="auto"/>
          </w:tcPr>
          <w:p w14:paraId="754C1845" w14:textId="77777777" w:rsidR="004C28D5" w:rsidRPr="004C28D5" w:rsidRDefault="004C28D5" w:rsidP="004C28D5">
            <w:pPr>
              <w:snapToGrid w:val="0"/>
              <w:ind w:firstLine="0"/>
              <w:jc w:val="center"/>
              <w:rPr>
                <w:sz w:val="28"/>
                <w:szCs w:val="28"/>
              </w:rPr>
            </w:pPr>
          </w:p>
        </w:tc>
        <w:tc>
          <w:tcPr>
            <w:tcW w:w="1559" w:type="dxa"/>
            <w:tcBorders>
              <w:top w:val="single" w:sz="4" w:space="0" w:color="000000"/>
              <w:left w:val="single" w:sz="4" w:space="0" w:color="000000"/>
              <w:bottom w:val="single" w:sz="4" w:space="0" w:color="000000"/>
            </w:tcBorders>
            <w:shd w:val="clear" w:color="auto" w:fill="auto"/>
            <w:vAlign w:val="center"/>
          </w:tcPr>
          <w:p w14:paraId="034C1591" w14:textId="5B1188FE" w:rsidR="004C28D5" w:rsidRPr="004C28D5" w:rsidRDefault="004C28D5" w:rsidP="004C28D5">
            <w:pPr>
              <w:ind w:firstLine="0"/>
              <w:jc w:val="center"/>
              <w:rPr>
                <w:sz w:val="28"/>
                <w:szCs w:val="28"/>
              </w:rPr>
            </w:pPr>
            <w:r w:rsidRPr="004C28D5">
              <w:rPr>
                <w:sz w:val="28"/>
                <w:szCs w:val="28"/>
              </w:rPr>
              <w:t>1 вариант (консерва</w:t>
            </w:r>
            <w:r w:rsidR="00DB34BD">
              <w:rPr>
                <w:sz w:val="28"/>
                <w:szCs w:val="28"/>
              </w:rPr>
              <w:t xml:space="preserve"> </w:t>
            </w:r>
            <w:proofErr w:type="spellStart"/>
            <w:r w:rsidRPr="004C28D5">
              <w:rPr>
                <w:sz w:val="28"/>
                <w:szCs w:val="28"/>
              </w:rPr>
              <w:t>тивный</w:t>
            </w:r>
            <w:proofErr w:type="spellEnd"/>
            <w:r w:rsidRPr="004C28D5">
              <w:rPr>
                <w:sz w:val="28"/>
                <w:szCs w:val="28"/>
              </w:rPr>
              <w:t>)</w:t>
            </w:r>
          </w:p>
        </w:tc>
        <w:tc>
          <w:tcPr>
            <w:tcW w:w="1559" w:type="dxa"/>
            <w:tcBorders>
              <w:top w:val="single" w:sz="4" w:space="0" w:color="000000"/>
              <w:left w:val="single" w:sz="4" w:space="0" w:color="000000"/>
              <w:bottom w:val="single" w:sz="4" w:space="0" w:color="000000"/>
            </w:tcBorders>
            <w:shd w:val="clear" w:color="auto" w:fill="auto"/>
            <w:vAlign w:val="center"/>
          </w:tcPr>
          <w:p w14:paraId="18E410F4" w14:textId="77777777" w:rsidR="004C28D5" w:rsidRPr="004C28D5" w:rsidRDefault="004C28D5" w:rsidP="004C28D5">
            <w:pPr>
              <w:ind w:firstLine="0"/>
              <w:jc w:val="center"/>
              <w:rPr>
                <w:sz w:val="28"/>
                <w:szCs w:val="28"/>
              </w:rPr>
            </w:pPr>
            <w:r w:rsidRPr="004C28D5">
              <w:rPr>
                <w:sz w:val="28"/>
                <w:szCs w:val="28"/>
              </w:rPr>
              <w:t>2 вариант</w:t>
            </w:r>
          </w:p>
          <w:p w14:paraId="006B19BE" w14:textId="77777777" w:rsidR="004C28D5" w:rsidRPr="004C28D5" w:rsidRDefault="004C28D5" w:rsidP="004C28D5">
            <w:pPr>
              <w:ind w:firstLine="0"/>
              <w:jc w:val="center"/>
              <w:rPr>
                <w:sz w:val="28"/>
                <w:szCs w:val="28"/>
              </w:rPr>
            </w:pPr>
            <w:r w:rsidRPr="004C28D5">
              <w:rPr>
                <w:sz w:val="28"/>
                <w:szCs w:val="28"/>
              </w:rPr>
              <w:t>(базовый)</w:t>
            </w:r>
          </w:p>
        </w:tc>
        <w:tc>
          <w:tcPr>
            <w:tcW w:w="1418" w:type="dxa"/>
            <w:vMerge/>
            <w:tcBorders>
              <w:top w:val="single" w:sz="4" w:space="0" w:color="000000"/>
              <w:left w:val="single" w:sz="4" w:space="0" w:color="000000"/>
              <w:bottom w:val="single" w:sz="4" w:space="0" w:color="000000"/>
              <w:right w:val="single" w:sz="4" w:space="0" w:color="000000"/>
            </w:tcBorders>
          </w:tcPr>
          <w:p w14:paraId="27C741E0" w14:textId="77777777" w:rsidR="004C28D5" w:rsidRPr="004C28D5" w:rsidRDefault="004C28D5" w:rsidP="004C28D5">
            <w:pPr>
              <w:snapToGrid w:val="0"/>
              <w:ind w:firstLine="0"/>
              <w:jc w:val="center"/>
              <w:rPr>
                <w:sz w:val="28"/>
                <w:szCs w:val="28"/>
                <w:highlight w:val="yellow"/>
              </w:rPr>
            </w:pPr>
          </w:p>
        </w:tc>
      </w:tr>
      <w:tr w:rsidR="004C28D5" w:rsidRPr="004C28D5" w14:paraId="04011676" w14:textId="77777777" w:rsidTr="00803B29">
        <w:tc>
          <w:tcPr>
            <w:tcW w:w="3687" w:type="dxa"/>
            <w:tcBorders>
              <w:top w:val="single" w:sz="4" w:space="0" w:color="000000"/>
              <w:left w:val="single" w:sz="4" w:space="0" w:color="000000"/>
              <w:bottom w:val="single" w:sz="4" w:space="0" w:color="000000"/>
            </w:tcBorders>
            <w:shd w:val="clear" w:color="auto" w:fill="auto"/>
          </w:tcPr>
          <w:p w14:paraId="32829754" w14:textId="5D40191F" w:rsidR="004C28D5" w:rsidRPr="004C28D5" w:rsidRDefault="004C28D5" w:rsidP="004C28D5">
            <w:pPr>
              <w:ind w:firstLine="0"/>
              <w:rPr>
                <w:bCs/>
                <w:sz w:val="28"/>
                <w:szCs w:val="28"/>
              </w:rPr>
            </w:pPr>
            <w:r w:rsidRPr="004C28D5">
              <w:rPr>
                <w:bCs/>
                <w:sz w:val="28"/>
                <w:szCs w:val="28"/>
              </w:rPr>
              <w:t xml:space="preserve">Объем отгруженных товаров собственного производства, выполненных работ и услуг собственными силами </w:t>
            </w:r>
            <w:r w:rsidR="00803B29">
              <w:rPr>
                <w:bCs/>
                <w:sz w:val="28"/>
                <w:szCs w:val="28"/>
              </w:rPr>
              <w:t xml:space="preserve">             </w:t>
            </w:r>
            <w:proofErr w:type="gramStart"/>
            <w:r w:rsidR="00803B29">
              <w:rPr>
                <w:bCs/>
                <w:sz w:val="28"/>
                <w:szCs w:val="28"/>
              </w:rPr>
              <w:t xml:space="preserve">   </w:t>
            </w:r>
            <w:r w:rsidRPr="004C28D5">
              <w:rPr>
                <w:bCs/>
                <w:sz w:val="28"/>
                <w:szCs w:val="28"/>
              </w:rPr>
              <w:t>(</w:t>
            </w:r>
            <w:proofErr w:type="gramEnd"/>
            <w:r w:rsidRPr="004C28D5">
              <w:rPr>
                <w:bCs/>
                <w:sz w:val="28"/>
                <w:szCs w:val="28"/>
              </w:rPr>
              <w:t xml:space="preserve">по разделам С, </w:t>
            </w:r>
            <w:r w:rsidRPr="004C28D5">
              <w:rPr>
                <w:bCs/>
                <w:sz w:val="28"/>
                <w:szCs w:val="28"/>
                <w:lang w:val="en-US"/>
              </w:rPr>
              <w:t>D</w:t>
            </w:r>
            <w:r w:rsidRPr="004C28D5">
              <w:rPr>
                <w:bCs/>
                <w:sz w:val="28"/>
                <w:szCs w:val="28"/>
              </w:rPr>
              <w:t xml:space="preserve">, </w:t>
            </w:r>
            <w:r w:rsidRPr="004C28D5">
              <w:rPr>
                <w:bCs/>
                <w:sz w:val="28"/>
                <w:szCs w:val="28"/>
                <w:lang w:val="en-US"/>
              </w:rPr>
              <w:t>E</w:t>
            </w:r>
            <w:r w:rsidRPr="004C28D5">
              <w:rPr>
                <w:bCs/>
                <w:sz w:val="28"/>
                <w:szCs w:val="28"/>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14:paraId="56F45043" w14:textId="77777777" w:rsidR="004C28D5" w:rsidRPr="004C28D5" w:rsidRDefault="004C28D5" w:rsidP="004C28D5">
            <w:pPr>
              <w:ind w:firstLine="0"/>
              <w:jc w:val="center"/>
              <w:rPr>
                <w:bCs/>
                <w:sz w:val="28"/>
                <w:szCs w:val="28"/>
              </w:rPr>
            </w:pPr>
            <w:r w:rsidRPr="004C28D5">
              <w:rPr>
                <w:bCs/>
                <w:sz w:val="28"/>
                <w:szCs w:val="28"/>
              </w:rPr>
              <w:t>млн. рублей</w:t>
            </w:r>
          </w:p>
        </w:tc>
        <w:tc>
          <w:tcPr>
            <w:tcW w:w="1559" w:type="dxa"/>
            <w:tcBorders>
              <w:top w:val="single" w:sz="4" w:space="0" w:color="000000"/>
              <w:left w:val="single" w:sz="4" w:space="0" w:color="000000"/>
              <w:bottom w:val="single" w:sz="4" w:space="0" w:color="000000"/>
            </w:tcBorders>
            <w:shd w:val="clear" w:color="auto" w:fill="auto"/>
            <w:vAlign w:val="center"/>
          </w:tcPr>
          <w:p w14:paraId="75B7FB42" w14:textId="77777777" w:rsidR="004C28D5" w:rsidRPr="004C28D5" w:rsidRDefault="004C28D5" w:rsidP="004C28D5">
            <w:pPr>
              <w:ind w:firstLine="0"/>
              <w:jc w:val="center"/>
              <w:rPr>
                <w:bCs/>
                <w:sz w:val="28"/>
                <w:szCs w:val="28"/>
              </w:rPr>
            </w:pPr>
            <w:r w:rsidRPr="004C28D5">
              <w:rPr>
                <w:bCs/>
                <w:sz w:val="28"/>
                <w:szCs w:val="28"/>
              </w:rPr>
              <w:t>526 423,4</w:t>
            </w:r>
          </w:p>
        </w:tc>
        <w:tc>
          <w:tcPr>
            <w:tcW w:w="1559" w:type="dxa"/>
            <w:tcBorders>
              <w:top w:val="single" w:sz="4" w:space="0" w:color="000000"/>
              <w:left w:val="single" w:sz="4" w:space="0" w:color="000000"/>
              <w:bottom w:val="single" w:sz="4" w:space="0" w:color="000000"/>
            </w:tcBorders>
            <w:shd w:val="clear" w:color="auto" w:fill="auto"/>
            <w:vAlign w:val="center"/>
          </w:tcPr>
          <w:p w14:paraId="2E2EFE20" w14:textId="77777777" w:rsidR="004C28D5" w:rsidRPr="004C28D5" w:rsidRDefault="004C28D5" w:rsidP="004C28D5">
            <w:pPr>
              <w:ind w:firstLine="0"/>
              <w:jc w:val="center"/>
              <w:rPr>
                <w:bCs/>
                <w:sz w:val="28"/>
                <w:szCs w:val="28"/>
              </w:rPr>
            </w:pPr>
            <w:r w:rsidRPr="004C28D5">
              <w:rPr>
                <w:bCs/>
                <w:sz w:val="28"/>
                <w:szCs w:val="28"/>
              </w:rPr>
              <w:t>537 294,0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7E1DF" w14:textId="77777777" w:rsidR="004C28D5" w:rsidRPr="004C28D5" w:rsidRDefault="004C28D5" w:rsidP="004C28D5">
            <w:pPr>
              <w:ind w:firstLine="0"/>
              <w:jc w:val="center"/>
              <w:rPr>
                <w:bCs/>
                <w:sz w:val="28"/>
                <w:szCs w:val="28"/>
                <w:highlight w:val="yellow"/>
              </w:rPr>
            </w:pPr>
            <w:r w:rsidRPr="004C28D5">
              <w:rPr>
                <w:bCs/>
                <w:sz w:val="28"/>
                <w:szCs w:val="28"/>
              </w:rPr>
              <w:t>612 653,0</w:t>
            </w:r>
          </w:p>
        </w:tc>
      </w:tr>
      <w:tr w:rsidR="004C28D5" w:rsidRPr="004C28D5" w14:paraId="46FF80C0" w14:textId="77777777" w:rsidTr="00803B29">
        <w:tc>
          <w:tcPr>
            <w:tcW w:w="3687" w:type="dxa"/>
            <w:tcBorders>
              <w:top w:val="single" w:sz="4" w:space="0" w:color="000000"/>
              <w:left w:val="single" w:sz="4" w:space="0" w:color="000000"/>
              <w:bottom w:val="single" w:sz="4" w:space="0" w:color="000000"/>
            </w:tcBorders>
            <w:shd w:val="clear" w:color="auto" w:fill="auto"/>
          </w:tcPr>
          <w:p w14:paraId="38C7564E" w14:textId="77777777" w:rsidR="004C28D5" w:rsidRPr="004C28D5" w:rsidRDefault="004C28D5" w:rsidP="004C28D5">
            <w:pPr>
              <w:ind w:firstLine="0"/>
              <w:rPr>
                <w:bCs/>
                <w:sz w:val="28"/>
                <w:szCs w:val="28"/>
              </w:rPr>
            </w:pPr>
            <w:r w:rsidRPr="004C28D5">
              <w:rPr>
                <w:bCs/>
                <w:sz w:val="28"/>
                <w:szCs w:val="28"/>
              </w:rPr>
              <w:t>в том числе по видам деятельности:</w:t>
            </w:r>
          </w:p>
        </w:tc>
        <w:tc>
          <w:tcPr>
            <w:tcW w:w="1276" w:type="dxa"/>
            <w:tcBorders>
              <w:top w:val="single" w:sz="4" w:space="0" w:color="000000"/>
              <w:left w:val="single" w:sz="4" w:space="0" w:color="000000"/>
              <w:bottom w:val="single" w:sz="4" w:space="0" w:color="000000"/>
            </w:tcBorders>
            <w:shd w:val="clear" w:color="auto" w:fill="auto"/>
          </w:tcPr>
          <w:p w14:paraId="5246B2F8" w14:textId="77777777" w:rsidR="004C28D5" w:rsidRPr="004C28D5" w:rsidRDefault="004C28D5" w:rsidP="004C28D5">
            <w:pPr>
              <w:ind w:firstLine="0"/>
              <w:jc w:val="center"/>
              <w:rPr>
                <w:bCs/>
                <w:sz w:val="28"/>
                <w:szCs w:val="28"/>
              </w:rPr>
            </w:pPr>
          </w:p>
        </w:tc>
        <w:tc>
          <w:tcPr>
            <w:tcW w:w="1559" w:type="dxa"/>
            <w:tcBorders>
              <w:top w:val="single" w:sz="4" w:space="0" w:color="000000"/>
              <w:left w:val="single" w:sz="4" w:space="0" w:color="000000"/>
              <w:bottom w:val="single" w:sz="4" w:space="0" w:color="000000"/>
            </w:tcBorders>
            <w:shd w:val="clear" w:color="auto" w:fill="auto"/>
            <w:vAlign w:val="center"/>
          </w:tcPr>
          <w:p w14:paraId="7D4CBC9E" w14:textId="77777777" w:rsidR="004C28D5" w:rsidRPr="004C28D5" w:rsidRDefault="004C28D5" w:rsidP="004C28D5">
            <w:pPr>
              <w:ind w:firstLine="0"/>
              <w:jc w:val="center"/>
              <w:rPr>
                <w:bCs/>
                <w:sz w:val="28"/>
                <w:szCs w:val="28"/>
              </w:rPr>
            </w:pPr>
          </w:p>
        </w:tc>
        <w:tc>
          <w:tcPr>
            <w:tcW w:w="1559" w:type="dxa"/>
            <w:tcBorders>
              <w:top w:val="single" w:sz="4" w:space="0" w:color="000000"/>
              <w:left w:val="single" w:sz="4" w:space="0" w:color="000000"/>
              <w:bottom w:val="single" w:sz="4" w:space="0" w:color="000000"/>
            </w:tcBorders>
            <w:shd w:val="clear" w:color="auto" w:fill="auto"/>
            <w:vAlign w:val="center"/>
          </w:tcPr>
          <w:p w14:paraId="03ECE227" w14:textId="77777777" w:rsidR="004C28D5" w:rsidRPr="004C28D5" w:rsidRDefault="004C28D5" w:rsidP="004C28D5">
            <w:pPr>
              <w:ind w:firstLine="0"/>
              <w:jc w:val="center"/>
              <w:rPr>
                <w:bCs/>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CA33F" w14:textId="77777777" w:rsidR="004C28D5" w:rsidRPr="004C28D5" w:rsidRDefault="004C28D5" w:rsidP="004C28D5">
            <w:pPr>
              <w:ind w:firstLine="0"/>
              <w:jc w:val="center"/>
              <w:rPr>
                <w:bCs/>
                <w:sz w:val="28"/>
                <w:szCs w:val="28"/>
                <w:highlight w:val="yellow"/>
              </w:rPr>
            </w:pPr>
          </w:p>
        </w:tc>
      </w:tr>
      <w:tr w:rsidR="004C28D5" w:rsidRPr="004C28D5" w14:paraId="11C21168" w14:textId="77777777" w:rsidTr="00803B29">
        <w:tc>
          <w:tcPr>
            <w:tcW w:w="3687" w:type="dxa"/>
            <w:tcBorders>
              <w:top w:val="single" w:sz="4" w:space="0" w:color="000000"/>
              <w:left w:val="single" w:sz="4" w:space="0" w:color="000000"/>
              <w:bottom w:val="single" w:sz="4" w:space="0" w:color="000000"/>
            </w:tcBorders>
            <w:shd w:val="clear" w:color="auto" w:fill="auto"/>
          </w:tcPr>
          <w:p w14:paraId="52FB2FEC" w14:textId="77777777" w:rsidR="004C28D5" w:rsidRPr="004C28D5" w:rsidRDefault="004C28D5" w:rsidP="004C28D5">
            <w:pPr>
              <w:ind w:firstLine="0"/>
              <w:rPr>
                <w:bCs/>
                <w:sz w:val="28"/>
                <w:szCs w:val="28"/>
              </w:rPr>
            </w:pPr>
            <w:r w:rsidRPr="004C28D5">
              <w:rPr>
                <w:bCs/>
                <w:sz w:val="28"/>
                <w:szCs w:val="28"/>
              </w:rPr>
              <w:t>Обрабатывающие производства</w:t>
            </w:r>
          </w:p>
        </w:tc>
        <w:tc>
          <w:tcPr>
            <w:tcW w:w="1276" w:type="dxa"/>
            <w:tcBorders>
              <w:top w:val="single" w:sz="4" w:space="0" w:color="000000"/>
              <w:left w:val="single" w:sz="4" w:space="0" w:color="000000"/>
              <w:bottom w:val="single" w:sz="4" w:space="0" w:color="000000"/>
            </w:tcBorders>
            <w:shd w:val="clear" w:color="auto" w:fill="auto"/>
            <w:vAlign w:val="center"/>
          </w:tcPr>
          <w:p w14:paraId="096A5957" w14:textId="77777777" w:rsidR="004C28D5" w:rsidRPr="004C28D5" w:rsidRDefault="004C28D5" w:rsidP="004C28D5">
            <w:pPr>
              <w:ind w:firstLine="0"/>
              <w:jc w:val="center"/>
              <w:rPr>
                <w:bCs/>
                <w:sz w:val="28"/>
                <w:szCs w:val="28"/>
              </w:rPr>
            </w:pPr>
            <w:r w:rsidRPr="004C28D5">
              <w:rPr>
                <w:bCs/>
                <w:sz w:val="28"/>
                <w:szCs w:val="28"/>
              </w:rPr>
              <w:t>млн. рублей</w:t>
            </w:r>
          </w:p>
        </w:tc>
        <w:tc>
          <w:tcPr>
            <w:tcW w:w="1559" w:type="dxa"/>
            <w:tcBorders>
              <w:top w:val="single" w:sz="4" w:space="0" w:color="000000"/>
              <w:left w:val="single" w:sz="4" w:space="0" w:color="000000"/>
              <w:bottom w:val="single" w:sz="4" w:space="0" w:color="000000"/>
            </w:tcBorders>
            <w:shd w:val="clear" w:color="auto" w:fill="auto"/>
            <w:vAlign w:val="center"/>
          </w:tcPr>
          <w:p w14:paraId="4FF20199" w14:textId="77777777" w:rsidR="004C28D5" w:rsidRPr="004C28D5" w:rsidRDefault="004C28D5" w:rsidP="004C28D5">
            <w:pPr>
              <w:ind w:firstLine="0"/>
              <w:jc w:val="center"/>
              <w:rPr>
                <w:bCs/>
                <w:sz w:val="28"/>
                <w:szCs w:val="28"/>
              </w:rPr>
            </w:pPr>
            <w:r w:rsidRPr="004C28D5">
              <w:rPr>
                <w:bCs/>
                <w:sz w:val="28"/>
                <w:szCs w:val="28"/>
              </w:rPr>
              <w:t>486 504,0</w:t>
            </w:r>
          </w:p>
        </w:tc>
        <w:tc>
          <w:tcPr>
            <w:tcW w:w="1559" w:type="dxa"/>
            <w:tcBorders>
              <w:top w:val="single" w:sz="4" w:space="0" w:color="000000"/>
              <w:left w:val="single" w:sz="4" w:space="0" w:color="000000"/>
              <w:bottom w:val="single" w:sz="4" w:space="0" w:color="000000"/>
            </w:tcBorders>
            <w:shd w:val="clear" w:color="auto" w:fill="auto"/>
            <w:vAlign w:val="center"/>
          </w:tcPr>
          <w:p w14:paraId="12341DC1" w14:textId="77777777" w:rsidR="004C28D5" w:rsidRPr="004C28D5" w:rsidRDefault="004C28D5" w:rsidP="004C28D5">
            <w:pPr>
              <w:ind w:firstLine="0"/>
              <w:jc w:val="center"/>
              <w:rPr>
                <w:bCs/>
                <w:sz w:val="28"/>
                <w:szCs w:val="28"/>
              </w:rPr>
            </w:pPr>
            <w:r w:rsidRPr="004C28D5">
              <w:rPr>
                <w:bCs/>
                <w:sz w:val="28"/>
                <w:szCs w:val="28"/>
              </w:rPr>
              <w:t>496 490,5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6406A" w14:textId="77777777" w:rsidR="004C28D5" w:rsidRPr="004C28D5" w:rsidRDefault="004C28D5" w:rsidP="004C28D5">
            <w:pPr>
              <w:ind w:firstLine="0"/>
              <w:jc w:val="center"/>
              <w:rPr>
                <w:bCs/>
                <w:sz w:val="28"/>
                <w:szCs w:val="28"/>
                <w:highlight w:val="yellow"/>
              </w:rPr>
            </w:pPr>
            <w:r w:rsidRPr="004C28D5">
              <w:rPr>
                <w:bCs/>
                <w:sz w:val="28"/>
                <w:szCs w:val="28"/>
              </w:rPr>
              <w:t>573 353,0</w:t>
            </w:r>
          </w:p>
        </w:tc>
      </w:tr>
      <w:tr w:rsidR="009278E9" w:rsidRPr="004C28D5" w14:paraId="0FA59F7A" w14:textId="77777777" w:rsidTr="00803B29">
        <w:tc>
          <w:tcPr>
            <w:tcW w:w="3687" w:type="dxa"/>
            <w:tcBorders>
              <w:top w:val="single" w:sz="4" w:space="0" w:color="000000"/>
              <w:left w:val="single" w:sz="4" w:space="0" w:color="000000"/>
              <w:bottom w:val="single" w:sz="4" w:space="0" w:color="000000"/>
            </w:tcBorders>
            <w:shd w:val="clear" w:color="auto" w:fill="auto"/>
          </w:tcPr>
          <w:p w14:paraId="0ABCA3E3" w14:textId="3907CB35" w:rsidR="009278E9" w:rsidRPr="004C28D5" w:rsidRDefault="00DB34BD" w:rsidP="004C28D5">
            <w:pPr>
              <w:ind w:firstLine="0"/>
              <w:rPr>
                <w:bCs/>
                <w:sz w:val="28"/>
                <w:szCs w:val="28"/>
              </w:rPr>
            </w:pPr>
            <w:r>
              <w:rPr>
                <w:bCs/>
                <w:sz w:val="28"/>
                <w:szCs w:val="28"/>
              </w:rPr>
              <w:t>и</w:t>
            </w:r>
            <w:r w:rsidR="009278E9">
              <w:rPr>
                <w:bCs/>
                <w:sz w:val="28"/>
                <w:szCs w:val="28"/>
              </w:rPr>
              <w:t>з них:</w:t>
            </w:r>
          </w:p>
        </w:tc>
        <w:tc>
          <w:tcPr>
            <w:tcW w:w="1276" w:type="dxa"/>
            <w:tcBorders>
              <w:top w:val="single" w:sz="4" w:space="0" w:color="000000"/>
              <w:left w:val="single" w:sz="4" w:space="0" w:color="000000"/>
              <w:bottom w:val="single" w:sz="4" w:space="0" w:color="000000"/>
            </w:tcBorders>
            <w:shd w:val="clear" w:color="auto" w:fill="auto"/>
            <w:vAlign w:val="center"/>
          </w:tcPr>
          <w:p w14:paraId="01E7E3B5" w14:textId="77777777" w:rsidR="009278E9" w:rsidRPr="004C28D5" w:rsidRDefault="009278E9" w:rsidP="004C28D5">
            <w:pPr>
              <w:ind w:firstLine="0"/>
              <w:jc w:val="center"/>
              <w:rPr>
                <w:bCs/>
                <w:sz w:val="28"/>
                <w:szCs w:val="28"/>
              </w:rPr>
            </w:pPr>
          </w:p>
        </w:tc>
        <w:tc>
          <w:tcPr>
            <w:tcW w:w="1559" w:type="dxa"/>
            <w:tcBorders>
              <w:top w:val="single" w:sz="4" w:space="0" w:color="000000"/>
              <w:left w:val="single" w:sz="4" w:space="0" w:color="000000"/>
              <w:bottom w:val="single" w:sz="4" w:space="0" w:color="000000"/>
            </w:tcBorders>
            <w:shd w:val="clear" w:color="auto" w:fill="auto"/>
            <w:vAlign w:val="center"/>
          </w:tcPr>
          <w:p w14:paraId="3817389F" w14:textId="77777777" w:rsidR="009278E9" w:rsidRPr="004C28D5" w:rsidRDefault="009278E9" w:rsidP="004C28D5">
            <w:pPr>
              <w:ind w:firstLine="0"/>
              <w:jc w:val="center"/>
              <w:rPr>
                <w:bCs/>
                <w:sz w:val="28"/>
                <w:szCs w:val="28"/>
              </w:rPr>
            </w:pPr>
          </w:p>
        </w:tc>
        <w:tc>
          <w:tcPr>
            <w:tcW w:w="1559" w:type="dxa"/>
            <w:tcBorders>
              <w:top w:val="single" w:sz="4" w:space="0" w:color="000000"/>
              <w:left w:val="single" w:sz="4" w:space="0" w:color="000000"/>
              <w:bottom w:val="single" w:sz="4" w:space="0" w:color="000000"/>
            </w:tcBorders>
            <w:shd w:val="clear" w:color="auto" w:fill="auto"/>
            <w:vAlign w:val="center"/>
          </w:tcPr>
          <w:p w14:paraId="6DE4097F" w14:textId="77777777" w:rsidR="009278E9" w:rsidRPr="004C28D5" w:rsidRDefault="009278E9" w:rsidP="004C28D5">
            <w:pPr>
              <w:ind w:firstLine="0"/>
              <w:jc w:val="center"/>
              <w:rPr>
                <w:bCs/>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D46E5" w14:textId="77777777" w:rsidR="009278E9" w:rsidRPr="004C28D5" w:rsidRDefault="009278E9" w:rsidP="004C28D5">
            <w:pPr>
              <w:ind w:firstLine="0"/>
              <w:jc w:val="center"/>
              <w:rPr>
                <w:bCs/>
                <w:sz w:val="28"/>
                <w:szCs w:val="28"/>
              </w:rPr>
            </w:pPr>
          </w:p>
        </w:tc>
      </w:tr>
      <w:tr w:rsidR="004C28D5" w:rsidRPr="004C28D5" w14:paraId="24D0E858" w14:textId="77777777" w:rsidTr="00803B29">
        <w:tc>
          <w:tcPr>
            <w:tcW w:w="3687" w:type="dxa"/>
            <w:tcBorders>
              <w:top w:val="single" w:sz="4" w:space="0" w:color="000000"/>
              <w:left w:val="single" w:sz="4" w:space="0" w:color="000000"/>
              <w:bottom w:val="single" w:sz="4" w:space="0" w:color="000000"/>
            </w:tcBorders>
            <w:shd w:val="clear" w:color="auto" w:fill="auto"/>
          </w:tcPr>
          <w:p w14:paraId="5D226FA9" w14:textId="77777777" w:rsidR="004C28D5" w:rsidRPr="004C28D5" w:rsidRDefault="004C28D5" w:rsidP="009278E9">
            <w:pPr>
              <w:ind w:left="177" w:firstLine="0"/>
              <w:rPr>
                <w:bCs/>
                <w:sz w:val="28"/>
                <w:szCs w:val="28"/>
              </w:rPr>
            </w:pPr>
            <w:r w:rsidRPr="004C28D5">
              <w:rPr>
                <w:bCs/>
                <w:sz w:val="28"/>
                <w:szCs w:val="28"/>
              </w:rPr>
              <w:t>Производство пищевых продуктов</w:t>
            </w:r>
          </w:p>
        </w:tc>
        <w:tc>
          <w:tcPr>
            <w:tcW w:w="1276" w:type="dxa"/>
            <w:tcBorders>
              <w:top w:val="single" w:sz="4" w:space="0" w:color="000000"/>
              <w:left w:val="single" w:sz="4" w:space="0" w:color="000000"/>
              <w:bottom w:val="single" w:sz="4" w:space="0" w:color="000000"/>
            </w:tcBorders>
            <w:shd w:val="clear" w:color="auto" w:fill="auto"/>
            <w:vAlign w:val="center"/>
          </w:tcPr>
          <w:p w14:paraId="0D229F08" w14:textId="77777777" w:rsidR="004C28D5" w:rsidRPr="004C28D5" w:rsidRDefault="004C28D5" w:rsidP="004C28D5">
            <w:pPr>
              <w:ind w:firstLine="0"/>
              <w:jc w:val="center"/>
              <w:rPr>
                <w:bCs/>
                <w:sz w:val="28"/>
                <w:szCs w:val="28"/>
              </w:rPr>
            </w:pPr>
            <w:r w:rsidRPr="004C28D5">
              <w:rPr>
                <w:bCs/>
                <w:sz w:val="28"/>
                <w:szCs w:val="28"/>
              </w:rPr>
              <w:t>млн. рублей</w:t>
            </w:r>
          </w:p>
        </w:tc>
        <w:tc>
          <w:tcPr>
            <w:tcW w:w="1559" w:type="dxa"/>
            <w:tcBorders>
              <w:top w:val="single" w:sz="4" w:space="0" w:color="000000"/>
              <w:left w:val="single" w:sz="4" w:space="0" w:color="000000"/>
              <w:bottom w:val="single" w:sz="4" w:space="0" w:color="000000"/>
            </w:tcBorders>
            <w:shd w:val="clear" w:color="auto" w:fill="auto"/>
            <w:vAlign w:val="center"/>
          </w:tcPr>
          <w:p w14:paraId="043BBA52" w14:textId="77777777" w:rsidR="004C28D5" w:rsidRPr="004C28D5" w:rsidRDefault="004C28D5" w:rsidP="004C28D5">
            <w:pPr>
              <w:ind w:firstLine="0"/>
              <w:jc w:val="center"/>
              <w:rPr>
                <w:bCs/>
                <w:sz w:val="28"/>
                <w:szCs w:val="28"/>
              </w:rPr>
            </w:pPr>
            <w:r w:rsidRPr="004C28D5">
              <w:rPr>
                <w:bCs/>
                <w:sz w:val="28"/>
                <w:szCs w:val="28"/>
              </w:rPr>
              <w:t>16 591,0</w:t>
            </w:r>
          </w:p>
        </w:tc>
        <w:tc>
          <w:tcPr>
            <w:tcW w:w="1559" w:type="dxa"/>
            <w:tcBorders>
              <w:top w:val="single" w:sz="4" w:space="0" w:color="000000"/>
              <w:left w:val="single" w:sz="4" w:space="0" w:color="000000"/>
              <w:bottom w:val="single" w:sz="4" w:space="0" w:color="000000"/>
            </w:tcBorders>
            <w:shd w:val="clear" w:color="auto" w:fill="auto"/>
            <w:vAlign w:val="center"/>
          </w:tcPr>
          <w:p w14:paraId="0267890D" w14:textId="77777777" w:rsidR="004C28D5" w:rsidRPr="004C28D5" w:rsidRDefault="004C28D5" w:rsidP="004C28D5">
            <w:pPr>
              <w:ind w:firstLine="0"/>
              <w:jc w:val="center"/>
              <w:rPr>
                <w:bCs/>
                <w:sz w:val="28"/>
                <w:szCs w:val="28"/>
              </w:rPr>
            </w:pPr>
            <w:r w:rsidRPr="004C28D5">
              <w:rPr>
                <w:bCs/>
                <w:sz w:val="28"/>
                <w:szCs w:val="28"/>
              </w:rPr>
              <w:t>16 687,0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1601C" w14:textId="77777777" w:rsidR="004C28D5" w:rsidRPr="004C28D5" w:rsidRDefault="004C28D5" w:rsidP="004C28D5">
            <w:pPr>
              <w:ind w:firstLine="0"/>
              <w:jc w:val="center"/>
              <w:rPr>
                <w:bCs/>
                <w:sz w:val="28"/>
                <w:szCs w:val="28"/>
              </w:rPr>
            </w:pPr>
            <w:r w:rsidRPr="004C28D5">
              <w:rPr>
                <w:bCs/>
                <w:sz w:val="28"/>
                <w:szCs w:val="28"/>
              </w:rPr>
              <w:t>16 800,0</w:t>
            </w:r>
          </w:p>
        </w:tc>
      </w:tr>
      <w:tr w:rsidR="004C28D5" w:rsidRPr="004C28D5" w14:paraId="4C814973" w14:textId="77777777" w:rsidTr="00803B29">
        <w:tc>
          <w:tcPr>
            <w:tcW w:w="3687" w:type="dxa"/>
            <w:tcBorders>
              <w:top w:val="single" w:sz="4" w:space="0" w:color="000000"/>
              <w:left w:val="single" w:sz="4" w:space="0" w:color="000000"/>
              <w:bottom w:val="single" w:sz="4" w:space="0" w:color="000000"/>
            </w:tcBorders>
            <w:shd w:val="clear" w:color="auto" w:fill="auto"/>
          </w:tcPr>
          <w:p w14:paraId="7D6E3E19" w14:textId="77777777" w:rsidR="004C28D5" w:rsidRPr="004C28D5" w:rsidRDefault="004C28D5" w:rsidP="009278E9">
            <w:pPr>
              <w:ind w:left="177" w:firstLine="0"/>
              <w:rPr>
                <w:bCs/>
                <w:sz w:val="28"/>
                <w:szCs w:val="28"/>
              </w:rPr>
            </w:pPr>
            <w:r w:rsidRPr="004C28D5">
              <w:rPr>
                <w:bCs/>
                <w:sz w:val="28"/>
                <w:szCs w:val="28"/>
              </w:rPr>
              <w:t>Производство химических веществ и химических продуктов</w:t>
            </w:r>
          </w:p>
        </w:tc>
        <w:tc>
          <w:tcPr>
            <w:tcW w:w="1276" w:type="dxa"/>
            <w:tcBorders>
              <w:top w:val="single" w:sz="4" w:space="0" w:color="000000"/>
              <w:left w:val="single" w:sz="4" w:space="0" w:color="000000"/>
              <w:bottom w:val="single" w:sz="4" w:space="0" w:color="000000"/>
            </w:tcBorders>
            <w:shd w:val="clear" w:color="auto" w:fill="auto"/>
            <w:vAlign w:val="center"/>
          </w:tcPr>
          <w:p w14:paraId="095145E3" w14:textId="77777777" w:rsidR="004C28D5" w:rsidRPr="004C28D5" w:rsidRDefault="004C28D5" w:rsidP="004C28D5">
            <w:pPr>
              <w:ind w:firstLine="0"/>
              <w:jc w:val="center"/>
              <w:rPr>
                <w:bCs/>
                <w:sz w:val="28"/>
                <w:szCs w:val="28"/>
              </w:rPr>
            </w:pPr>
            <w:r w:rsidRPr="004C28D5">
              <w:rPr>
                <w:bCs/>
                <w:sz w:val="28"/>
                <w:szCs w:val="28"/>
              </w:rPr>
              <w:t>млн. рублей</w:t>
            </w:r>
          </w:p>
        </w:tc>
        <w:tc>
          <w:tcPr>
            <w:tcW w:w="1559" w:type="dxa"/>
            <w:tcBorders>
              <w:top w:val="single" w:sz="4" w:space="0" w:color="000000"/>
              <w:left w:val="single" w:sz="4" w:space="0" w:color="000000"/>
              <w:bottom w:val="single" w:sz="4" w:space="0" w:color="000000"/>
            </w:tcBorders>
            <w:shd w:val="clear" w:color="auto" w:fill="auto"/>
            <w:vAlign w:val="center"/>
          </w:tcPr>
          <w:p w14:paraId="0DF2D23C" w14:textId="77777777" w:rsidR="004C28D5" w:rsidRPr="004C28D5" w:rsidRDefault="004C28D5" w:rsidP="004C28D5">
            <w:pPr>
              <w:ind w:firstLine="0"/>
              <w:jc w:val="center"/>
              <w:rPr>
                <w:bCs/>
                <w:sz w:val="28"/>
                <w:szCs w:val="28"/>
              </w:rPr>
            </w:pPr>
            <w:r w:rsidRPr="004C28D5">
              <w:rPr>
                <w:bCs/>
                <w:sz w:val="28"/>
                <w:szCs w:val="28"/>
              </w:rPr>
              <w:t>124 834,2</w:t>
            </w:r>
          </w:p>
        </w:tc>
        <w:tc>
          <w:tcPr>
            <w:tcW w:w="1559" w:type="dxa"/>
            <w:tcBorders>
              <w:top w:val="single" w:sz="4" w:space="0" w:color="000000"/>
              <w:left w:val="single" w:sz="4" w:space="0" w:color="000000"/>
              <w:bottom w:val="single" w:sz="4" w:space="0" w:color="000000"/>
            </w:tcBorders>
            <w:shd w:val="clear" w:color="auto" w:fill="auto"/>
            <w:vAlign w:val="center"/>
          </w:tcPr>
          <w:p w14:paraId="37780730" w14:textId="77777777" w:rsidR="004C28D5" w:rsidRPr="004C28D5" w:rsidRDefault="004C28D5" w:rsidP="004C28D5">
            <w:pPr>
              <w:ind w:firstLine="0"/>
              <w:jc w:val="center"/>
              <w:rPr>
                <w:bCs/>
                <w:sz w:val="28"/>
                <w:szCs w:val="28"/>
              </w:rPr>
            </w:pPr>
            <w:r w:rsidRPr="004C28D5">
              <w:rPr>
                <w:bCs/>
                <w:sz w:val="28"/>
                <w:szCs w:val="28"/>
              </w:rPr>
              <w:t>127 617,5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8898B" w14:textId="77777777" w:rsidR="004C28D5" w:rsidRPr="004C28D5" w:rsidRDefault="004C28D5" w:rsidP="004C28D5">
            <w:pPr>
              <w:snapToGrid w:val="0"/>
              <w:ind w:firstLine="0"/>
              <w:jc w:val="center"/>
              <w:rPr>
                <w:bCs/>
                <w:sz w:val="28"/>
                <w:szCs w:val="28"/>
              </w:rPr>
            </w:pPr>
            <w:r w:rsidRPr="004C28D5">
              <w:rPr>
                <w:bCs/>
                <w:sz w:val="28"/>
                <w:szCs w:val="28"/>
              </w:rPr>
              <w:t>187 200,0</w:t>
            </w:r>
          </w:p>
        </w:tc>
      </w:tr>
      <w:tr w:rsidR="004C28D5" w:rsidRPr="004C28D5" w14:paraId="038B954E" w14:textId="77777777" w:rsidTr="00803B29">
        <w:tc>
          <w:tcPr>
            <w:tcW w:w="3687" w:type="dxa"/>
            <w:tcBorders>
              <w:top w:val="single" w:sz="4" w:space="0" w:color="000000"/>
              <w:left w:val="single" w:sz="4" w:space="0" w:color="000000"/>
              <w:bottom w:val="single" w:sz="4" w:space="0" w:color="000000"/>
            </w:tcBorders>
            <w:shd w:val="clear" w:color="auto" w:fill="auto"/>
          </w:tcPr>
          <w:p w14:paraId="16EBA436" w14:textId="238FD82C" w:rsidR="00DB34BD" w:rsidRPr="004C28D5" w:rsidRDefault="004C28D5" w:rsidP="00DB34BD">
            <w:pPr>
              <w:ind w:left="177" w:firstLine="0"/>
              <w:rPr>
                <w:bCs/>
                <w:sz w:val="28"/>
                <w:szCs w:val="28"/>
              </w:rPr>
            </w:pPr>
            <w:r w:rsidRPr="004C28D5">
              <w:rPr>
                <w:bCs/>
                <w:sz w:val="28"/>
                <w:szCs w:val="28"/>
              </w:rPr>
              <w:t>Производство автотранспортных средств, прицепов и полуприцепов</w:t>
            </w:r>
          </w:p>
        </w:tc>
        <w:tc>
          <w:tcPr>
            <w:tcW w:w="1276" w:type="dxa"/>
            <w:tcBorders>
              <w:top w:val="single" w:sz="4" w:space="0" w:color="000000"/>
              <w:left w:val="single" w:sz="4" w:space="0" w:color="000000"/>
              <w:bottom w:val="single" w:sz="4" w:space="0" w:color="000000"/>
            </w:tcBorders>
            <w:shd w:val="clear" w:color="auto" w:fill="auto"/>
            <w:vAlign w:val="center"/>
          </w:tcPr>
          <w:p w14:paraId="69076084" w14:textId="77777777" w:rsidR="004C28D5" w:rsidRPr="004C28D5" w:rsidRDefault="004C28D5" w:rsidP="004C28D5">
            <w:pPr>
              <w:ind w:firstLine="0"/>
              <w:jc w:val="center"/>
              <w:rPr>
                <w:bCs/>
                <w:sz w:val="28"/>
                <w:szCs w:val="28"/>
              </w:rPr>
            </w:pPr>
            <w:r w:rsidRPr="004C28D5">
              <w:rPr>
                <w:bCs/>
                <w:sz w:val="28"/>
                <w:szCs w:val="28"/>
              </w:rPr>
              <w:t>млн. рублей</w:t>
            </w:r>
          </w:p>
        </w:tc>
        <w:tc>
          <w:tcPr>
            <w:tcW w:w="1559" w:type="dxa"/>
            <w:tcBorders>
              <w:top w:val="single" w:sz="4" w:space="0" w:color="000000"/>
              <w:left w:val="single" w:sz="4" w:space="0" w:color="000000"/>
              <w:bottom w:val="single" w:sz="4" w:space="0" w:color="000000"/>
            </w:tcBorders>
            <w:shd w:val="clear" w:color="auto" w:fill="auto"/>
            <w:vAlign w:val="center"/>
          </w:tcPr>
          <w:p w14:paraId="5B0E8AEF" w14:textId="77777777" w:rsidR="004C28D5" w:rsidRPr="004C28D5" w:rsidRDefault="004C28D5" w:rsidP="004C28D5">
            <w:pPr>
              <w:ind w:firstLine="0"/>
              <w:jc w:val="center"/>
              <w:rPr>
                <w:bCs/>
                <w:sz w:val="28"/>
                <w:szCs w:val="28"/>
              </w:rPr>
            </w:pPr>
            <w:r w:rsidRPr="004C28D5">
              <w:rPr>
                <w:bCs/>
                <w:sz w:val="28"/>
                <w:szCs w:val="28"/>
              </w:rPr>
              <w:t>316 447,2</w:t>
            </w:r>
          </w:p>
        </w:tc>
        <w:tc>
          <w:tcPr>
            <w:tcW w:w="1559" w:type="dxa"/>
            <w:tcBorders>
              <w:top w:val="single" w:sz="4" w:space="0" w:color="000000"/>
              <w:left w:val="single" w:sz="4" w:space="0" w:color="000000"/>
              <w:bottom w:val="single" w:sz="4" w:space="0" w:color="000000"/>
            </w:tcBorders>
            <w:shd w:val="clear" w:color="auto" w:fill="auto"/>
            <w:vAlign w:val="center"/>
          </w:tcPr>
          <w:p w14:paraId="57F4CAA4" w14:textId="77777777" w:rsidR="004C28D5" w:rsidRPr="004C28D5" w:rsidRDefault="004C28D5" w:rsidP="004C28D5">
            <w:pPr>
              <w:ind w:firstLine="0"/>
              <w:jc w:val="center"/>
              <w:rPr>
                <w:bCs/>
                <w:sz w:val="28"/>
                <w:szCs w:val="28"/>
              </w:rPr>
            </w:pPr>
            <w:r w:rsidRPr="004C28D5">
              <w:rPr>
                <w:bCs/>
                <w:sz w:val="28"/>
                <w:szCs w:val="28"/>
              </w:rPr>
              <w:t>322 767,3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ECAEB" w14:textId="77777777" w:rsidR="004C28D5" w:rsidRPr="004C28D5" w:rsidRDefault="004C28D5" w:rsidP="004C28D5">
            <w:pPr>
              <w:ind w:firstLine="0"/>
              <w:jc w:val="center"/>
              <w:rPr>
                <w:bCs/>
                <w:sz w:val="28"/>
                <w:szCs w:val="28"/>
              </w:rPr>
            </w:pPr>
            <w:r w:rsidRPr="004C28D5">
              <w:rPr>
                <w:bCs/>
                <w:sz w:val="28"/>
                <w:szCs w:val="28"/>
              </w:rPr>
              <w:t>338 626,6</w:t>
            </w:r>
          </w:p>
        </w:tc>
      </w:tr>
      <w:tr w:rsidR="004C28D5" w:rsidRPr="004C28D5" w14:paraId="76FCAEDE" w14:textId="77777777" w:rsidTr="00803B29">
        <w:tc>
          <w:tcPr>
            <w:tcW w:w="3687" w:type="dxa"/>
            <w:tcBorders>
              <w:top w:val="single" w:sz="4" w:space="0" w:color="000000"/>
              <w:left w:val="single" w:sz="4" w:space="0" w:color="000000"/>
              <w:bottom w:val="single" w:sz="4" w:space="0" w:color="000000"/>
            </w:tcBorders>
            <w:shd w:val="clear" w:color="auto" w:fill="auto"/>
          </w:tcPr>
          <w:p w14:paraId="1CEB9573" w14:textId="77777777" w:rsidR="004C28D5" w:rsidRPr="004C28D5" w:rsidRDefault="004C28D5" w:rsidP="009278E9">
            <w:pPr>
              <w:ind w:left="177" w:firstLine="0"/>
              <w:rPr>
                <w:bCs/>
                <w:sz w:val="28"/>
                <w:szCs w:val="28"/>
              </w:rPr>
            </w:pPr>
            <w:r w:rsidRPr="004C28D5">
              <w:rPr>
                <w:bCs/>
                <w:sz w:val="28"/>
                <w:szCs w:val="28"/>
              </w:rPr>
              <w:t>Прочие виды экономической деятельности раздела С</w:t>
            </w:r>
          </w:p>
        </w:tc>
        <w:tc>
          <w:tcPr>
            <w:tcW w:w="1276" w:type="dxa"/>
            <w:tcBorders>
              <w:top w:val="single" w:sz="4" w:space="0" w:color="000000"/>
              <w:left w:val="single" w:sz="4" w:space="0" w:color="000000"/>
              <w:bottom w:val="single" w:sz="4" w:space="0" w:color="000000"/>
            </w:tcBorders>
            <w:shd w:val="clear" w:color="auto" w:fill="auto"/>
            <w:vAlign w:val="center"/>
          </w:tcPr>
          <w:p w14:paraId="14D11487" w14:textId="77777777" w:rsidR="004C28D5" w:rsidRPr="004C28D5" w:rsidRDefault="004C28D5" w:rsidP="004C28D5">
            <w:pPr>
              <w:ind w:firstLine="0"/>
              <w:jc w:val="center"/>
              <w:rPr>
                <w:bCs/>
                <w:sz w:val="28"/>
                <w:szCs w:val="28"/>
              </w:rPr>
            </w:pPr>
            <w:r w:rsidRPr="004C28D5">
              <w:rPr>
                <w:bCs/>
                <w:sz w:val="28"/>
                <w:szCs w:val="28"/>
              </w:rPr>
              <w:t>млн. рублей</w:t>
            </w:r>
          </w:p>
        </w:tc>
        <w:tc>
          <w:tcPr>
            <w:tcW w:w="1559" w:type="dxa"/>
            <w:tcBorders>
              <w:top w:val="single" w:sz="4" w:space="0" w:color="000000"/>
              <w:left w:val="single" w:sz="4" w:space="0" w:color="000000"/>
              <w:bottom w:val="single" w:sz="4" w:space="0" w:color="000000"/>
            </w:tcBorders>
            <w:shd w:val="clear" w:color="auto" w:fill="auto"/>
            <w:vAlign w:val="center"/>
          </w:tcPr>
          <w:p w14:paraId="340D37EA" w14:textId="77777777" w:rsidR="004C28D5" w:rsidRPr="004C28D5" w:rsidRDefault="004C28D5" w:rsidP="004C28D5">
            <w:pPr>
              <w:ind w:firstLine="0"/>
              <w:jc w:val="center"/>
              <w:rPr>
                <w:bCs/>
                <w:sz w:val="28"/>
                <w:szCs w:val="28"/>
              </w:rPr>
            </w:pPr>
            <w:r w:rsidRPr="004C28D5">
              <w:rPr>
                <w:bCs/>
                <w:sz w:val="28"/>
                <w:szCs w:val="28"/>
              </w:rPr>
              <w:t>28 622,6</w:t>
            </w:r>
          </w:p>
        </w:tc>
        <w:tc>
          <w:tcPr>
            <w:tcW w:w="1559" w:type="dxa"/>
            <w:tcBorders>
              <w:top w:val="single" w:sz="4" w:space="0" w:color="000000"/>
              <w:left w:val="single" w:sz="4" w:space="0" w:color="000000"/>
              <w:bottom w:val="single" w:sz="4" w:space="0" w:color="000000"/>
            </w:tcBorders>
            <w:shd w:val="clear" w:color="auto" w:fill="auto"/>
            <w:vAlign w:val="center"/>
          </w:tcPr>
          <w:p w14:paraId="7A26E0AC" w14:textId="77777777" w:rsidR="004C28D5" w:rsidRPr="004C28D5" w:rsidRDefault="004C28D5" w:rsidP="004C28D5">
            <w:pPr>
              <w:ind w:firstLine="0"/>
              <w:jc w:val="center"/>
              <w:rPr>
                <w:bCs/>
                <w:sz w:val="28"/>
                <w:szCs w:val="28"/>
              </w:rPr>
            </w:pPr>
            <w:r w:rsidRPr="004C28D5">
              <w:rPr>
                <w:bCs/>
                <w:sz w:val="28"/>
                <w:szCs w:val="28"/>
              </w:rPr>
              <w:t>29 418,7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6306D" w14:textId="77777777" w:rsidR="004C28D5" w:rsidRPr="004C28D5" w:rsidRDefault="004C28D5" w:rsidP="004C28D5">
            <w:pPr>
              <w:ind w:firstLine="0"/>
              <w:jc w:val="center"/>
              <w:rPr>
                <w:bCs/>
                <w:sz w:val="28"/>
                <w:szCs w:val="28"/>
              </w:rPr>
            </w:pPr>
            <w:r w:rsidRPr="004C28D5">
              <w:rPr>
                <w:bCs/>
                <w:sz w:val="28"/>
                <w:szCs w:val="28"/>
              </w:rPr>
              <w:t>30 726,4</w:t>
            </w:r>
          </w:p>
        </w:tc>
      </w:tr>
      <w:tr w:rsidR="004C28D5" w:rsidRPr="004C28D5" w14:paraId="2BEC3A01" w14:textId="77777777" w:rsidTr="00803B29">
        <w:tc>
          <w:tcPr>
            <w:tcW w:w="3687" w:type="dxa"/>
            <w:tcBorders>
              <w:top w:val="single" w:sz="4" w:space="0" w:color="000000"/>
              <w:left w:val="single" w:sz="4" w:space="0" w:color="000000"/>
              <w:bottom w:val="single" w:sz="4" w:space="0" w:color="000000"/>
            </w:tcBorders>
            <w:shd w:val="clear" w:color="auto" w:fill="auto"/>
          </w:tcPr>
          <w:p w14:paraId="56CD82B8" w14:textId="77777777" w:rsidR="004C28D5" w:rsidRPr="004C28D5" w:rsidRDefault="004C28D5" w:rsidP="004C28D5">
            <w:pPr>
              <w:ind w:firstLine="0"/>
              <w:rPr>
                <w:bCs/>
                <w:sz w:val="28"/>
                <w:szCs w:val="28"/>
              </w:rPr>
            </w:pPr>
            <w:r w:rsidRPr="004C28D5">
              <w:rPr>
                <w:bCs/>
                <w:sz w:val="28"/>
                <w:szCs w:val="28"/>
              </w:rPr>
              <w:t>Обеспечение электрической энергией, газом и паром; кондиционирование воздуха</w:t>
            </w:r>
          </w:p>
        </w:tc>
        <w:tc>
          <w:tcPr>
            <w:tcW w:w="1276" w:type="dxa"/>
            <w:tcBorders>
              <w:top w:val="single" w:sz="4" w:space="0" w:color="000000"/>
              <w:left w:val="single" w:sz="4" w:space="0" w:color="000000"/>
              <w:bottom w:val="single" w:sz="4" w:space="0" w:color="000000"/>
            </w:tcBorders>
            <w:shd w:val="clear" w:color="auto" w:fill="auto"/>
            <w:vAlign w:val="center"/>
          </w:tcPr>
          <w:p w14:paraId="251CA14A" w14:textId="77777777" w:rsidR="004C28D5" w:rsidRPr="004C28D5" w:rsidRDefault="004C28D5" w:rsidP="004C28D5">
            <w:pPr>
              <w:ind w:firstLine="0"/>
              <w:jc w:val="center"/>
              <w:rPr>
                <w:bCs/>
                <w:sz w:val="28"/>
                <w:szCs w:val="28"/>
              </w:rPr>
            </w:pPr>
            <w:r w:rsidRPr="004C28D5">
              <w:rPr>
                <w:bCs/>
                <w:sz w:val="28"/>
                <w:szCs w:val="28"/>
              </w:rPr>
              <w:t>млн. рублей</w:t>
            </w:r>
          </w:p>
        </w:tc>
        <w:tc>
          <w:tcPr>
            <w:tcW w:w="1559" w:type="dxa"/>
            <w:tcBorders>
              <w:top w:val="single" w:sz="4" w:space="0" w:color="000000"/>
              <w:left w:val="single" w:sz="4" w:space="0" w:color="000000"/>
              <w:bottom w:val="single" w:sz="4" w:space="0" w:color="000000"/>
            </w:tcBorders>
            <w:shd w:val="clear" w:color="auto" w:fill="auto"/>
            <w:vAlign w:val="center"/>
          </w:tcPr>
          <w:p w14:paraId="5664628E" w14:textId="77777777" w:rsidR="004C28D5" w:rsidRPr="004C28D5" w:rsidRDefault="004C28D5" w:rsidP="004C28D5">
            <w:pPr>
              <w:ind w:firstLine="0"/>
              <w:jc w:val="center"/>
              <w:rPr>
                <w:bCs/>
                <w:sz w:val="28"/>
                <w:szCs w:val="28"/>
              </w:rPr>
            </w:pPr>
            <w:r w:rsidRPr="004C28D5">
              <w:rPr>
                <w:bCs/>
                <w:sz w:val="28"/>
                <w:szCs w:val="28"/>
              </w:rPr>
              <w:t>21 528,8</w:t>
            </w:r>
          </w:p>
        </w:tc>
        <w:tc>
          <w:tcPr>
            <w:tcW w:w="1559" w:type="dxa"/>
            <w:tcBorders>
              <w:top w:val="single" w:sz="4" w:space="0" w:color="000000"/>
              <w:left w:val="single" w:sz="4" w:space="0" w:color="000000"/>
              <w:bottom w:val="single" w:sz="4" w:space="0" w:color="000000"/>
            </w:tcBorders>
            <w:shd w:val="clear" w:color="auto" w:fill="auto"/>
            <w:vAlign w:val="center"/>
          </w:tcPr>
          <w:p w14:paraId="6425D726" w14:textId="77777777" w:rsidR="004C28D5" w:rsidRPr="004C28D5" w:rsidRDefault="004C28D5" w:rsidP="004C28D5">
            <w:pPr>
              <w:ind w:firstLine="0"/>
              <w:jc w:val="center"/>
              <w:rPr>
                <w:bCs/>
                <w:sz w:val="28"/>
                <w:szCs w:val="28"/>
              </w:rPr>
            </w:pPr>
            <w:r w:rsidRPr="004C28D5">
              <w:rPr>
                <w:bCs/>
                <w:sz w:val="28"/>
                <w:szCs w:val="28"/>
              </w:rPr>
              <w:t>22 075,2</w:t>
            </w:r>
          </w:p>
        </w:tc>
        <w:tc>
          <w:tcPr>
            <w:tcW w:w="1418" w:type="dxa"/>
            <w:tcBorders>
              <w:top w:val="single" w:sz="4" w:space="0" w:color="000000"/>
              <w:left w:val="single" w:sz="4" w:space="0" w:color="000000"/>
              <w:bottom w:val="single" w:sz="4" w:space="0" w:color="000000"/>
              <w:right w:val="single" w:sz="4" w:space="0" w:color="000000"/>
            </w:tcBorders>
            <w:vAlign w:val="center"/>
          </w:tcPr>
          <w:p w14:paraId="1ABBA66C" w14:textId="77777777" w:rsidR="004C28D5" w:rsidRPr="004C28D5" w:rsidRDefault="004C28D5" w:rsidP="004C28D5">
            <w:pPr>
              <w:ind w:firstLine="0"/>
              <w:jc w:val="center"/>
              <w:rPr>
                <w:bCs/>
                <w:sz w:val="28"/>
                <w:szCs w:val="28"/>
              </w:rPr>
            </w:pPr>
            <w:r w:rsidRPr="004C28D5">
              <w:rPr>
                <w:bCs/>
                <w:sz w:val="28"/>
                <w:szCs w:val="28"/>
              </w:rPr>
              <w:t>22 800,0</w:t>
            </w:r>
          </w:p>
        </w:tc>
      </w:tr>
      <w:tr w:rsidR="004C28D5" w:rsidRPr="004C28D5" w14:paraId="55853578" w14:textId="77777777" w:rsidTr="00803B29">
        <w:tc>
          <w:tcPr>
            <w:tcW w:w="3687" w:type="dxa"/>
            <w:tcBorders>
              <w:top w:val="single" w:sz="4" w:space="0" w:color="000000"/>
              <w:left w:val="single" w:sz="4" w:space="0" w:color="000000"/>
              <w:bottom w:val="single" w:sz="4" w:space="0" w:color="000000"/>
            </w:tcBorders>
            <w:shd w:val="clear" w:color="auto" w:fill="auto"/>
          </w:tcPr>
          <w:p w14:paraId="2079F7C1" w14:textId="77777777" w:rsidR="004C28D5" w:rsidRPr="004C28D5" w:rsidRDefault="004C28D5" w:rsidP="004C28D5">
            <w:pPr>
              <w:ind w:firstLine="0"/>
              <w:rPr>
                <w:bCs/>
                <w:sz w:val="28"/>
                <w:szCs w:val="28"/>
              </w:rPr>
            </w:pPr>
            <w:r w:rsidRPr="004C28D5">
              <w:rPr>
                <w:bCs/>
                <w:sz w:val="28"/>
                <w:szCs w:val="28"/>
              </w:rPr>
              <w:t>Водоснабжение; водоотведение, организация сбора и утилизации отходов, деятельность по ликвидации загрязнений</w:t>
            </w:r>
          </w:p>
        </w:tc>
        <w:tc>
          <w:tcPr>
            <w:tcW w:w="1276" w:type="dxa"/>
            <w:tcBorders>
              <w:top w:val="single" w:sz="4" w:space="0" w:color="000000"/>
              <w:left w:val="single" w:sz="4" w:space="0" w:color="000000"/>
              <w:bottom w:val="single" w:sz="4" w:space="0" w:color="000000"/>
            </w:tcBorders>
            <w:shd w:val="clear" w:color="auto" w:fill="auto"/>
            <w:vAlign w:val="center"/>
          </w:tcPr>
          <w:p w14:paraId="02227438" w14:textId="77777777" w:rsidR="004C28D5" w:rsidRPr="004C28D5" w:rsidRDefault="004C28D5" w:rsidP="004C28D5">
            <w:pPr>
              <w:ind w:firstLine="0"/>
              <w:jc w:val="center"/>
              <w:rPr>
                <w:bCs/>
                <w:sz w:val="28"/>
                <w:szCs w:val="28"/>
              </w:rPr>
            </w:pPr>
            <w:r w:rsidRPr="004C28D5">
              <w:rPr>
                <w:bCs/>
                <w:sz w:val="28"/>
                <w:szCs w:val="28"/>
              </w:rPr>
              <w:t>млн. рублей</w:t>
            </w:r>
          </w:p>
        </w:tc>
        <w:tc>
          <w:tcPr>
            <w:tcW w:w="1559" w:type="dxa"/>
            <w:tcBorders>
              <w:top w:val="single" w:sz="4" w:space="0" w:color="000000"/>
              <w:left w:val="single" w:sz="4" w:space="0" w:color="000000"/>
              <w:bottom w:val="single" w:sz="4" w:space="0" w:color="000000"/>
            </w:tcBorders>
            <w:shd w:val="clear" w:color="auto" w:fill="auto"/>
            <w:vAlign w:val="center"/>
          </w:tcPr>
          <w:p w14:paraId="7ED1384B" w14:textId="77777777" w:rsidR="004C28D5" w:rsidRPr="004C28D5" w:rsidRDefault="004C28D5" w:rsidP="004C28D5">
            <w:pPr>
              <w:ind w:firstLine="0"/>
              <w:jc w:val="center"/>
              <w:rPr>
                <w:bCs/>
                <w:sz w:val="28"/>
                <w:szCs w:val="28"/>
              </w:rPr>
            </w:pPr>
            <w:r w:rsidRPr="004C28D5">
              <w:rPr>
                <w:bCs/>
                <w:sz w:val="28"/>
                <w:szCs w:val="28"/>
              </w:rPr>
              <w:t>18 390,6</w:t>
            </w:r>
          </w:p>
        </w:tc>
        <w:tc>
          <w:tcPr>
            <w:tcW w:w="1559" w:type="dxa"/>
            <w:tcBorders>
              <w:top w:val="single" w:sz="4" w:space="0" w:color="000000"/>
              <w:left w:val="single" w:sz="4" w:space="0" w:color="000000"/>
              <w:bottom w:val="single" w:sz="4" w:space="0" w:color="000000"/>
            </w:tcBorders>
            <w:shd w:val="clear" w:color="auto" w:fill="auto"/>
            <w:vAlign w:val="center"/>
          </w:tcPr>
          <w:p w14:paraId="3B699F0B" w14:textId="77777777" w:rsidR="004C28D5" w:rsidRPr="004C28D5" w:rsidRDefault="004C28D5" w:rsidP="004C28D5">
            <w:pPr>
              <w:ind w:firstLine="0"/>
              <w:jc w:val="center"/>
              <w:rPr>
                <w:bCs/>
                <w:sz w:val="28"/>
                <w:szCs w:val="28"/>
              </w:rPr>
            </w:pPr>
            <w:r w:rsidRPr="004C28D5">
              <w:rPr>
                <w:bCs/>
                <w:sz w:val="28"/>
                <w:szCs w:val="28"/>
              </w:rPr>
              <w:t>18 728,3</w:t>
            </w:r>
          </w:p>
        </w:tc>
        <w:tc>
          <w:tcPr>
            <w:tcW w:w="1418" w:type="dxa"/>
            <w:tcBorders>
              <w:top w:val="single" w:sz="4" w:space="0" w:color="000000"/>
              <w:left w:val="single" w:sz="4" w:space="0" w:color="000000"/>
              <w:bottom w:val="single" w:sz="4" w:space="0" w:color="000000"/>
              <w:right w:val="single" w:sz="4" w:space="0" w:color="000000"/>
            </w:tcBorders>
            <w:vAlign w:val="center"/>
          </w:tcPr>
          <w:p w14:paraId="5E0734E6" w14:textId="77777777" w:rsidR="004C28D5" w:rsidRPr="004C28D5" w:rsidRDefault="004C28D5" w:rsidP="004C28D5">
            <w:pPr>
              <w:ind w:firstLine="0"/>
              <w:jc w:val="center"/>
              <w:rPr>
                <w:bCs/>
                <w:sz w:val="28"/>
                <w:szCs w:val="28"/>
              </w:rPr>
            </w:pPr>
            <w:r w:rsidRPr="004C28D5">
              <w:rPr>
                <w:bCs/>
                <w:sz w:val="28"/>
                <w:szCs w:val="28"/>
              </w:rPr>
              <w:t>16 500,0</w:t>
            </w:r>
          </w:p>
        </w:tc>
      </w:tr>
      <w:tr w:rsidR="004C28D5" w:rsidRPr="004C28D5" w14:paraId="7C5DAFAA" w14:textId="77777777" w:rsidTr="00803B29">
        <w:tc>
          <w:tcPr>
            <w:tcW w:w="3687" w:type="dxa"/>
            <w:tcBorders>
              <w:top w:val="single" w:sz="4" w:space="0" w:color="000000"/>
              <w:left w:val="single" w:sz="4" w:space="0" w:color="000000"/>
              <w:bottom w:val="single" w:sz="4" w:space="0" w:color="000000"/>
            </w:tcBorders>
            <w:shd w:val="clear" w:color="auto" w:fill="auto"/>
          </w:tcPr>
          <w:p w14:paraId="7261153B" w14:textId="77777777" w:rsidR="004C28D5" w:rsidRPr="004C28D5" w:rsidRDefault="004C28D5" w:rsidP="004C28D5">
            <w:pPr>
              <w:ind w:firstLine="0"/>
              <w:rPr>
                <w:bCs/>
                <w:sz w:val="28"/>
                <w:szCs w:val="28"/>
              </w:rPr>
            </w:pPr>
            <w:r w:rsidRPr="004C28D5">
              <w:rPr>
                <w:bCs/>
                <w:sz w:val="28"/>
                <w:szCs w:val="28"/>
              </w:rPr>
              <w:lastRenderedPageBreak/>
              <w:t xml:space="preserve">Индекс промышленного производства </w:t>
            </w:r>
          </w:p>
        </w:tc>
        <w:tc>
          <w:tcPr>
            <w:tcW w:w="1276" w:type="dxa"/>
            <w:tcBorders>
              <w:top w:val="single" w:sz="4" w:space="0" w:color="000000"/>
              <w:left w:val="single" w:sz="4" w:space="0" w:color="000000"/>
              <w:bottom w:val="single" w:sz="4" w:space="0" w:color="000000"/>
            </w:tcBorders>
            <w:shd w:val="clear" w:color="auto" w:fill="auto"/>
            <w:vAlign w:val="center"/>
          </w:tcPr>
          <w:p w14:paraId="11787412" w14:textId="77777777" w:rsidR="004C28D5" w:rsidRPr="004C28D5" w:rsidRDefault="004C28D5" w:rsidP="004C28D5">
            <w:pPr>
              <w:ind w:firstLine="0"/>
              <w:jc w:val="center"/>
              <w:rPr>
                <w:bCs/>
                <w:sz w:val="28"/>
                <w:szCs w:val="28"/>
              </w:rPr>
            </w:pPr>
            <w:r w:rsidRPr="004C28D5">
              <w:rPr>
                <w:bCs/>
                <w:sz w:val="28"/>
                <w:szCs w:val="28"/>
              </w:rPr>
              <w:t>%</w:t>
            </w:r>
          </w:p>
        </w:tc>
        <w:tc>
          <w:tcPr>
            <w:tcW w:w="1559" w:type="dxa"/>
            <w:tcBorders>
              <w:top w:val="single" w:sz="4" w:space="0" w:color="000000"/>
              <w:left w:val="single" w:sz="4" w:space="0" w:color="000000"/>
              <w:bottom w:val="single" w:sz="4" w:space="0" w:color="000000"/>
            </w:tcBorders>
            <w:shd w:val="clear" w:color="auto" w:fill="auto"/>
            <w:vAlign w:val="center"/>
          </w:tcPr>
          <w:p w14:paraId="55097EED" w14:textId="77777777" w:rsidR="004C28D5" w:rsidRPr="004C28D5" w:rsidRDefault="004C28D5" w:rsidP="004C28D5">
            <w:pPr>
              <w:ind w:firstLine="0"/>
              <w:jc w:val="center"/>
              <w:rPr>
                <w:bCs/>
                <w:sz w:val="28"/>
                <w:szCs w:val="28"/>
              </w:rPr>
            </w:pPr>
            <w:r w:rsidRPr="004C28D5">
              <w:rPr>
                <w:bCs/>
                <w:sz w:val="28"/>
                <w:szCs w:val="28"/>
              </w:rPr>
              <w:t>98,8</w:t>
            </w:r>
          </w:p>
        </w:tc>
        <w:tc>
          <w:tcPr>
            <w:tcW w:w="1559" w:type="dxa"/>
            <w:tcBorders>
              <w:top w:val="single" w:sz="4" w:space="0" w:color="000000"/>
              <w:left w:val="single" w:sz="4" w:space="0" w:color="000000"/>
              <w:bottom w:val="single" w:sz="4" w:space="0" w:color="000000"/>
            </w:tcBorders>
            <w:shd w:val="clear" w:color="auto" w:fill="auto"/>
            <w:vAlign w:val="center"/>
          </w:tcPr>
          <w:p w14:paraId="68572043" w14:textId="77777777" w:rsidR="004C28D5" w:rsidRPr="004C28D5" w:rsidRDefault="004C28D5" w:rsidP="004C28D5">
            <w:pPr>
              <w:ind w:firstLine="0"/>
              <w:jc w:val="center"/>
              <w:rPr>
                <w:bCs/>
                <w:sz w:val="28"/>
                <w:szCs w:val="28"/>
              </w:rPr>
            </w:pPr>
            <w:r w:rsidRPr="004C28D5">
              <w:rPr>
                <w:bCs/>
                <w:sz w:val="28"/>
                <w:szCs w:val="28"/>
              </w:rPr>
              <w:t>102,0</w:t>
            </w:r>
          </w:p>
        </w:tc>
        <w:tc>
          <w:tcPr>
            <w:tcW w:w="1418" w:type="dxa"/>
            <w:tcBorders>
              <w:top w:val="single" w:sz="4" w:space="0" w:color="000000"/>
              <w:left w:val="single" w:sz="4" w:space="0" w:color="000000"/>
              <w:bottom w:val="single" w:sz="4" w:space="0" w:color="000000"/>
              <w:right w:val="single" w:sz="4" w:space="0" w:color="000000"/>
            </w:tcBorders>
            <w:vAlign w:val="center"/>
          </w:tcPr>
          <w:p w14:paraId="717DA632" w14:textId="77777777" w:rsidR="004C28D5" w:rsidRPr="004C28D5" w:rsidRDefault="004C28D5" w:rsidP="004C28D5">
            <w:pPr>
              <w:ind w:firstLine="0"/>
              <w:jc w:val="center"/>
              <w:rPr>
                <w:bCs/>
                <w:sz w:val="28"/>
                <w:szCs w:val="28"/>
              </w:rPr>
            </w:pPr>
            <w:r w:rsidRPr="004C28D5">
              <w:rPr>
                <w:bCs/>
                <w:sz w:val="28"/>
                <w:szCs w:val="28"/>
              </w:rPr>
              <w:t>103,5</w:t>
            </w:r>
          </w:p>
        </w:tc>
      </w:tr>
      <w:tr w:rsidR="004C28D5" w:rsidRPr="004C28D5" w14:paraId="7E769994" w14:textId="77777777" w:rsidTr="00803B29">
        <w:trPr>
          <w:trHeight w:val="487"/>
        </w:trPr>
        <w:tc>
          <w:tcPr>
            <w:tcW w:w="3687" w:type="dxa"/>
            <w:tcBorders>
              <w:top w:val="single" w:sz="4" w:space="0" w:color="000000"/>
              <w:left w:val="single" w:sz="4" w:space="0" w:color="000000"/>
              <w:bottom w:val="single" w:sz="4" w:space="0" w:color="000000"/>
            </w:tcBorders>
            <w:shd w:val="clear" w:color="auto" w:fill="auto"/>
          </w:tcPr>
          <w:p w14:paraId="3129155A" w14:textId="7F109AC4" w:rsidR="004C28D5" w:rsidRPr="004C28D5" w:rsidRDefault="004C28D5" w:rsidP="00803B29">
            <w:pPr>
              <w:ind w:firstLine="0"/>
              <w:rPr>
                <w:bCs/>
                <w:sz w:val="28"/>
                <w:szCs w:val="28"/>
              </w:rPr>
            </w:pPr>
            <w:r w:rsidRPr="004C28D5">
              <w:rPr>
                <w:bCs/>
                <w:sz w:val="28"/>
                <w:szCs w:val="28"/>
              </w:rPr>
              <w:t>в том числе:</w:t>
            </w:r>
          </w:p>
        </w:tc>
        <w:tc>
          <w:tcPr>
            <w:tcW w:w="1276" w:type="dxa"/>
            <w:tcBorders>
              <w:top w:val="single" w:sz="4" w:space="0" w:color="000000"/>
              <w:left w:val="single" w:sz="4" w:space="0" w:color="000000"/>
              <w:bottom w:val="single" w:sz="4" w:space="0" w:color="000000"/>
            </w:tcBorders>
            <w:shd w:val="clear" w:color="auto" w:fill="auto"/>
            <w:vAlign w:val="center"/>
          </w:tcPr>
          <w:p w14:paraId="1024FCA2" w14:textId="77777777" w:rsidR="004C28D5" w:rsidRPr="004C28D5" w:rsidRDefault="004C28D5" w:rsidP="004C28D5">
            <w:pPr>
              <w:snapToGrid w:val="0"/>
              <w:ind w:firstLine="0"/>
              <w:jc w:val="center"/>
              <w:rPr>
                <w:bCs/>
                <w:sz w:val="28"/>
                <w:szCs w:val="28"/>
              </w:rPr>
            </w:pPr>
          </w:p>
        </w:tc>
        <w:tc>
          <w:tcPr>
            <w:tcW w:w="1559" w:type="dxa"/>
            <w:tcBorders>
              <w:top w:val="single" w:sz="4" w:space="0" w:color="000000"/>
              <w:left w:val="single" w:sz="4" w:space="0" w:color="000000"/>
              <w:bottom w:val="single" w:sz="4" w:space="0" w:color="000000"/>
            </w:tcBorders>
            <w:shd w:val="clear" w:color="auto" w:fill="auto"/>
            <w:vAlign w:val="center"/>
          </w:tcPr>
          <w:p w14:paraId="75FC8BA5" w14:textId="77777777" w:rsidR="004C28D5" w:rsidRPr="004C28D5" w:rsidRDefault="004C28D5" w:rsidP="004C28D5">
            <w:pPr>
              <w:snapToGrid w:val="0"/>
              <w:ind w:firstLine="0"/>
              <w:jc w:val="center"/>
              <w:rPr>
                <w:bCs/>
                <w:sz w:val="28"/>
                <w:szCs w:val="28"/>
              </w:rPr>
            </w:pPr>
          </w:p>
        </w:tc>
        <w:tc>
          <w:tcPr>
            <w:tcW w:w="1559" w:type="dxa"/>
            <w:tcBorders>
              <w:top w:val="single" w:sz="4" w:space="0" w:color="000000"/>
              <w:left w:val="single" w:sz="4" w:space="0" w:color="000000"/>
              <w:bottom w:val="single" w:sz="4" w:space="0" w:color="000000"/>
            </w:tcBorders>
            <w:shd w:val="clear" w:color="auto" w:fill="auto"/>
            <w:vAlign w:val="center"/>
          </w:tcPr>
          <w:p w14:paraId="74862D01" w14:textId="77777777" w:rsidR="004C28D5" w:rsidRPr="004C28D5" w:rsidRDefault="004C28D5" w:rsidP="004C28D5">
            <w:pPr>
              <w:snapToGrid w:val="0"/>
              <w:ind w:firstLine="0"/>
              <w:jc w:val="center"/>
              <w:rPr>
                <w:bCs/>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A796723" w14:textId="77777777" w:rsidR="004C28D5" w:rsidRPr="004C28D5" w:rsidRDefault="004C28D5" w:rsidP="004C28D5">
            <w:pPr>
              <w:snapToGrid w:val="0"/>
              <w:ind w:firstLine="0"/>
              <w:jc w:val="center"/>
              <w:rPr>
                <w:bCs/>
                <w:sz w:val="28"/>
                <w:szCs w:val="28"/>
              </w:rPr>
            </w:pPr>
          </w:p>
        </w:tc>
      </w:tr>
      <w:tr w:rsidR="004C28D5" w:rsidRPr="004C28D5" w14:paraId="2AE3EE86" w14:textId="77777777" w:rsidTr="00803B29">
        <w:tc>
          <w:tcPr>
            <w:tcW w:w="3687" w:type="dxa"/>
            <w:tcBorders>
              <w:top w:val="single" w:sz="4" w:space="0" w:color="000000"/>
              <w:left w:val="single" w:sz="4" w:space="0" w:color="000000"/>
              <w:bottom w:val="single" w:sz="4" w:space="0" w:color="000000"/>
            </w:tcBorders>
            <w:shd w:val="clear" w:color="auto" w:fill="auto"/>
          </w:tcPr>
          <w:p w14:paraId="26EECA3D" w14:textId="77777777" w:rsidR="004C28D5" w:rsidRPr="004C28D5" w:rsidRDefault="004C28D5" w:rsidP="004C28D5">
            <w:pPr>
              <w:ind w:firstLine="0"/>
              <w:rPr>
                <w:bCs/>
                <w:sz w:val="28"/>
                <w:szCs w:val="28"/>
              </w:rPr>
            </w:pPr>
            <w:r w:rsidRPr="004C28D5">
              <w:rPr>
                <w:bCs/>
                <w:sz w:val="28"/>
                <w:szCs w:val="28"/>
              </w:rPr>
              <w:t>Обрабатывающие производства</w:t>
            </w:r>
          </w:p>
        </w:tc>
        <w:tc>
          <w:tcPr>
            <w:tcW w:w="1276" w:type="dxa"/>
            <w:tcBorders>
              <w:top w:val="single" w:sz="4" w:space="0" w:color="000000"/>
              <w:left w:val="single" w:sz="4" w:space="0" w:color="000000"/>
              <w:bottom w:val="single" w:sz="4" w:space="0" w:color="000000"/>
            </w:tcBorders>
            <w:shd w:val="clear" w:color="auto" w:fill="auto"/>
            <w:vAlign w:val="center"/>
          </w:tcPr>
          <w:p w14:paraId="31D14939" w14:textId="77777777" w:rsidR="004C28D5" w:rsidRPr="004C28D5" w:rsidRDefault="004C28D5" w:rsidP="004C28D5">
            <w:pPr>
              <w:ind w:firstLine="0"/>
              <w:jc w:val="center"/>
              <w:rPr>
                <w:bCs/>
                <w:sz w:val="28"/>
                <w:szCs w:val="28"/>
              </w:rPr>
            </w:pPr>
            <w:r w:rsidRPr="004C28D5">
              <w:rPr>
                <w:bCs/>
                <w:sz w:val="28"/>
                <w:szCs w:val="28"/>
              </w:rPr>
              <w:t>%</w:t>
            </w:r>
          </w:p>
        </w:tc>
        <w:tc>
          <w:tcPr>
            <w:tcW w:w="1559" w:type="dxa"/>
            <w:tcBorders>
              <w:top w:val="single" w:sz="4" w:space="0" w:color="000000"/>
              <w:left w:val="single" w:sz="4" w:space="0" w:color="000000"/>
              <w:bottom w:val="single" w:sz="4" w:space="0" w:color="000000"/>
            </w:tcBorders>
            <w:shd w:val="clear" w:color="auto" w:fill="auto"/>
            <w:vAlign w:val="center"/>
          </w:tcPr>
          <w:p w14:paraId="44F2D8FD" w14:textId="77777777" w:rsidR="004C28D5" w:rsidRPr="004C28D5" w:rsidRDefault="004C28D5" w:rsidP="004C28D5">
            <w:pPr>
              <w:ind w:firstLine="0"/>
              <w:jc w:val="center"/>
              <w:rPr>
                <w:bCs/>
                <w:sz w:val="28"/>
                <w:szCs w:val="28"/>
              </w:rPr>
            </w:pPr>
            <w:r w:rsidRPr="004C28D5">
              <w:rPr>
                <w:bCs/>
                <w:sz w:val="28"/>
                <w:szCs w:val="28"/>
              </w:rPr>
              <w:t>98,8</w:t>
            </w:r>
          </w:p>
        </w:tc>
        <w:tc>
          <w:tcPr>
            <w:tcW w:w="1559" w:type="dxa"/>
            <w:tcBorders>
              <w:top w:val="single" w:sz="4" w:space="0" w:color="000000"/>
              <w:left w:val="single" w:sz="4" w:space="0" w:color="000000"/>
              <w:bottom w:val="single" w:sz="4" w:space="0" w:color="000000"/>
            </w:tcBorders>
            <w:shd w:val="clear" w:color="auto" w:fill="auto"/>
            <w:vAlign w:val="center"/>
          </w:tcPr>
          <w:p w14:paraId="337B2E1D" w14:textId="77777777" w:rsidR="004C28D5" w:rsidRPr="004C28D5" w:rsidRDefault="004C28D5" w:rsidP="004C28D5">
            <w:pPr>
              <w:ind w:firstLine="0"/>
              <w:jc w:val="center"/>
              <w:rPr>
                <w:bCs/>
                <w:sz w:val="28"/>
                <w:szCs w:val="28"/>
              </w:rPr>
            </w:pPr>
            <w:r w:rsidRPr="004C28D5">
              <w:rPr>
                <w:bCs/>
                <w:sz w:val="28"/>
                <w:szCs w:val="28"/>
              </w:rPr>
              <w:t>102,1</w:t>
            </w:r>
          </w:p>
        </w:tc>
        <w:tc>
          <w:tcPr>
            <w:tcW w:w="1418" w:type="dxa"/>
            <w:tcBorders>
              <w:top w:val="single" w:sz="4" w:space="0" w:color="000000"/>
              <w:left w:val="single" w:sz="4" w:space="0" w:color="000000"/>
              <w:bottom w:val="single" w:sz="4" w:space="0" w:color="000000"/>
              <w:right w:val="single" w:sz="4" w:space="0" w:color="000000"/>
            </w:tcBorders>
            <w:vAlign w:val="center"/>
          </w:tcPr>
          <w:p w14:paraId="17A4DDF6" w14:textId="77777777" w:rsidR="004C28D5" w:rsidRPr="004C28D5" w:rsidRDefault="004C28D5" w:rsidP="004C28D5">
            <w:pPr>
              <w:ind w:firstLine="0"/>
              <w:jc w:val="center"/>
              <w:rPr>
                <w:bCs/>
                <w:sz w:val="28"/>
                <w:szCs w:val="28"/>
              </w:rPr>
            </w:pPr>
            <w:r w:rsidRPr="004C28D5">
              <w:rPr>
                <w:bCs/>
                <w:sz w:val="28"/>
                <w:szCs w:val="28"/>
              </w:rPr>
              <w:t>104,0</w:t>
            </w:r>
          </w:p>
        </w:tc>
      </w:tr>
      <w:tr w:rsidR="009278E9" w:rsidRPr="004C28D5" w14:paraId="5C101542" w14:textId="77777777" w:rsidTr="00803B29">
        <w:tc>
          <w:tcPr>
            <w:tcW w:w="3687" w:type="dxa"/>
            <w:tcBorders>
              <w:top w:val="single" w:sz="4" w:space="0" w:color="000000"/>
              <w:left w:val="single" w:sz="4" w:space="0" w:color="000000"/>
              <w:bottom w:val="single" w:sz="4" w:space="0" w:color="000000"/>
            </w:tcBorders>
            <w:shd w:val="clear" w:color="auto" w:fill="auto"/>
          </w:tcPr>
          <w:p w14:paraId="03CC7B34" w14:textId="2045DA3C" w:rsidR="009278E9" w:rsidRPr="004C28D5" w:rsidRDefault="007737E1" w:rsidP="004C28D5">
            <w:pPr>
              <w:ind w:firstLine="0"/>
              <w:rPr>
                <w:bCs/>
                <w:sz w:val="28"/>
                <w:szCs w:val="28"/>
              </w:rPr>
            </w:pPr>
            <w:r>
              <w:rPr>
                <w:bCs/>
                <w:sz w:val="28"/>
                <w:szCs w:val="28"/>
              </w:rPr>
              <w:t>и</w:t>
            </w:r>
            <w:r w:rsidR="009278E9">
              <w:rPr>
                <w:bCs/>
                <w:sz w:val="28"/>
                <w:szCs w:val="28"/>
              </w:rPr>
              <w:t>з них:</w:t>
            </w:r>
          </w:p>
        </w:tc>
        <w:tc>
          <w:tcPr>
            <w:tcW w:w="1276" w:type="dxa"/>
            <w:tcBorders>
              <w:top w:val="single" w:sz="4" w:space="0" w:color="000000"/>
              <w:left w:val="single" w:sz="4" w:space="0" w:color="000000"/>
              <w:bottom w:val="single" w:sz="4" w:space="0" w:color="000000"/>
            </w:tcBorders>
            <w:shd w:val="clear" w:color="auto" w:fill="auto"/>
            <w:vAlign w:val="center"/>
          </w:tcPr>
          <w:p w14:paraId="569F1CE2" w14:textId="77777777" w:rsidR="009278E9" w:rsidRPr="004C28D5" w:rsidRDefault="009278E9" w:rsidP="004C28D5">
            <w:pPr>
              <w:ind w:firstLine="0"/>
              <w:jc w:val="center"/>
              <w:rPr>
                <w:bCs/>
                <w:sz w:val="28"/>
                <w:szCs w:val="28"/>
              </w:rPr>
            </w:pPr>
          </w:p>
        </w:tc>
        <w:tc>
          <w:tcPr>
            <w:tcW w:w="1559" w:type="dxa"/>
            <w:tcBorders>
              <w:top w:val="single" w:sz="4" w:space="0" w:color="000000"/>
              <w:left w:val="single" w:sz="4" w:space="0" w:color="000000"/>
              <w:bottom w:val="single" w:sz="4" w:space="0" w:color="000000"/>
            </w:tcBorders>
            <w:shd w:val="clear" w:color="auto" w:fill="auto"/>
            <w:vAlign w:val="center"/>
          </w:tcPr>
          <w:p w14:paraId="3123DD46" w14:textId="77777777" w:rsidR="009278E9" w:rsidRPr="004C28D5" w:rsidRDefault="009278E9" w:rsidP="004C28D5">
            <w:pPr>
              <w:ind w:firstLine="0"/>
              <w:jc w:val="center"/>
              <w:rPr>
                <w:bCs/>
                <w:sz w:val="28"/>
                <w:szCs w:val="28"/>
              </w:rPr>
            </w:pPr>
          </w:p>
        </w:tc>
        <w:tc>
          <w:tcPr>
            <w:tcW w:w="1559" w:type="dxa"/>
            <w:tcBorders>
              <w:top w:val="single" w:sz="4" w:space="0" w:color="000000"/>
              <w:left w:val="single" w:sz="4" w:space="0" w:color="000000"/>
              <w:bottom w:val="single" w:sz="4" w:space="0" w:color="000000"/>
            </w:tcBorders>
            <w:shd w:val="clear" w:color="auto" w:fill="auto"/>
            <w:vAlign w:val="center"/>
          </w:tcPr>
          <w:p w14:paraId="47EC91BC" w14:textId="77777777" w:rsidR="009278E9" w:rsidRPr="004C28D5" w:rsidRDefault="009278E9" w:rsidP="004C28D5">
            <w:pPr>
              <w:ind w:firstLine="0"/>
              <w:jc w:val="center"/>
              <w:rPr>
                <w:bCs/>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99FA1D4" w14:textId="77777777" w:rsidR="009278E9" w:rsidRPr="004C28D5" w:rsidRDefault="009278E9" w:rsidP="004C28D5">
            <w:pPr>
              <w:ind w:firstLine="0"/>
              <w:jc w:val="center"/>
              <w:rPr>
                <w:bCs/>
                <w:sz w:val="28"/>
                <w:szCs w:val="28"/>
              </w:rPr>
            </w:pPr>
          </w:p>
        </w:tc>
      </w:tr>
      <w:tr w:rsidR="004C28D5" w:rsidRPr="004C28D5" w14:paraId="7CA9F8F7" w14:textId="77777777" w:rsidTr="00803B29">
        <w:tc>
          <w:tcPr>
            <w:tcW w:w="3687" w:type="dxa"/>
            <w:tcBorders>
              <w:top w:val="single" w:sz="4" w:space="0" w:color="000000"/>
              <w:left w:val="single" w:sz="4" w:space="0" w:color="000000"/>
              <w:bottom w:val="single" w:sz="4" w:space="0" w:color="000000"/>
            </w:tcBorders>
            <w:shd w:val="clear" w:color="auto" w:fill="auto"/>
          </w:tcPr>
          <w:p w14:paraId="05426173" w14:textId="77777777" w:rsidR="004C28D5" w:rsidRPr="004C28D5" w:rsidRDefault="004C28D5" w:rsidP="009278E9">
            <w:pPr>
              <w:ind w:left="177" w:firstLine="0"/>
              <w:rPr>
                <w:bCs/>
                <w:sz w:val="28"/>
                <w:szCs w:val="28"/>
              </w:rPr>
            </w:pPr>
            <w:r w:rsidRPr="004C28D5">
              <w:rPr>
                <w:bCs/>
                <w:sz w:val="28"/>
                <w:szCs w:val="28"/>
              </w:rPr>
              <w:t>Производство пищевых продуктов</w:t>
            </w:r>
          </w:p>
        </w:tc>
        <w:tc>
          <w:tcPr>
            <w:tcW w:w="1276" w:type="dxa"/>
            <w:tcBorders>
              <w:top w:val="single" w:sz="4" w:space="0" w:color="000000"/>
              <w:left w:val="single" w:sz="4" w:space="0" w:color="000000"/>
              <w:bottom w:val="single" w:sz="4" w:space="0" w:color="000000"/>
            </w:tcBorders>
            <w:shd w:val="clear" w:color="auto" w:fill="auto"/>
            <w:vAlign w:val="center"/>
          </w:tcPr>
          <w:p w14:paraId="5EA1394A" w14:textId="77777777" w:rsidR="004C28D5" w:rsidRPr="004C28D5" w:rsidRDefault="004C28D5" w:rsidP="004C28D5">
            <w:pPr>
              <w:ind w:firstLine="0"/>
              <w:jc w:val="center"/>
              <w:rPr>
                <w:bCs/>
                <w:sz w:val="28"/>
                <w:szCs w:val="28"/>
              </w:rPr>
            </w:pPr>
            <w:r w:rsidRPr="004C28D5">
              <w:rPr>
                <w:bCs/>
                <w:sz w:val="28"/>
                <w:szCs w:val="28"/>
              </w:rPr>
              <w:t>%</w:t>
            </w:r>
          </w:p>
        </w:tc>
        <w:tc>
          <w:tcPr>
            <w:tcW w:w="1559" w:type="dxa"/>
            <w:tcBorders>
              <w:top w:val="single" w:sz="4" w:space="0" w:color="000000"/>
              <w:left w:val="single" w:sz="4" w:space="0" w:color="000000"/>
              <w:bottom w:val="single" w:sz="4" w:space="0" w:color="000000"/>
            </w:tcBorders>
            <w:shd w:val="clear" w:color="auto" w:fill="auto"/>
            <w:vAlign w:val="center"/>
          </w:tcPr>
          <w:p w14:paraId="6A1FB4C8" w14:textId="77777777" w:rsidR="004C28D5" w:rsidRPr="004C28D5" w:rsidRDefault="004C28D5" w:rsidP="004C28D5">
            <w:pPr>
              <w:ind w:firstLine="0"/>
              <w:jc w:val="center"/>
              <w:rPr>
                <w:bCs/>
                <w:sz w:val="28"/>
                <w:szCs w:val="28"/>
              </w:rPr>
            </w:pPr>
            <w:r w:rsidRPr="004C28D5">
              <w:rPr>
                <w:bCs/>
                <w:sz w:val="28"/>
                <w:szCs w:val="28"/>
              </w:rPr>
              <w:t>98,0</w:t>
            </w:r>
          </w:p>
        </w:tc>
        <w:tc>
          <w:tcPr>
            <w:tcW w:w="1559" w:type="dxa"/>
            <w:tcBorders>
              <w:top w:val="single" w:sz="4" w:space="0" w:color="000000"/>
              <w:left w:val="single" w:sz="4" w:space="0" w:color="000000"/>
              <w:bottom w:val="single" w:sz="4" w:space="0" w:color="000000"/>
            </w:tcBorders>
            <w:shd w:val="clear" w:color="auto" w:fill="auto"/>
            <w:vAlign w:val="center"/>
          </w:tcPr>
          <w:p w14:paraId="5D6741E2" w14:textId="77777777" w:rsidR="004C28D5" w:rsidRPr="004C28D5" w:rsidRDefault="004C28D5" w:rsidP="004C28D5">
            <w:pPr>
              <w:ind w:firstLine="0"/>
              <w:jc w:val="center"/>
              <w:rPr>
                <w:bCs/>
                <w:sz w:val="28"/>
                <w:szCs w:val="28"/>
              </w:rPr>
            </w:pPr>
            <w:r w:rsidRPr="004C28D5">
              <w:rPr>
                <w:bCs/>
                <w:sz w:val="28"/>
                <w:szCs w:val="28"/>
              </w:rPr>
              <w:t>103,8</w:t>
            </w:r>
          </w:p>
        </w:tc>
        <w:tc>
          <w:tcPr>
            <w:tcW w:w="1418" w:type="dxa"/>
            <w:tcBorders>
              <w:top w:val="single" w:sz="4" w:space="0" w:color="000000"/>
              <w:left w:val="single" w:sz="4" w:space="0" w:color="000000"/>
              <w:bottom w:val="single" w:sz="4" w:space="0" w:color="000000"/>
              <w:right w:val="single" w:sz="4" w:space="0" w:color="000000"/>
            </w:tcBorders>
            <w:vAlign w:val="center"/>
          </w:tcPr>
          <w:p w14:paraId="5D576426" w14:textId="77777777" w:rsidR="004C28D5" w:rsidRPr="004C28D5" w:rsidRDefault="004C28D5" w:rsidP="004C28D5">
            <w:pPr>
              <w:ind w:firstLine="0"/>
              <w:jc w:val="center"/>
              <w:rPr>
                <w:bCs/>
                <w:sz w:val="28"/>
                <w:szCs w:val="28"/>
              </w:rPr>
            </w:pPr>
            <w:r w:rsidRPr="004C28D5">
              <w:rPr>
                <w:bCs/>
                <w:sz w:val="28"/>
                <w:szCs w:val="28"/>
              </w:rPr>
              <w:t>105,5</w:t>
            </w:r>
          </w:p>
        </w:tc>
      </w:tr>
      <w:tr w:rsidR="004C28D5" w:rsidRPr="004C28D5" w14:paraId="0C3EA392" w14:textId="77777777" w:rsidTr="00803B29">
        <w:tc>
          <w:tcPr>
            <w:tcW w:w="3687" w:type="dxa"/>
            <w:tcBorders>
              <w:top w:val="single" w:sz="4" w:space="0" w:color="000000"/>
              <w:left w:val="single" w:sz="4" w:space="0" w:color="000000"/>
              <w:bottom w:val="single" w:sz="4" w:space="0" w:color="000000"/>
            </w:tcBorders>
            <w:shd w:val="clear" w:color="auto" w:fill="auto"/>
          </w:tcPr>
          <w:p w14:paraId="1FC122E7" w14:textId="77777777" w:rsidR="004C28D5" w:rsidRPr="004C28D5" w:rsidRDefault="004C28D5" w:rsidP="009278E9">
            <w:pPr>
              <w:ind w:left="177" w:firstLine="0"/>
              <w:rPr>
                <w:bCs/>
                <w:sz w:val="28"/>
                <w:szCs w:val="28"/>
              </w:rPr>
            </w:pPr>
            <w:r w:rsidRPr="004C28D5">
              <w:rPr>
                <w:bCs/>
                <w:sz w:val="28"/>
                <w:szCs w:val="28"/>
              </w:rPr>
              <w:t>Производство химических веществ и химических продуктов</w:t>
            </w:r>
          </w:p>
        </w:tc>
        <w:tc>
          <w:tcPr>
            <w:tcW w:w="1276" w:type="dxa"/>
            <w:tcBorders>
              <w:top w:val="single" w:sz="4" w:space="0" w:color="000000"/>
              <w:left w:val="single" w:sz="4" w:space="0" w:color="000000"/>
              <w:bottom w:val="single" w:sz="4" w:space="0" w:color="000000"/>
            </w:tcBorders>
            <w:shd w:val="clear" w:color="auto" w:fill="auto"/>
            <w:vAlign w:val="center"/>
          </w:tcPr>
          <w:p w14:paraId="4F64C578" w14:textId="77777777" w:rsidR="004C28D5" w:rsidRPr="004C28D5" w:rsidRDefault="004C28D5" w:rsidP="004C28D5">
            <w:pPr>
              <w:ind w:firstLine="0"/>
              <w:jc w:val="center"/>
              <w:rPr>
                <w:bCs/>
                <w:sz w:val="28"/>
                <w:szCs w:val="28"/>
              </w:rPr>
            </w:pPr>
            <w:r w:rsidRPr="004C28D5">
              <w:rPr>
                <w:bCs/>
                <w:sz w:val="28"/>
                <w:szCs w:val="28"/>
              </w:rPr>
              <w:t>%</w:t>
            </w:r>
          </w:p>
        </w:tc>
        <w:tc>
          <w:tcPr>
            <w:tcW w:w="1559" w:type="dxa"/>
            <w:tcBorders>
              <w:top w:val="single" w:sz="4" w:space="0" w:color="000000"/>
              <w:left w:val="single" w:sz="4" w:space="0" w:color="000000"/>
              <w:bottom w:val="single" w:sz="4" w:space="0" w:color="000000"/>
            </w:tcBorders>
            <w:shd w:val="clear" w:color="auto" w:fill="auto"/>
            <w:vAlign w:val="center"/>
          </w:tcPr>
          <w:p w14:paraId="67F8665B" w14:textId="77777777" w:rsidR="004C28D5" w:rsidRPr="004C28D5" w:rsidRDefault="004C28D5" w:rsidP="004C28D5">
            <w:pPr>
              <w:ind w:firstLine="0"/>
              <w:jc w:val="center"/>
              <w:rPr>
                <w:bCs/>
                <w:sz w:val="28"/>
                <w:szCs w:val="28"/>
              </w:rPr>
            </w:pPr>
            <w:r w:rsidRPr="004C28D5">
              <w:rPr>
                <w:bCs/>
                <w:sz w:val="28"/>
                <w:szCs w:val="28"/>
              </w:rPr>
              <w:t>101,2</w:t>
            </w:r>
          </w:p>
        </w:tc>
        <w:tc>
          <w:tcPr>
            <w:tcW w:w="1559" w:type="dxa"/>
            <w:tcBorders>
              <w:top w:val="single" w:sz="4" w:space="0" w:color="000000"/>
              <w:left w:val="single" w:sz="4" w:space="0" w:color="000000"/>
              <w:bottom w:val="single" w:sz="4" w:space="0" w:color="000000"/>
            </w:tcBorders>
            <w:shd w:val="clear" w:color="auto" w:fill="auto"/>
            <w:vAlign w:val="center"/>
          </w:tcPr>
          <w:p w14:paraId="3F7BA220" w14:textId="77777777" w:rsidR="004C28D5" w:rsidRPr="004C28D5" w:rsidRDefault="004C28D5" w:rsidP="004C28D5">
            <w:pPr>
              <w:ind w:firstLine="0"/>
              <w:jc w:val="center"/>
              <w:rPr>
                <w:bCs/>
                <w:sz w:val="28"/>
                <w:szCs w:val="28"/>
              </w:rPr>
            </w:pPr>
            <w:r w:rsidRPr="004C28D5">
              <w:rPr>
                <w:bCs/>
                <w:sz w:val="28"/>
                <w:szCs w:val="28"/>
              </w:rPr>
              <w:t>104,8</w:t>
            </w:r>
          </w:p>
        </w:tc>
        <w:tc>
          <w:tcPr>
            <w:tcW w:w="1418" w:type="dxa"/>
            <w:tcBorders>
              <w:top w:val="single" w:sz="4" w:space="0" w:color="000000"/>
              <w:left w:val="single" w:sz="4" w:space="0" w:color="000000"/>
              <w:bottom w:val="single" w:sz="4" w:space="0" w:color="000000"/>
              <w:right w:val="single" w:sz="4" w:space="0" w:color="000000"/>
            </w:tcBorders>
            <w:vAlign w:val="center"/>
          </w:tcPr>
          <w:p w14:paraId="05078324" w14:textId="77777777" w:rsidR="004C28D5" w:rsidRPr="004C28D5" w:rsidRDefault="004C28D5" w:rsidP="004C28D5">
            <w:pPr>
              <w:ind w:firstLine="0"/>
              <w:jc w:val="center"/>
              <w:rPr>
                <w:bCs/>
                <w:sz w:val="28"/>
                <w:szCs w:val="28"/>
              </w:rPr>
            </w:pPr>
            <w:r w:rsidRPr="004C28D5">
              <w:rPr>
                <w:bCs/>
                <w:sz w:val="28"/>
                <w:szCs w:val="28"/>
              </w:rPr>
              <w:t>102,2</w:t>
            </w:r>
          </w:p>
        </w:tc>
      </w:tr>
      <w:tr w:rsidR="004C28D5" w:rsidRPr="004C28D5" w14:paraId="3C637466" w14:textId="77777777" w:rsidTr="00803B29">
        <w:tc>
          <w:tcPr>
            <w:tcW w:w="3687" w:type="dxa"/>
            <w:tcBorders>
              <w:top w:val="single" w:sz="4" w:space="0" w:color="000000"/>
              <w:left w:val="single" w:sz="4" w:space="0" w:color="000000"/>
              <w:bottom w:val="single" w:sz="4" w:space="0" w:color="000000"/>
            </w:tcBorders>
            <w:shd w:val="clear" w:color="auto" w:fill="auto"/>
          </w:tcPr>
          <w:p w14:paraId="5A15C0F3" w14:textId="77777777" w:rsidR="004C28D5" w:rsidRPr="004C28D5" w:rsidRDefault="004C28D5" w:rsidP="009278E9">
            <w:pPr>
              <w:ind w:left="177" w:firstLine="0"/>
              <w:rPr>
                <w:bCs/>
                <w:sz w:val="28"/>
                <w:szCs w:val="28"/>
              </w:rPr>
            </w:pPr>
            <w:r w:rsidRPr="004C28D5">
              <w:rPr>
                <w:bCs/>
                <w:sz w:val="28"/>
                <w:szCs w:val="28"/>
              </w:rPr>
              <w:t>Производство автотранспортных средств, прицепов и полуприцепов</w:t>
            </w:r>
          </w:p>
        </w:tc>
        <w:tc>
          <w:tcPr>
            <w:tcW w:w="1276" w:type="dxa"/>
            <w:tcBorders>
              <w:top w:val="single" w:sz="4" w:space="0" w:color="000000"/>
              <w:left w:val="single" w:sz="4" w:space="0" w:color="000000"/>
              <w:bottom w:val="single" w:sz="4" w:space="0" w:color="000000"/>
            </w:tcBorders>
            <w:shd w:val="clear" w:color="auto" w:fill="auto"/>
            <w:vAlign w:val="center"/>
          </w:tcPr>
          <w:p w14:paraId="0F980ADD" w14:textId="77777777" w:rsidR="004C28D5" w:rsidRPr="004C28D5" w:rsidRDefault="004C28D5" w:rsidP="004C28D5">
            <w:pPr>
              <w:snapToGrid w:val="0"/>
              <w:ind w:firstLine="0"/>
              <w:jc w:val="center"/>
              <w:rPr>
                <w:bCs/>
                <w:sz w:val="28"/>
                <w:szCs w:val="28"/>
              </w:rPr>
            </w:pPr>
            <w:r w:rsidRPr="004C28D5">
              <w:rPr>
                <w:bCs/>
                <w:sz w:val="28"/>
                <w:szCs w:val="28"/>
              </w:rPr>
              <w:t>%</w:t>
            </w:r>
          </w:p>
        </w:tc>
        <w:tc>
          <w:tcPr>
            <w:tcW w:w="1559" w:type="dxa"/>
            <w:tcBorders>
              <w:top w:val="single" w:sz="4" w:space="0" w:color="000000"/>
              <w:left w:val="single" w:sz="4" w:space="0" w:color="000000"/>
              <w:bottom w:val="single" w:sz="4" w:space="0" w:color="000000"/>
            </w:tcBorders>
            <w:shd w:val="clear" w:color="auto" w:fill="auto"/>
            <w:vAlign w:val="center"/>
          </w:tcPr>
          <w:p w14:paraId="56E578EE" w14:textId="77777777" w:rsidR="004C28D5" w:rsidRPr="004C28D5" w:rsidRDefault="004C28D5" w:rsidP="004C28D5">
            <w:pPr>
              <w:ind w:firstLine="0"/>
              <w:jc w:val="center"/>
              <w:rPr>
                <w:bCs/>
                <w:sz w:val="28"/>
                <w:szCs w:val="28"/>
              </w:rPr>
            </w:pPr>
            <w:r w:rsidRPr="004C28D5">
              <w:rPr>
                <w:bCs/>
                <w:sz w:val="28"/>
                <w:szCs w:val="28"/>
              </w:rPr>
              <w:t>98,0</w:t>
            </w:r>
          </w:p>
        </w:tc>
        <w:tc>
          <w:tcPr>
            <w:tcW w:w="1559" w:type="dxa"/>
            <w:tcBorders>
              <w:top w:val="single" w:sz="4" w:space="0" w:color="000000"/>
              <w:left w:val="single" w:sz="4" w:space="0" w:color="000000"/>
              <w:bottom w:val="single" w:sz="4" w:space="0" w:color="000000"/>
            </w:tcBorders>
            <w:shd w:val="clear" w:color="auto" w:fill="auto"/>
            <w:vAlign w:val="center"/>
          </w:tcPr>
          <w:p w14:paraId="3C5D2897" w14:textId="77777777" w:rsidR="004C28D5" w:rsidRPr="004C28D5" w:rsidRDefault="004C28D5" w:rsidP="004C28D5">
            <w:pPr>
              <w:ind w:firstLine="0"/>
              <w:jc w:val="center"/>
              <w:rPr>
                <w:bCs/>
                <w:sz w:val="28"/>
                <w:szCs w:val="28"/>
              </w:rPr>
            </w:pPr>
            <w:r w:rsidRPr="004C28D5">
              <w:rPr>
                <w:bCs/>
                <w:sz w:val="28"/>
                <w:szCs w:val="28"/>
              </w:rPr>
              <w:t>101,0</w:t>
            </w:r>
          </w:p>
        </w:tc>
        <w:tc>
          <w:tcPr>
            <w:tcW w:w="1418" w:type="dxa"/>
            <w:tcBorders>
              <w:top w:val="single" w:sz="4" w:space="0" w:color="000000"/>
              <w:left w:val="single" w:sz="4" w:space="0" w:color="000000"/>
              <w:bottom w:val="single" w:sz="4" w:space="0" w:color="000000"/>
              <w:right w:val="single" w:sz="4" w:space="0" w:color="000000"/>
            </w:tcBorders>
            <w:vAlign w:val="center"/>
          </w:tcPr>
          <w:p w14:paraId="5CEAF26F" w14:textId="77777777" w:rsidR="004C28D5" w:rsidRPr="004C28D5" w:rsidRDefault="004C28D5" w:rsidP="004C28D5">
            <w:pPr>
              <w:ind w:firstLine="0"/>
              <w:jc w:val="center"/>
              <w:rPr>
                <w:bCs/>
                <w:sz w:val="28"/>
                <w:szCs w:val="28"/>
              </w:rPr>
            </w:pPr>
            <w:r w:rsidRPr="004C28D5">
              <w:rPr>
                <w:bCs/>
                <w:sz w:val="28"/>
                <w:szCs w:val="28"/>
              </w:rPr>
              <w:t>104,2</w:t>
            </w:r>
          </w:p>
        </w:tc>
      </w:tr>
      <w:tr w:rsidR="004C28D5" w:rsidRPr="004C28D5" w14:paraId="39C2BFB2" w14:textId="77777777" w:rsidTr="00803B29">
        <w:tc>
          <w:tcPr>
            <w:tcW w:w="3687" w:type="dxa"/>
            <w:tcBorders>
              <w:top w:val="single" w:sz="4" w:space="0" w:color="000000"/>
              <w:left w:val="single" w:sz="4" w:space="0" w:color="000000"/>
              <w:bottom w:val="single" w:sz="4" w:space="0" w:color="000000"/>
            </w:tcBorders>
            <w:shd w:val="clear" w:color="auto" w:fill="auto"/>
          </w:tcPr>
          <w:p w14:paraId="4E75525B" w14:textId="77777777" w:rsidR="004C28D5" w:rsidRPr="004C28D5" w:rsidRDefault="004C28D5" w:rsidP="004C28D5">
            <w:pPr>
              <w:ind w:firstLine="0"/>
              <w:rPr>
                <w:bCs/>
                <w:sz w:val="28"/>
                <w:szCs w:val="28"/>
              </w:rPr>
            </w:pPr>
            <w:r w:rsidRPr="004C28D5">
              <w:rPr>
                <w:bCs/>
                <w:sz w:val="28"/>
                <w:szCs w:val="28"/>
              </w:rPr>
              <w:t>Обеспечение электрической энергией, газом и паром; кондиционирование воздуха</w:t>
            </w:r>
          </w:p>
        </w:tc>
        <w:tc>
          <w:tcPr>
            <w:tcW w:w="1276" w:type="dxa"/>
            <w:tcBorders>
              <w:top w:val="single" w:sz="4" w:space="0" w:color="000000"/>
              <w:left w:val="single" w:sz="4" w:space="0" w:color="000000"/>
              <w:bottom w:val="single" w:sz="4" w:space="0" w:color="000000"/>
            </w:tcBorders>
            <w:shd w:val="clear" w:color="auto" w:fill="auto"/>
            <w:vAlign w:val="center"/>
          </w:tcPr>
          <w:p w14:paraId="05E55D15" w14:textId="77777777" w:rsidR="004C28D5" w:rsidRPr="004C28D5" w:rsidRDefault="004C28D5" w:rsidP="004C28D5">
            <w:pPr>
              <w:snapToGrid w:val="0"/>
              <w:ind w:firstLine="0"/>
              <w:jc w:val="center"/>
              <w:rPr>
                <w:bCs/>
                <w:sz w:val="28"/>
                <w:szCs w:val="28"/>
              </w:rPr>
            </w:pPr>
            <w:r w:rsidRPr="004C28D5">
              <w:rPr>
                <w:bCs/>
                <w:sz w:val="28"/>
                <w:szCs w:val="28"/>
              </w:rPr>
              <w:t>%</w:t>
            </w:r>
          </w:p>
        </w:tc>
        <w:tc>
          <w:tcPr>
            <w:tcW w:w="1559" w:type="dxa"/>
            <w:tcBorders>
              <w:top w:val="single" w:sz="4" w:space="0" w:color="000000"/>
              <w:left w:val="single" w:sz="4" w:space="0" w:color="000000"/>
              <w:bottom w:val="single" w:sz="4" w:space="0" w:color="000000"/>
            </w:tcBorders>
            <w:shd w:val="clear" w:color="auto" w:fill="auto"/>
            <w:vAlign w:val="center"/>
          </w:tcPr>
          <w:p w14:paraId="4B3090F2" w14:textId="77777777" w:rsidR="004C28D5" w:rsidRPr="004C28D5" w:rsidRDefault="004C28D5" w:rsidP="004C28D5">
            <w:pPr>
              <w:ind w:firstLine="0"/>
              <w:jc w:val="center"/>
              <w:rPr>
                <w:bCs/>
                <w:sz w:val="28"/>
                <w:szCs w:val="28"/>
              </w:rPr>
            </w:pPr>
            <w:r w:rsidRPr="004C28D5">
              <w:rPr>
                <w:bCs/>
                <w:sz w:val="28"/>
                <w:szCs w:val="28"/>
              </w:rPr>
              <w:t>98,5</w:t>
            </w:r>
          </w:p>
        </w:tc>
        <w:tc>
          <w:tcPr>
            <w:tcW w:w="1559" w:type="dxa"/>
            <w:tcBorders>
              <w:top w:val="single" w:sz="4" w:space="0" w:color="000000"/>
              <w:left w:val="single" w:sz="4" w:space="0" w:color="000000"/>
              <w:bottom w:val="single" w:sz="4" w:space="0" w:color="000000"/>
            </w:tcBorders>
            <w:shd w:val="clear" w:color="auto" w:fill="auto"/>
            <w:vAlign w:val="center"/>
          </w:tcPr>
          <w:p w14:paraId="21357519" w14:textId="77777777" w:rsidR="004C28D5" w:rsidRPr="004C28D5" w:rsidRDefault="004C28D5" w:rsidP="004C28D5">
            <w:pPr>
              <w:ind w:firstLine="0"/>
              <w:jc w:val="center"/>
              <w:rPr>
                <w:bCs/>
                <w:sz w:val="28"/>
                <w:szCs w:val="28"/>
              </w:rPr>
            </w:pPr>
            <w:r w:rsidRPr="004C28D5">
              <w:rPr>
                <w:bCs/>
                <w:sz w:val="28"/>
                <w:szCs w:val="28"/>
              </w:rPr>
              <w:t>101,0</w:t>
            </w:r>
          </w:p>
        </w:tc>
        <w:tc>
          <w:tcPr>
            <w:tcW w:w="1418" w:type="dxa"/>
            <w:tcBorders>
              <w:top w:val="single" w:sz="4" w:space="0" w:color="000000"/>
              <w:left w:val="single" w:sz="4" w:space="0" w:color="000000"/>
              <w:bottom w:val="single" w:sz="4" w:space="0" w:color="000000"/>
              <w:right w:val="single" w:sz="4" w:space="0" w:color="000000"/>
            </w:tcBorders>
            <w:vAlign w:val="center"/>
          </w:tcPr>
          <w:p w14:paraId="1ADA0A1D" w14:textId="77777777" w:rsidR="004C28D5" w:rsidRPr="004C28D5" w:rsidRDefault="004C28D5" w:rsidP="004C28D5">
            <w:pPr>
              <w:ind w:firstLine="0"/>
              <w:jc w:val="center"/>
              <w:rPr>
                <w:bCs/>
                <w:sz w:val="28"/>
                <w:szCs w:val="28"/>
              </w:rPr>
            </w:pPr>
            <w:r w:rsidRPr="004C28D5">
              <w:rPr>
                <w:bCs/>
                <w:sz w:val="28"/>
                <w:szCs w:val="28"/>
              </w:rPr>
              <w:t>99,8</w:t>
            </w:r>
          </w:p>
        </w:tc>
      </w:tr>
      <w:tr w:rsidR="004C28D5" w:rsidRPr="004C28D5" w14:paraId="317B5516" w14:textId="77777777" w:rsidTr="00803B29">
        <w:tc>
          <w:tcPr>
            <w:tcW w:w="3687" w:type="dxa"/>
            <w:tcBorders>
              <w:top w:val="single" w:sz="4" w:space="0" w:color="000000"/>
              <w:left w:val="single" w:sz="4" w:space="0" w:color="000000"/>
              <w:bottom w:val="single" w:sz="4" w:space="0" w:color="000000"/>
            </w:tcBorders>
            <w:shd w:val="clear" w:color="auto" w:fill="auto"/>
          </w:tcPr>
          <w:p w14:paraId="7F40DC3D" w14:textId="77777777" w:rsidR="004C28D5" w:rsidRPr="004C28D5" w:rsidRDefault="004C28D5" w:rsidP="004C28D5">
            <w:pPr>
              <w:ind w:firstLine="0"/>
              <w:rPr>
                <w:bCs/>
                <w:sz w:val="28"/>
                <w:szCs w:val="28"/>
              </w:rPr>
            </w:pPr>
            <w:r w:rsidRPr="004C28D5">
              <w:rPr>
                <w:bCs/>
                <w:sz w:val="28"/>
                <w:szCs w:val="28"/>
              </w:rPr>
              <w:t>Водоснабжение; водоотведение, организация сбора и утилизации отходов, деятельность по ликвидации загрязнений</w:t>
            </w:r>
          </w:p>
        </w:tc>
        <w:tc>
          <w:tcPr>
            <w:tcW w:w="1276" w:type="dxa"/>
            <w:tcBorders>
              <w:top w:val="single" w:sz="4" w:space="0" w:color="000000"/>
              <w:left w:val="single" w:sz="4" w:space="0" w:color="000000"/>
              <w:bottom w:val="single" w:sz="4" w:space="0" w:color="000000"/>
            </w:tcBorders>
            <w:shd w:val="clear" w:color="auto" w:fill="auto"/>
            <w:vAlign w:val="center"/>
          </w:tcPr>
          <w:p w14:paraId="764E026C" w14:textId="77777777" w:rsidR="004C28D5" w:rsidRPr="004C28D5" w:rsidRDefault="004C28D5" w:rsidP="004C28D5">
            <w:pPr>
              <w:ind w:firstLine="0"/>
              <w:jc w:val="center"/>
              <w:rPr>
                <w:bCs/>
                <w:sz w:val="28"/>
                <w:szCs w:val="28"/>
              </w:rPr>
            </w:pPr>
            <w:r w:rsidRPr="004C28D5">
              <w:rPr>
                <w:bCs/>
                <w:sz w:val="28"/>
                <w:szCs w:val="28"/>
              </w:rPr>
              <w:t>%</w:t>
            </w:r>
          </w:p>
        </w:tc>
        <w:tc>
          <w:tcPr>
            <w:tcW w:w="1559" w:type="dxa"/>
            <w:tcBorders>
              <w:top w:val="single" w:sz="4" w:space="0" w:color="000000"/>
              <w:left w:val="single" w:sz="4" w:space="0" w:color="000000"/>
              <w:bottom w:val="single" w:sz="4" w:space="0" w:color="000000"/>
            </w:tcBorders>
            <w:shd w:val="clear" w:color="auto" w:fill="auto"/>
            <w:vAlign w:val="center"/>
          </w:tcPr>
          <w:p w14:paraId="29BFE997" w14:textId="77777777" w:rsidR="004C28D5" w:rsidRPr="004C28D5" w:rsidRDefault="004C28D5" w:rsidP="004C28D5">
            <w:pPr>
              <w:ind w:firstLine="0"/>
              <w:jc w:val="center"/>
              <w:rPr>
                <w:bCs/>
                <w:sz w:val="28"/>
                <w:szCs w:val="28"/>
              </w:rPr>
            </w:pPr>
            <w:r w:rsidRPr="004C28D5">
              <w:rPr>
                <w:bCs/>
                <w:sz w:val="28"/>
                <w:szCs w:val="28"/>
              </w:rPr>
              <w:t>98,0</w:t>
            </w:r>
          </w:p>
        </w:tc>
        <w:tc>
          <w:tcPr>
            <w:tcW w:w="1559" w:type="dxa"/>
            <w:tcBorders>
              <w:top w:val="single" w:sz="4" w:space="0" w:color="000000"/>
              <w:left w:val="single" w:sz="4" w:space="0" w:color="000000"/>
              <w:bottom w:val="single" w:sz="4" w:space="0" w:color="000000"/>
            </w:tcBorders>
            <w:shd w:val="clear" w:color="auto" w:fill="auto"/>
            <w:vAlign w:val="center"/>
          </w:tcPr>
          <w:p w14:paraId="4270FF2D" w14:textId="77777777" w:rsidR="004C28D5" w:rsidRPr="004C28D5" w:rsidRDefault="004C28D5" w:rsidP="004C28D5">
            <w:pPr>
              <w:ind w:firstLine="0"/>
              <w:jc w:val="center"/>
              <w:rPr>
                <w:bCs/>
                <w:sz w:val="28"/>
                <w:szCs w:val="28"/>
              </w:rPr>
            </w:pPr>
            <w:r w:rsidRPr="004C28D5">
              <w:rPr>
                <w:bCs/>
                <w:sz w:val="28"/>
                <w:szCs w:val="28"/>
              </w:rPr>
              <w:t>99,8</w:t>
            </w:r>
          </w:p>
        </w:tc>
        <w:tc>
          <w:tcPr>
            <w:tcW w:w="1418" w:type="dxa"/>
            <w:tcBorders>
              <w:top w:val="single" w:sz="4" w:space="0" w:color="000000"/>
              <w:left w:val="single" w:sz="4" w:space="0" w:color="000000"/>
              <w:bottom w:val="single" w:sz="4" w:space="0" w:color="000000"/>
              <w:right w:val="single" w:sz="4" w:space="0" w:color="000000"/>
            </w:tcBorders>
            <w:vAlign w:val="center"/>
          </w:tcPr>
          <w:p w14:paraId="03FA3978" w14:textId="77777777" w:rsidR="004C28D5" w:rsidRPr="004C28D5" w:rsidRDefault="004C28D5" w:rsidP="004C28D5">
            <w:pPr>
              <w:ind w:firstLine="0"/>
              <w:jc w:val="center"/>
              <w:rPr>
                <w:bCs/>
                <w:sz w:val="28"/>
                <w:szCs w:val="28"/>
              </w:rPr>
            </w:pPr>
            <w:r w:rsidRPr="004C28D5">
              <w:rPr>
                <w:bCs/>
                <w:sz w:val="28"/>
                <w:szCs w:val="28"/>
              </w:rPr>
              <w:t>97,3</w:t>
            </w:r>
          </w:p>
        </w:tc>
      </w:tr>
      <w:tr w:rsidR="005205C0" w:rsidRPr="004C28D5" w14:paraId="60942948" w14:textId="77777777" w:rsidTr="0089394B">
        <w:tc>
          <w:tcPr>
            <w:tcW w:w="9499" w:type="dxa"/>
            <w:gridSpan w:val="5"/>
            <w:tcBorders>
              <w:top w:val="single" w:sz="4" w:space="0" w:color="000000"/>
              <w:left w:val="single" w:sz="4" w:space="0" w:color="000000"/>
              <w:bottom w:val="single" w:sz="4" w:space="0" w:color="000000"/>
              <w:right w:val="single" w:sz="4" w:space="0" w:color="000000"/>
            </w:tcBorders>
            <w:shd w:val="clear" w:color="auto" w:fill="auto"/>
          </w:tcPr>
          <w:p w14:paraId="440074F8" w14:textId="63B6C075" w:rsidR="005205C0" w:rsidRPr="004C28D5" w:rsidRDefault="005205C0" w:rsidP="005205C0">
            <w:pPr>
              <w:ind w:firstLine="0"/>
              <w:jc w:val="left"/>
              <w:rPr>
                <w:bCs/>
                <w:sz w:val="28"/>
                <w:szCs w:val="28"/>
              </w:rPr>
            </w:pPr>
            <w:r>
              <w:rPr>
                <w:bCs/>
                <w:sz w:val="28"/>
                <w:szCs w:val="28"/>
              </w:rPr>
              <w:t>Производство основных видов промышленной продукции:</w:t>
            </w:r>
          </w:p>
        </w:tc>
      </w:tr>
      <w:tr w:rsidR="004C28D5" w:rsidRPr="004C28D5" w14:paraId="6242250A" w14:textId="77777777" w:rsidTr="007737E1">
        <w:tblPrEx>
          <w:tblCellMar>
            <w:left w:w="15" w:type="dxa"/>
            <w:right w:w="15" w:type="dxa"/>
          </w:tblCellMar>
        </w:tblPrEx>
        <w:trPr>
          <w:trHeight w:val="481"/>
          <w:tblHeader/>
        </w:trPr>
        <w:tc>
          <w:tcPr>
            <w:tcW w:w="3687" w:type="dxa"/>
            <w:tcBorders>
              <w:top w:val="single" w:sz="4" w:space="0" w:color="000000"/>
              <w:left w:val="single" w:sz="4" w:space="0" w:color="000000"/>
              <w:bottom w:val="single" w:sz="4" w:space="0" w:color="000000"/>
            </w:tcBorders>
            <w:shd w:val="clear" w:color="auto" w:fill="auto"/>
            <w:vAlign w:val="center"/>
          </w:tcPr>
          <w:p w14:paraId="03DD0790" w14:textId="77777777" w:rsidR="004C28D5" w:rsidRPr="004C28D5" w:rsidRDefault="004C28D5" w:rsidP="004C28D5">
            <w:pPr>
              <w:snapToGrid w:val="0"/>
              <w:ind w:firstLine="0"/>
              <w:rPr>
                <w:sz w:val="28"/>
                <w:szCs w:val="28"/>
              </w:rPr>
            </w:pPr>
            <w:r w:rsidRPr="004C28D5">
              <w:rPr>
                <w:sz w:val="28"/>
                <w:szCs w:val="28"/>
              </w:rPr>
              <w:t>Аммиак</w:t>
            </w:r>
          </w:p>
        </w:tc>
        <w:tc>
          <w:tcPr>
            <w:tcW w:w="1276" w:type="dxa"/>
            <w:tcBorders>
              <w:top w:val="single" w:sz="4" w:space="0" w:color="000000"/>
              <w:left w:val="single" w:sz="4" w:space="0" w:color="000000"/>
              <w:bottom w:val="single" w:sz="4" w:space="0" w:color="000000"/>
            </w:tcBorders>
            <w:shd w:val="clear" w:color="auto" w:fill="auto"/>
            <w:vAlign w:val="center"/>
          </w:tcPr>
          <w:p w14:paraId="5177C274" w14:textId="3AAD4103" w:rsidR="004C28D5" w:rsidRPr="004C28D5" w:rsidRDefault="004C28D5" w:rsidP="004C28D5">
            <w:pPr>
              <w:snapToGrid w:val="0"/>
              <w:ind w:firstLine="0"/>
              <w:jc w:val="center"/>
              <w:rPr>
                <w:sz w:val="28"/>
                <w:szCs w:val="28"/>
              </w:rPr>
            </w:pPr>
            <w:r w:rsidRPr="004C28D5">
              <w:rPr>
                <w:sz w:val="28"/>
                <w:szCs w:val="28"/>
              </w:rPr>
              <w:t>тыс.</w:t>
            </w:r>
            <w:r w:rsidR="005205C0">
              <w:rPr>
                <w:sz w:val="28"/>
                <w:szCs w:val="28"/>
              </w:rPr>
              <w:t xml:space="preserve"> </w:t>
            </w:r>
            <w:r w:rsidRPr="004C28D5">
              <w:rPr>
                <w:sz w:val="28"/>
                <w:szCs w:val="28"/>
              </w:rPr>
              <w:t>тонн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6BBD3F" w14:textId="77777777" w:rsidR="004C28D5" w:rsidRPr="004C28D5" w:rsidRDefault="004C28D5" w:rsidP="004C28D5">
            <w:pPr>
              <w:suppressAutoHyphens w:val="0"/>
              <w:ind w:firstLine="0"/>
              <w:jc w:val="center"/>
              <w:rPr>
                <w:sz w:val="28"/>
                <w:szCs w:val="28"/>
                <w:lang w:eastAsia="ru-RU"/>
              </w:rPr>
            </w:pPr>
            <w:r w:rsidRPr="004C28D5">
              <w:rPr>
                <w:sz w:val="28"/>
                <w:szCs w:val="28"/>
                <w:lang w:eastAsia="ru-RU"/>
              </w:rPr>
              <w:t>4 230,0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12480350" w14:textId="77777777" w:rsidR="004C28D5" w:rsidRPr="004C28D5" w:rsidRDefault="004C28D5" w:rsidP="004C28D5">
            <w:pPr>
              <w:ind w:firstLine="0"/>
              <w:jc w:val="center"/>
              <w:rPr>
                <w:sz w:val="28"/>
                <w:szCs w:val="28"/>
              </w:rPr>
            </w:pPr>
            <w:r w:rsidRPr="004C28D5">
              <w:rPr>
                <w:sz w:val="28"/>
                <w:szCs w:val="28"/>
              </w:rPr>
              <w:t>4 350,0</w:t>
            </w:r>
          </w:p>
        </w:tc>
        <w:tc>
          <w:tcPr>
            <w:tcW w:w="1418" w:type="dxa"/>
            <w:tcBorders>
              <w:top w:val="single" w:sz="4" w:space="0" w:color="000000"/>
              <w:left w:val="single" w:sz="4" w:space="0" w:color="000000"/>
              <w:bottom w:val="single" w:sz="4" w:space="0" w:color="000000"/>
              <w:right w:val="single" w:sz="4" w:space="0" w:color="000000"/>
            </w:tcBorders>
            <w:vAlign w:val="center"/>
          </w:tcPr>
          <w:p w14:paraId="6FB3DD6A" w14:textId="77777777" w:rsidR="004C28D5" w:rsidRPr="004C28D5" w:rsidRDefault="004C28D5" w:rsidP="004C28D5">
            <w:pPr>
              <w:snapToGrid w:val="0"/>
              <w:ind w:firstLine="0"/>
              <w:jc w:val="center"/>
              <w:rPr>
                <w:sz w:val="28"/>
                <w:szCs w:val="28"/>
                <w:highlight w:val="yellow"/>
              </w:rPr>
            </w:pPr>
            <w:r w:rsidRPr="004C28D5">
              <w:rPr>
                <w:sz w:val="28"/>
                <w:szCs w:val="28"/>
              </w:rPr>
              <w:t>4 150</w:t>
            </w:r>
          </w:p>
        </w:tc>
      </w:tr>
      <w:tr w:rsidR="004C28D5" w:rsidRPr="004C28D5" w14:paraId="0BF0E517" w14:textId="77777777" w:rsidTr="007737E1">
        <w:tblPrEx>
          <w:tblCellMar>
            <w:left w:w="15" w:type="dxa"/>
            <w:right w:w="15" w:type="dxa"/>
          </w:tblCellMar>
        </w:tblPrEx>
        <w:trPr>
          <w:trHeight w:val="481"/>
          <w:tblHeader/>
        </w:trPr>
        <w:tc>
          <w:tcPr>
            <w:tcW w:w="3687" w:type="dxa"/>
            <w:tcBorders>
              <w:top w:val="single" w:sz="4" w:space="0" w:color="000000"/>
              <w:left w:val="single" w:sz="4" w:space="0" w:color="000000"/>
              <w:bottom w:val="single" w:sz="4" w:space="0" w:color="000000"/>
            </w:tcBorders>
            <w:shd w:val="clear" w:color="auto" w:fill="auto"/>
            <w:vAlign w:val="center"/>
          </w:tcPr>
          <w:p w14:paraId="1E93E274" w14:textId="77777777" w:rsidR="004C28D5" w:rsidRPr="004C28D5" w:rsidRDefault="004C28D5" w:rsidP="004C28D5">
            <w:pPr>
              <w:snapToGrid w:val="0"/>
              <w:ind w:firstLine="0"/>
              <w:rPr>
                <w:sz w:val="28"/>
                <w:szCs w:val="28"/>
              </w:rPr>
            </w:pPr>
            <w:r w:rsidRPr="004C28D5">
              <w:rPr>
                <w:sz w:val="28"/>
                <w:szCs w:val="28"/>
              </w:rPr>
              <w:t>Удобрения минеральные или химические</w:t>
            </w:r>
          </w:p>
        </w:tc>
        <w:tc>
          <w:tcPr>
            <w:tcW w:w="1276" w:type="dxa"/>
            <w:tcBorders>
              <w:top w:val="single" w:sz="4" w:space="0" w:color="000000"/>
              <w:left w:val="single" w:sz="4" w:space="0" w:color="000000"/>
              <w:bottom w:val="single" w:sz="4" w:space="0" w:color="000000"/>
            </w:tcBorders>
            <w:shd w:val="clear" w:color="auto" w:fill="auto"/>
            <w:vAlign w:val="center"/>
          </w:tcPr>
          <w:p w14:paraId="2A632C3F" w14:textId="23A3DE9E" w:rsidR="004C28D5" w:rsidRPr="004C28D5" w:rsidRDefault="004C28D5" w:rsidP="004C28D5">
            <w:pPr>
              <w:snapToGrid w:val="0"/>
              <w:ind w:firstLine="0"/>
              <w:jc w:val="center"/>
              <w:rPr>
                <w:sz w:val="28"/>
                <w:szCs w:val="28"/>
              </w:rPr>
            </w:pPr>
            <w:r w:rsidRPr="004C28D5">
              <w:rPr>
                <w:sz w:val="28"/>
                <w:szCs w:val="28"/>
              </w:rPr>
              <w:t>тыс.</w:t>
            </w:r>
            <w:r w:rsidR="005205C0">
              <w:rPr>
                <w:sz w:val="28"/>
                <w:szCs w:val="28"/>
              </w:rPr>
              <w:t xml:space="preserve"> </w:t>
            </w:r>
            <w:r w:rsidRPr="004C28D5">
              <w:rPr>
                <w:sz w:val="28"/>
                <w:szCs w:val="28"/>
              </w:rPr>
              <w:t>тонн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A537E4" w14:textId="77777777" w:rsidR="004C28D5" w:rsidRPr="004C28D5" w:rsidRDefault="004C28D5" w:rsidP="004C28D5">
            <w:pPr>
              <w:suppressAutoHyphens w:val="0"/>
              <w:ind w:firstLine="0"/>
              <w:jc w:val="center"/>
              <w:rPr>
                <w:sz w:val="28"/>
                <w:szCs w:val="28"/>
              </w:rPr>
            </w:pPr>
            <w:r w:rsidRPr="004C28D5">
              <w:rPr>
                <w:sz w:val="28"/>
                <w:szCs w:val="28"/>
              </w:rPr>
              <w:t>2 900,0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125DF8DA" w14:textId="77777777" w:rsidR="004C28D5" w:rsidRPr="004C28D5" w:rsidRDefault="004C28D5" w:rsidP="004C28D5">
            <w:pPr>
              <w:ind w:firstLine="0"/>
              <w:jc w:val="center"/>
              <w:rPr>
                <w:sz w:val="28"/>
                <w:szCs w:val="28"/>
              </w:rPr>
            </w:pPr>
            <w:r w:rsidRPr="004C28D5">
              <w:rPr>
                <w:sz w:val="28"/>
                <w:szCs w:val="28"/>
              </w:rPr>
              <w:t>3 100,0</w:t>
            </w:r>
          </w:p>
        </w:tc>
        <w:tc>
          <w:tcPr>
            <w:tcW w:w="1418" w:type="dxa"/>
            <w:tcBorders>
              <w:top w:val="single" w:sz="4" w:space="0" w:color="000000"/>
              <w:left w:val="single" w:sz="4" w:space="0" w:color="000000"/>
              <w:bottom w:val="single" w:sz="4" w:space="0" w:color="auto"/>
              <w:right w:val="single" w:sz="4" w:space="0" w:color="000000"/>
            </w:tcBorders>
            <w:vAlign w:val="center"/>
          </w:tcPr>
          <w:p w14:paraId="3A208090" w14:textId="77777777" w:rsidR="004C28D5" w:rsidRPr="004C28D5" w:rsidRDefault="004C28D5" w:rsidP="004C28D5">
            <w:pPr>
              <w:snapToGrid w:val="0"/>
              <w:ind w:firstLine="0"/>
              <w:jc w:val="center"/>
              <w:rPr>
                <w:sz w:val="28"/>
                <w:szCs w:val="28"/>
                <w:highlight w:val="yellow"/>
              </w:rPr>
            </w:pPr>
            <w:r w:rsidRPr="004C28D5">
              <w:rPr>
                <w:sz w:val="28"/>
                <w:szCs w:val="28"/>
              </w:rPr>
              <w:t>2606,0</w:t>
            </w:r>
          </w:p>
        </w:tc>
      </w:tr>
      <w:tr w:rsidR="004C28D5" w:rsidRPr="004C28D5" w14:paraId="394E275E" w14:textId="77777777" w:rsidTr="007737E1">
        <w:tblPrEx>
          <w:tblCellMar>
            <w:left w:w="15" w:type="dxa"/>
            <w:right w:w="15" w:type="dxa"/>
          </w:tblCellMar>
        </w:tblPrEx>
        <w:trPr>
          <w:trHeight w:val="481"/>
          <w:tblHeader/>
        </w:trPr>
        <w:tc>
          <w:tcPr>
            <w:tcW w:w="3687" w:type="dxa"/>
            <w:tcBorders>
              <w:top w:val="single" w:sz="4" w:space="0" w:color="000000"/>
              <w:left w:val="single" w:sz="4" w:space="0" w:color="000000"/>
              <w:bottom w:val="single" w:sz="4" w:space="0" w:color="000000"/>
            </w:tcBorders>
            <w:shd w:val="clear" w:color="auto" w:fill="auto"/>
            <w:vAlign w:val="center"/>
          </w:tcPr>
          <w:p w14:paraId="33914F7D" w14:textId="77777777" w:rsidR="004C28D5" w:rsidRPr="004C28D5" w:rsidRDefault="004C28D5" w:rsidP="004C28D5">
            <w:pPr>
              <w:snapToGrid w:val="0"/>
              <w:ind w:firstLine="0"/>
              <w:rPr>
                <w:sz w:val="28"/>
                <w:szCs w:val="28"/>
              </w:rPr>
            </w:pPr>
            <w:r w:rsidRPr="004C28D5">
              <w:rPr>
                <w:sz w:val="28"/>
                <w:szCs w:val="28"/>
              </w:rPr>
              <w:t>Пластмассы в первичных формах</w:t>
            </w:r>
          </w:p>
        </w:tc>
        <w:tc>
          <w:tcPr>
            <w:tcW w:w="1276" w:type="dxa"/>
            <w:tcBorders>
              <w:top w:val="single" w:sz="4" w:space="0" w:color="000000"/>
              <w:left w:val="single" w:sz="4" w:space="0" w:color="000000"/>
              <w:bottom w:val="single" w:sz="4" w:space="0" w:color="auto"/>
            </w:tcBorders>
            <w:shd w:val="clear" w:color="auto" w:fill="auto"/>
          </w:tcPr>
          <w:p w14:paraId="68A347B9" w14:textId="60A014A9" w:rsidR="004C28D5" w:rsidRPr="004C28D5" w:rsidRDefault="004C28D5" w:rsidP="004C28D5">
            <w:pPr>
              <w:snapToGrid w:val="0"/>
              <w:ind w:firstLine="0"/>
              <w:jc w:val="center"/>
              <w:rPr>
                <w:sz w:val="28"/>
                <w:szCs w:val="28"/>
              </w:rPr>
            </w:pPr>
            <w:r w:rsidRPr="004C28D5">
              <w:rPr>
                <w:sz w:val="28"/>
                <w:szCs w:val="28"/>
              </w:rPr>
              <w:t>тыс.</w:t>
            </w:r>
            <w:r w:rsidR="005205C0">
              <w:rPr>
                <w:sz w:val="28"/>
                <w:szCs w:val="28"/>
              </w:rPr>
              <w:t xml:space="preserve"> </w:t>
            </w:r>
            <w:r w:rsidRPr="004C28D5">
              <w:rPr>
                <w:sz w:val="28"/>
                <w:szCs w:val="28"/>
              </w:rPr>
              <w:t>тонн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0371D3" w14:textId="77777777" w:rsidR="004C28D5" w:rsidRPr="004C28D5" w:rsidRDefault="004C28D5" w:rsidP="004C28D5">
            <w:pPr>
              <w:ind w:firstLine="0"/>
              <w:jc w:val="center"/>
              <w:rPr>
                <w:sz w:val="28"/>
                <w:szCs w:val="28"/>
              </w:rPr>
            </w:pPr>
            <w:r w:rsidRPr="004C28D5">
              <w:rPr>
                <w:sz w:val="28"/>
                <w:szCs w:val="28"/>
              </w:rPr>
              <w:t>250,0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2E32A1E4" w14:textId="77777777" w:rsidR="004C28D5" w:rsidRPr="004C28D5" w:rsidRDefault="004C28D5" w:rsidP="004C28D5">
            <w:pPr>
              <w:ind w:firstLine="0"/>
              <w:jc w:val="center"/>
              <w:rPr>
                <w:sz w:val="28"/>
                <w:szCs w:val="28"/>
              </w:rPr>
            </w:pPr>
            <w:r w:rsidRPr="004C28D5">
              <w:rPr>
                <w:sz w:val="28"/>
                <w:szCs w:val="28"/>
              </w:rPr>
              <w:t>255,0</w:t>
            </w:r>
          </w:p>
        </w:tc>
        <w:tc>
          <w:tcPr>
            <w:tcW w:w="1418" w:type="dxa"/>
            <w:tcBorders>
              <w:top w:val="single" w:sz="4" w:space="0" w:color="auto"/>
              <w:left w:val="single" w:sz="4" w:space="0" w:color="000000"/>
              <w:bottom w:val="single" w:sz="4" w:space="0" w:color="auto"/>
              <w:right w:val="single" w:sz="4" w:space="0" w:color="auto"/>
            </w:tcBorders>
            <w:vAlign w:val="center"/>
          </w:tcPr>
          <w:p w14:paraId="6779736E" w14:textId="7998524C" w:rsidR="004C28D5" w:rsidRPr="004C28D5" w:rsidRDefault="00BE4400" w:rsidP="004C28D5">
            <w:pPr>
              <w:snapToGrid w:val="0"/>
              <w:ind w:firstLine="0"/>
              <w:jc w:val="center"/>
              <w:rPr>
                <w:sz w:val="28"/>
                <w:szCs w:val="28"/>
                <w:highlight w:val="yellow"/>
              </w:rPr>
            </w:pPr>
            <w:r>
              <w:rPr>
                <w:sz w:val="28"/>
                <w:szCs w:val="28"/>
              </w:rPr>
              <w:t>268,9</w:t>
            </w:r>
          </w:p>
        </w:tc>
      </w:tr>
      <w:tr w:rsidR="004C28D5" w:rsidRPr="004C28D5" w14:paraId="58C93E0B" w14:textId="77777777" w:rsidTr="007737E1">
        <w:tblPrEx>
          <w:tblCellMar>
            <w:left w:w="15" w:type="dxa"/>
            <w:right w:w="15" w:type="dxa"/>
          </w:tblCellMar>
        </w:tblPrEx>
        <w:trPr>
          <w:trHeight w:val="481"/>
          <w:tblHeader/>
        </w:trPr>
        <w:tc>
          <w:tcPr>
            <w:tcW w:w="3687" w:type="dxa"/>
            <w:tcBorders>
              <w:top w:val="single" w:sz="4" w:space="0" w:color="000000"/>
              <w:left w:val="single" w:sz="4" w:space="0" w:color="000000"/>
              <w:bottom w:val="single" w:sz="4" w:space="0" w:color="000000"/>
              <w:right w:val="single" w:sz="4" w:space="0" w:color="auto"/>
            </w:tcBorders>
            <w:shd w:val="clear" w:color="auto" w:fill="auto"/>
            <w:vAlign w:val="center"/>
          </w:tcPr>
          <w:p w14:paraId="064903EA" w14:textId="77777777" w:rsidR="004C28D5" w:rsidRPr="004C28D5" w:rsidRDefault="004C28D5" w:rsidP="004C28D5">
            <w:pPr>
              <w:snapToGrid w:val="0"/>
              <w:ind w:firstLine="0"/>
              <w:rPr>
                <w:sz w:val="28"/>
                <w:szCs w:val="28"/>
              </w:rPr>
            </w:pPr>
            <w:r w:rsidRPr="004C28D5">
              <w:rPr>
                <w:sz w:val="28"/>
                <w:szCs w:val="28"/>
              </w:rPr>
              <w:t xml:space="preserve">Автомобили легковые </w:t>
            </w:r>
          </w:p>
        </w:tc>
        <w:tc>
          <w:tcPr>
            <w:tcW w:w="1276" w:type="dxa"/>
            <w:tcBorders>
              <w:top w:val="single" w:sz="4" w:space="0" w:color="auto"/>
              <w:left w:val="single" w:sz="4" w:space="0" w:color="auto"/>
              <w:bottom w:val="single" w:sz="4" w:space="0" w:color="auto"/>
            </w:tcBorders>
            <w:shd w:val="clear" w:color="auto" w:fill="auto"/>
            <w:vAlign w:val="center"/>
          </w:tcPr>
          <w:p w14:paraId="3A27D56A" w14:textId="6A5E31E6" w:rsidR="004C28D5" w:rsidRPr="004C28D5" w:rsidRDefault="004C28D5" w:rsidP="004C28D5">
            <w:pPr>
              <w:snapToGrid w:val="0"/>
              <w:ind w:firstLine="0"/>
              <w:jc w:val="center"/>
              <w:rPr>
                <w:sz w:val="28"/>
                <w:szCs w:val="28"/>
              </w:rPr>
            </w:pPr>
            <w:r w:rsidRPr="004C28D5">
              <w:rPr>
                <w:sz w:val="28"/>
                <w:szCs w:val="28"/>
              </w:rPr>
              <w:t>тыс.</w:t>
            </w:r>
            <w:r w:rsidR="005205C0">
              <w:rPr>
                <w:sz w:val="28"/>
                <w:szCs w:val="28"/>
              </w:rPr>
              <w:t xml:space="preserve"> </w:t>
            </w:r>
            <w:r w:rsidRPr="004C28D5">
              <w:rPr>
                <w:sz w:val="28"/>
                <w:szCs w:val="28"/>
              </w:rPr>
              <w:t>штук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332032" w14:textId="77777777" w:rsidR="004C28D5" w:rsidRPr="004C28D5" w:rsidRDefault="004C28D5" w:rsidP="004C28D5">
            <w:pPr>
              <w:ind w:firstLine="0"/>
              <w:jc w:val="center"/>
              <w:rPr>
                <w:sz w:val="28"/>
                <w:szCs w:val="28"/>
              </w:rPr>
            </w:pPr>
            <w:r w:rsidRPr="004C28D5">
              <w:rPr>
                <w:sz w:val="28"/>
                <w:szCs w:val="28"/>
              </w:rPr>
              <w:t>322,0</w:t>
            </w:r>
          </w:p>
        </w:tc>
        <w:tc>
          <w:tcPr>
            <w:tcW w:w="1559" w:type="dxa"/>
            <w:tcBorders>
              <w:top w:val="single" w:sz="4" w:space="0" w:color="auto"/>
              <w:left w:val="nil"/>
              <w:bottom w:val="single" w:sz="4" w:space="0" w:color="auto"/>
              <w:right w:val="single" w:sz="4" w:space="0" w:color="auto"/>
            </w:tcBorders>
            <w:shd w:val="clear" w:color="auto" w:fill="auto"/>
            <w:vAlign w:val="center"/>
          </w:tcPr>
          <w:p w14:paraId="3566EC17" w14:textId="77777777" w:rsidR="004C28D5" w:rsidRPr="004C28D5" w:rsidRDefault="004C28D5" w:rsidP="004C28D5">
            <w:pPr>
              <w:ind w:firstLine="0"/>
              <w:jc w:val="center"/>
              <w:rPr>
                <w:sz w:val="28"/>
                <w:szCs w:val="28"/>
              </w:rPr>
            </w:pPr>
            <w:r w:rsidRPr="004C28D5">
              <w:rPr>
                <w:sz w:val="28"/>
                <w:szCs w:val="28"/>
              </w:rPr>
              <w:t>332,0</w:t>
            </w:r>
          </w:p>
        </w:tc>
        <w:tc>
          <w:tcPr>
            <w:tcW w:w="1418" w:type="dxa"/>
            <w:tcBorders>
              <w:top w:val="single" w:sz="4" w:space="0" w:color="auto"/>
              <w:left w:val="single" w:sz="4" w:space="0" w:color="000000"/>
              <w:bottom w:val="single" w:sz="4" w:space="0" w:color="000000"/>
              <w:right w:val="single" w:sz="4" w:space="0" w:color="auto"/>
            </w:tcBorders>
            <w:vAlign w:val="center"/>
          </w:tcPr>
          <w:p w14:paraId="487C0499" w14:textId="77777777" w:rsidR="004C28D5" w:rsidRPr="004C28D5" w:rsidRDefault="004C28D5" w:rsidP="004C28D5">
            <w:pPr>
              <w:snapToGrid w:val="0"/>
              <w:ind w:firstLine="0"/>
              <w:jc w:val="center"/>
              <w:rPr>
                <w:sz w:val="28"/>
                <w:szCs w:val="28"/>
                <w:highlight w:val="yellow"/>
              </w:rPr>
            </w:pPr>
            <w:r w:rsidRPr="004C28D5">
              <w:rPr>
                <w:sz w:val="28"/>
                <w:szCs w:val="28"/>
              </w:rPr>
              <w:t>337,0</w:t>
            </w:r>
          </w:p>
        </w:tc>
      </w:tr>
      <w:tr w:rsidR="004C28D5" w:rsidRPr="004C28D5" w14:paraId="1AB3DB33" w14:textId="77777777" w:rsidTr="007737E1">
        <w:tblPrEx>
          <w:tblCellMar>
            <w:left w:w="15" w:type="dxa"/>
            <w:right w:w="15" w:type="dxa"/>
          </w:tblCellMar>
        </w:tblPrEx>
        <w:trPr>
          <w:trHeight w:val="481"/>
          <w:tblHeader/>
        </w:trPr>
        <w:tc>
          <w:tcPr>
            <w:tcW w:w="3687" w:type="dxa"/>
            <w:tcBorders>
              <w:top w:val="single" w:sz="4" w:space="0" w:color="000000"/>
              <w:left w:val="single" w:sz="4" w:space="0" w:color="000000"/>
              <w:bottom w:val="single" w:sz="4" w:space="0" w:color="000000"/>
              <w:right w:val="single" w:sz="4" w:space="0" w:color="auto"/>
            </w:tcBorders>
            <w:shd w:val="clear" w:color="auto" w:fill="auto"/>
            <w:vAlign w:val="center"/>
          </w:tcPr>
          <w:p w14:paraId="3B5E0B61" w14:textId="77777777" w:rsidR="004C28D5" w:rsidRPr="004C28D5" w:rsidRDefault="004C28D5" w:rsidP="004C28D5">
            <w:pPr>
              <w:snapToGrid w:val="0"/>
              <w:ind w:firstLine="0"/>
              <w:rPr>
                <w:sz w:val="28"/>
                <w:szCs w:val="28"/>
              </w:rPr>
            </w:pPr>
            <w:r w:rsidRPr="004C28D5">
              <w:rPr>
                <w:sz w:val="28"/>
                <w:szCs w:val="28"/>
              </w:rPr>
              <w:t>Электроэнергия</w:t>
            </w:r>
          </w:p>
        </w:tc>
        <w:tc>
          <w:tcPr>
            <w:tcW w:w="1276" w:type="dxa"/>
            <w:tcBorders>
              <w:top w:val="single" w:sz="4" w:space="0" w:color="auto"/>
              <w:left w:val="single" w:sz="4" w:space="0" w:color="auto"/>
              <w:bottom w:val="single" w:sz="4" w:space="0" w:color="auto"/>
            </w:tcBorders>
            <w:shd w:val="clear" w:color="auto" w:fill="auto"/>
          </w:tcPr>
          <w:p w14:paraId="21E76AD9" w14:textId="77777777" w:rsidR="004C28D5" w:rsidRPr="004C28D5" w:rsidRDefault="004C28D5" w:rsidP="004C28D5">
            <w:pPr>
              <w:snapToGrid w:val="0"/>
              <w:ind w:firstLine="0"/>
              <w:jc w:val="center"/>
              <w:rPr>
                <w:sz w:val="28"/>
                <w:szCs w:val="28"/>
              </w:rPr>
            </w:pPr>
            <w:r w:rsidRPr="004C28D5">
              <w:rPr>
                <w:sz w:val="28"/>
                <w:szCs w:val="28"/>
              </w:rPr>
              <w:t>гигаватт-час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FABBCE" w14:textId="77777777" w:rsidR="004C28D5" w:rsidRPr="004C28D5" w:rsidRDefault="004C28D5" w:rsidP="004C28D5">
            <w:pPr>
              <w:ind w:firstLine="0"/>
              <w:jc w:val="center"/>
              <w:rPr>
                <w:sz w:val="28"/>
                <w:szCs w:val="28"/>
              </w:rPr>
            </w:pPr>
            <w:r w:rsidRPr="004C28D5">
              <w:rPr>
                <w:sz w:val="28"/>
                <w:szCs w:val="28"/>
              </w:rPr>
              <w:t>3 600,0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3F03B7C9" w14:textId="77777777" w:rsidR="004C28D5" w:rsidRPr="004C28D5" w:rsidRDefault="004C28D5" w:rsidP="004C28D5">
            <w:pPr>
              <w:ind w:firstLine="0"/>
              <w:jc w:val="center"/>
              <w:rPr>
                <w:sz w:val="28"/>
                <w:szCs w:val="28"/>
              </w:rPr>
            </w:pPr>
            <w:r w:rsidRPr="004C28D5">
              <w:rPr>
                <w:sz w:val="28"/>
                <w:szCs w:val="28"/>
              </w:rPr>
              <w:t>3 800,0</w:t>
            </w:r>
          </w:p>
        </w:tc>
        <w:tc>
          <w:tcPr>
            <w:tcW w:w="1418" w:type="dxa"/>
            <w:tcBorders>
              <w:top w:val="single" w:sz="4" w:space="0" w:color="auto"/>
              <w:left w:val="single" w:sz="4" w:space="0" w:color="000000"/>
              <w:bottom w:val="single" w:sz="4" w:space="0" w:color="auto"/>
              <w:right w:val="single" w:sz="4" w:space="0" w:color="auto"/>
            </w:tcBorders>
            <w:vAlign w:val="center"/>
          </w:tcPr>
          <w:p w14:paraId="0CAE6DB8" w14:textId="77777777" w:rsidR="004C28D5" w:rsidRPr="004C28D5" w:rsidRDefault="004C28D5" w:rsidP="004C28D5">
            <w:pPr>
              <w:snapToGrid w:val="0"/>
              <w:ind w:firstLine="0"/>
              <w:jc w:val="center"/>
              <w:rPr>
                <w:sz w:val="28"/>
                <w:szCs w:val="28"/>
                <w:highlight w:val="yellow"/>
              </w:rPr>
            </w:pPr>
            <w:r w:rsidRPr="004C28D5">
              <w:rPr>
                <w:sz w:val="28"/>
                <w:szCs w:val="28"/>
              </w:rPr>
              <w:t>4 198,0</w:t>
            </w:r>
          </w:p>
        </w:tc>
      </w:tr>
      <w:tr w:rsidR="004C28D5" w:rsidRPr="004C28D5" w14:paraId="7833ACF9" w14:textId="77777777" w:rsidTr="007737E1">
        <w:tblPrEx>
          <w:tblCellMar>
            <w:left w:w="15" w:type="dxa"/>
            <w:right w:w="15" w:type="dxa"/>
          </w:tblCellMar>
        </w:tblPrEx>
        <w:trPr>
          <w:trHeight w:val="481"/>
          <w:tblHeader/>
        </w:trPr>
        <w:tc>
          <w:tcPr>
            <w:tcW w:w="3687" w:type="dxa"/>
            <w:tcBorders>
              <w:top w:val="single" w:sz="4" w:space="0" w:color="000000"/>
              <w:left w:val="single" w:sz="4" w:space="0" w:color="000000"/>
              <w:bottom w:val="single" w:sz="4" w:space="0" w:color="000000"/>
            </w:tcBorders>
            <w:shd w:val="clear" w:color="auto" w:fill="auto"/>
            <w:vAlign w:val="center"/>
          </w:tcPr>
          <w:p w14:paraId="00ED0594" w14:textId="77777777" w:rsidR="004C28D5" w:rsidRPr="004C28D5" w:rsidRDefault="004C28D5" w:rsidP="004C28D5">
            <w:pPr>
              <w:snapToGrid w:val="0"/>
              <w:ind w:firstLine="0"/>
              <w:rPr>
                <w:sz w:val="28"/>
                <w:szCs w:val="28"/>
              </w:rPr>
            </w:pPr>
            <w:r w:rsidRPr="004C28D5">
              <w:rPr>
                <w:sz w:val="28"/>
                <w:szCs w:val="28"/>
              </w:rPr>
              <w:t>Пар и горячая вода</w:t>
            </w:r>
          </w:p>
        </w:tc>
        <w:tc>
          <w:tcPr>
            <w:tcW w:w="1276" w:type="dxa"/>
            <w:tcBorders>
              <w:top w:val="single" w:sz="4" w:space="0" w:color="auto"/>
              <w:left w:val="single" w:sz="4" w:space="0" w:color="000000"/>
              <w:bottom w:val="single" w:sz="4" w:space="0" w:color="000000"/>
            </w:tcBorders>
            <w:shd w:val="clear" w:color="auto" w:fill="auto"/>
          </w:tcPr>
          <w:p w14:paraId="1FFBAE46" w14:textId="77777777" w:rsidR="004C28D5" w:rsidRPr="004C28D5" w:rsidRDefault="004C28D5" w:rsidP="004C28D5">
            <w:pPr>
              <w:snapToGrid w:val="0"/>
              <w:ind w:firstLine="0"/>
              <w:jc w:val="center"/>
              <w:rPr>
                <w:sz w:val="28"/>
                <w:szCs w:val="28"/>
              </w:rPr>
            </w:pPr>
            <w:proofErr w:type="spellStart"/>
            <w:proofErr w:type="gramStart"/>
            <w:r w:rsidRPr="004C28D5">
              <w:rPr>
                <w:sz w:val="28"/>
                <w:szCs w:val="28"/>
              </w:rPr>
              <w:t>тыс.гигакалорий</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596D0E" w14:textId="77777777" w:rsidR="004C28D5" w:rsidRPr="004C28D5" w:rsidRDefault="004C28D5" w:rsidP="004C28D5">
            <w:pPr>
              <w:ind w:firstLine="0"/>
              <w:jc w:val="center"/>
              <w:rPr>
                <w:sz w:val="28"/>
                <w:szCs w:val="28"/>
              </w:rPr>
            </w:pPr>
            <w:r w:rsidRPr="004C28D5">
              <w:rPr>
                <w:sz w:val="28"/>
                <w:szCs w:val="28"/>
              </w:rPr>
              <w:t>13 200,0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22B964DA" w14:textId="77777777" w:rsidR="004C28D5" w:rsidRPr="004C28D5" w:rsidRDefault="004C28D5" w:rsidP="004C28D5">
            <w:pPr>
              <w:ind w:firstLine="0"/>
              <w:jc w:val="center"/>
              <w:rPr>
                <w:sz w:val="28"/>
                <w:szCs w:val="28"/>
              </w:rPr>
            </w:pPr>
            <w:r w:rsidRPr="004C28D5">
              <w:rPr>
                <w:sz w:val="28"/>
                <w:szCs w:val="28"/>
              </w:rPr>
              <w:t>13 500,0</w:t>
            </w:r>
          </w:p>
        </w:tc>
        <w:tc>
          <w:tcPr>
            <w:tcW w:w="1418" w:type="dxa"/>
            <w:tcBorders>
              <w:top w:val="single" w:sz="4" w:space="0" w:color="auto"/>
              <w:left w:val="single" w:sz="4" w:space="0" w:color="000000"/>
              <w:bottom w:val="single" w:sz="4" w:space="0" w:color="000000"/>
              <w:right w:val="single" w:sz="4" w:space="0" w:color="000000"/>
            </w:tcBorders>
            <w:vAlign w:val="center"/>
          </w:tcPr>
          <w:p w14:paraId="3D5EC837" w14:textId="77777777" w:rsidR="004C28D5" w:rsidRPr="004C28D5" w:rsidRDefault="004C28D5" w:rsidP="004C28D5">
            <w:pPr>
              <w:snapToGrid w:val="0"/>
              <w:ind w:firstLine="0"/>
              <w:jc w:val="center"/>
              <w:rPr>
                <w:sz w:val="28"/>
                <w:szCs w:val="28"/>
                <w:highlight w:val="yellow"/>
              </w:rPr>
            </w:pPr>
            <w:r w:rsidRPr="004C28D5">
              <w:rPr>
                <w:sz w:val="28"/>
                <w:szCs w:val="28"/>
              </w:rPr>
              <w:t>14 276,1</w:t>
            </w:r>
          </w:p>
        </w:tc>
      </w:tr>
      <w:tr w:rsidR="004C28D5" w:rsidRPr="004C28D5" w14:paraId="690BCBA8" w14:textId="77777777" w:rsidTr="007737E1">
        <w:tblPrEx>
          <w:tblCellMar>
            <w:left w:w="15" w:type="dxa"/>
            <w:right w:w="15" w:type="dxa"/>
          </w:tblCellMar>
        </w:tblPrEx>
        <w:trPr>
          <w:trHeight w:val="481"/>
          <w:tblHeader/>
        </w:trPr>
        <w:tc>
          <w:tcPr>
            <w:tcW w:w="3687" w:type="dxa"/>
            <w:tcBorders>
              <w:top w:val="single" w:sz="4" w:space="0" w:color="000000"/>
              <w:left w:val="single" w:sz="4" w:space="0" w:color="000000"/>
              <w:bottom w:val="single" w:sz="4" w:space="0" w:color="000000"/>
            </w:tcBorders>
            <w:shd w:val="clear" w:color="auto" w:fill="auto"/>
            <w:vAlign w:val="center"/>
          </w:tcPr>
          <w:p w14:paraId="717FBD72" w14:textId="77777777" w:rsidR="004C28D5" w:rsidRPr="004C28D5" w:rsidRDefault="004C28D5" w:rsidP="004C28D5">
            <w:pPr>
              <w:snapToGrid w:val="0"/>
              <w:ind w:firstLine="0"/>
              <w:rPr>
                <w:sz w:val="28"/>
                <w:szCs w:val="28"/>
              </w:rPr>
            </w:pPr>
            <w:r w:rsidRPr="004C28D5">
              <w:rPr>
                <w:sz w:val="28"/>
                <w:szCs w:val="28"/>
              </w:rPr>
              <w:t>Изделия колбасные, в том числе для детского питания</w:t>
            </w:r>
          </w:p>
        </w:tc>
        <w:tc>
          <w:tcPr>
            <w:tcW w:w="1276" w:type="dxa"/>
            <w:tcBorders>
              <w:top w:val="single" w:sz="4" w:space="0" w:color="000000"/>
              <w:left w:val="single" w:sz="4" w:space="0" w:color="000000"/>
              <w:bottom w:val="single" w:sz="4" w:space="0" w:color="000000"/>
            </w:tcBorders>
            <w:shd w:val="clear" w:color="auto" w:fill="auto"/>
          </w:tcPr>
          <w:p w14:paraId="4C93BB52" w14:textId="77777777" w:rsidR="004C28D5" w:rsidRPr="004C28D5" w:rsidRDefault="004C28D5" w:rsidP="004C28D5">
            <w:pPr>
              <w:snapToGrid w:val="0"/>
              <w:ind w:firstLine="0"/>
              <w:jc w:val="center"/>
              <w:rPr>
                <w:sz w:val="28"/>
                <w:szCs w:val="28"/>
              </w:rPr>
            </w:pPr>
            <w:r w:rsidRPr="004C28D5">
              <w:rPr>
                <w:sz w:val="28"/>
                <w:szCs w:val="28"/>
              </w:rPr>
              <w:t>тыс. тонн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860AD6" w14:textId="77777777" w:rsidR="004C28D5" w:rsidRPr="004C28D5" w:rsidRDefault="004C28D5" w:rsidP="004C28D5">
            <w:pPr>
              <w:suppressAutoHyphens w:val="0"/>
              <w:ind w:firstLine="0"/>
              <w:jc w:val="center"/>
              <w:rPr>
                <w:sz w:val="28"/>
                <w:szCs w:val="28"/>
                <w:lang w:eastAsia="ru-RU"/>
              </w:rPr>
            </w:pPr>
            <w:r w:rsidRPr="004C28D5">
              <w:rPr>
                <w:sz w:val="28"/>
                <w:szCs w:val="28"/>
                <w:lang w:eastAsia="ru-RU"/>
              </w:rPr>
              <w:t>34,0</w:t>
            </w:r>
          </w:p>
        </w:tc>
        <w:tc>
          <w:tcPr>
            <w:tcW w:w="1559" w:type="dxa"/>
            <w:tcBorders>
              <w:top w:val="single" w:sz="4" w:space="0" w:color="auto"/>
              <w:left w:val="nil"/>
              <w:bottom w:val="single" w:sz="4" w:space="0" w:color="auto"/>
              <w:right w:val="single" w:sz="4" w:space="0" w:color="auto"/>
            </w:tcBorders>
            <w:shd w:val="clear" w:color="auto" w:fill="auto"/>
            <w:vAlign w:val="center"/>
          </w:tcPr>
          <w:p w14:paraId="635A899C" w14:textId="77777777" w:rsidR="004C28D5" w:rsidRPr="004C28D5" w:rsidRDefault="004C28D5" w:rsidP="004C28D5">
            <w:pPr>
              <w:ind w:firstLine="0"/>
              <w:jc w:val="center"/>
              <w:rPr>
                <w:sz w:val="28"/>
                <w:szCs w:val="28"/>
              </w:rPr>
            </w:pPr>
            <w:r w:rsidRPr="004C28D5">
              <w:rPr>
                <w:sz w:val="28"/>
                <w:szCs w:val="28"/>
              </w:rPr>
              <w:t>35,3</w:t>
            </w:r>
          </w:p>
        </w:tc>
        <w:tc>
          <w:tcPr>
            <w:tcW w:w="1418" w:type="dxa"/>
            <w:tcBorders>
              <w:top w:val="single" w:sz="4" w:space="0" w:color="000000"/>
              <w:left w:val="single" w:sz="4" w:space="0" w:color="000000"/>
              <w:bottom w:val="single" w:sz="4" w:space="0" w:color="000000"/>
              <w:right w:val="single" w:sz="4" w:space="0" w:color="000000"/>
            </w:tcBorders>
            <w:vAlign w:val="center"/>
          </w:tcPr>
          <w:p w14:paraId="235E05A8" w14:textId="77777777" w:rsidR="004C28D5" w:rsidRPr="004C28D5" w:rsidRDefault="004C28D5" w:rsidP="004C28D5">
            <w:pPr>
              <w:snapToGrid w:val="0"/>
              <w:ind w:firstLine="0"/>
              <w:jc w:val="center"/>
              <w:rPr>
                <w:sz w:val="28"/>
                <w:szCs w:val="28"/>
                <w:highlight w:val="yellow"/>
              </w:rPr>
            </w:pPr>
            <w:r w:rsidRPr="004C28D5">
              <w:rPr>
                <w:sz w:val="28"/>
                <w:szCs w:val="28"/>
              </w:rPr>
              <w:t>35, 1</w:t>
            </w:r>
          </w:p>
        </w:tc>
      </w:tr>
      <w:tr w:rsidR="004C28D5" w:rsidRPr="004C28D5" w14:paraId="0A04F3DA" w14:textId="77777777" w:rsidTr="007737E1">
        <w:tblPrEx>
          <w:tblCellMar>
            <w:left w:w="15" w:type="dxa"/>
            <w:right w:w="15" w:type="dxa"/>
          </w:tblCellMar>
        </w:tblPrEx>
        <w:trPr>
          <w:trHeight w:val="481"/>
        </w:trPr>
        <w:tc>
          <w:tcPr>
            <w:tcW w:w="3687" w:type="dxa"/>
            <w:tcBorders>
              <w:top w:val="single" w:sz="4" w:space="0" w:color="000000"/>
              <w:left w:val="single" w:sz="4" w:space="0" w:color="000000"/>
              <w:bottom w:val="single" w:sz="4" w:space="0" w:color="000000"/>
            </w:tcBorders>
            <w:shd w:val="clear" w:color="auto" w:fill="auto"/>
            <w:vAlign w:val="center"/>
          </w:tcPr>
          <w:p w14:paraId="0490CCC5" w14:textId="77777777" w:rsidR="004C28D5" w:rsidRPr="004C28D5" w:rsidRDefault="004C28D5" w:rsidP="004C28D5">
            <w:pPr>
              <w:snapToGrid w:val="0"/>
              <w:ind w:firstLine="0"/>
              <w:rPr>
                <w:sz w:val="28"/>
                <w:szCs w:val="28"/>
              </w:rPr>
            </w:pPr>
            <w:r w:rsidRPr="004C28D5">
              <w:rPr>
                <w:sz w:val="28"/>
                <w:szCs w:val="28"/>
              </w:rPr>
              <w:t xml:space="preserve">Полуфабрикаты мясные, </w:t>
            </w:r>
            <w:proofErr w:type="spellStart"/>
            <w:r w:rsidRPr="004C28D5">
              <w:rPr>
                <w:sz w:val="28"/>
                <w:szCs w:val="28"/>
              </w:rPr>
              <w:t>мясосодержащие</w:t>
            </w:r>
            <w:proofErr w:type="spellEnd"/>
            <w:r w:rsidRPr="004C28D5">
              <w:rPr>
                <w:sz w:val="28"/>
                <w:szCs w:val="28"/>
              </w:rPr>
              <w:t>, охлажденные, замороженные</w:t>
            </w:r>
          </w:p>
        </w:tc>
        <w:tc>
          <w:tcPr>
            <w:tcW w:w="1276" w:type="dxa"/>
            <w:tcBorders>
              <w:top w:val="single" w:sz="4" w:space="0" w:color="000000"/>
              <w:left w:val="single" w:sz="4" w:space="0" w:color="000000"/>
              <w:bottom w:val="single" w:sz="4" w:space="0" w:color="000000"/>
            </w:tcBorders>
            <w:shd w:val="clear" w:color="auto" w:fill="auto"/>
          </w:tcPr>
          <w:p w14:paraId="420C41C9" w14:textId="7845793F" w:rsidR="004C28D5" w:rsidRPr="004C28D5" w:rsidRDefault="004C28D5" w:rsidP="004C28D5">
            <w:pPr>
              <w:snapToGrid w:val="0"/>
              <w:ind w:firstLine="0"/>
              <w:jc w:val="center"/>
              <w:rPr>
                <w:sz w:val="28"/>
                <w:szCs w:val="28"/>
              </w:rPr>
            </w:pPr>
            <w:r w:rsidRPr="004C28D5">
              <w:rPr>
                <w:sz w:val="28"/>
                <w:szCs w:val="28"/>
              </w:rPr>
              <w:t>тыс.</w:t>
            </w:r>
            <w:r w:rsidR="005205C0">
              <w:rPr>
                <w:sz w:val="28"/>
                <w:szCs w:val="28"/>
              </w:rPr>
              <w:t xml:space="preserve"> </w:t>
            </w:r>
            <w:r w:rsidRPr="004C28D5">
              <w:rPr>
                <w:sz w:val="28"/>
                <w:szCs w:val="28"/>
              </w:rPr>
              <w:t>тонн</w:t>
            </w:r>
          </w:p>
        </w:tc>
        <w:tc>
          <w:tcPr>
            <w:tcW w:w="1559" w:type="dxa"/>
            <w:tcBorders>
              <w:top w:val="nil"/>
              <w:left w:val="single" w:sz="4" w:space="0" w:color="auto"/>
              <w:bottom w:val="single" w:sz="4" w:space="0" w:color="auto"/>
              <w:right w:val="single" w:sz="4" w:space="0" w:color="auto"/>
            </w:tcBorders>
            <w:shd w:val="clear" w:color="auto" w:fill="auto"/>
            <w:vAlign w:val="center"/>
          </w:tcPr>
          <w:p w14:paraId="6B4499E7" w14:textId="77777777" w:rsidR="004C28D5" w:rsidRPr="004C28D5" w:rsidRDefault="004C28D5" w:rsidP="004C28D5">
            <w:pPr>
              <w:ind w:firstLine="0"/>
              <w:jc w:val="center"/>
              <w:rPr>
                <w:sz w:val="28"/>
                <w:szCs w:val="28"/>
              </w:rPr>
            </w:pPr>
            <w:r w:rsidRPr="004C28D5">
              <w:rPr>
                <w:sz w:val="28"/>
                <w:szCs w:val="28"/>
              </w:rPr>
              <w:t>8,3</w:t>
            </w:r>
          </w:p>
        </w:tc>
        <w:tc>
          <w:tcPr>
            <w:tcW w:w="1559" w:type="dxa"/>
            <w:tcBorders>
              <w:top w:val="nil"/>
              <w:left w:val="nil"/>
              <w:bottom w:val="single" w:sz="4" w:space="0" w:color="auto"/>
              <w:right w:val="single" w:sz="4" w:space="0" w:color="auto"/>
            </w:tcBorders>
            <w:shd w:val="clear" w:color="auto" w:fill="auto"/>
            <w:vAlign w:val="center"/>
          </w:tcPr>
          <w:p w14:paraId="41D1239C" w14:textId="77777777" w:rsidR="004C28D5" w:rsidRPr="004C28D5" w:rsidRDefault="004C28D5" w:rsidP="004C28D5">
            <w:pPr>
              <w:ind w:firstLine="0"/>
              <w:jc w:val="center"/>
              <w:rPr>
                <w:sz w:val="28"/>
                <w:szCs w:val="28"/>
              </w:rPr>
            </w:pPr>
            <w:r w:rsidRPr="004C28D5">
              <w:rPr>
                <w:sz w:val="28"/>
                <w:szCs w:val="28"/>
              </w:rPr>
              <w:t>8,7</w:t>
            </w:r>
          </w:p>
        </w:tc>
        <w:tc>
          <w:tcPr>
            <w:tcW w:w="1418" w:type="dxa"/>
            <w:tcBorders>
              <w:top w:val="single" w:sz="4" w:space="0" w:color="000000"/>
              <w:left w:val="single" w:sz="4" w:space="0" w:color="000000"/>
              <w:bottom w:val="single" w:sz="4" w:space="0" w:color="000000"/>
              <w:right w:val="single" w:sz="4" w:space="0" w:color="000000"/>
            </w:tcBorders>
            <w:vAlign w:val="center"/>
          </w:tcPr>
          <w:p w14:paraId="0F4FF8B5" w14:textId="77777777" w:rsidR="004C28D5" w:rsidRPr="004C28D5" w:rsidRDefault="004C28D5" w:rsidP="004C28D5">
            <w:pPr>
              <w:snapToGrid w:val="0"/>
              <w:ind w:firstLine="0"/>
              <w:jc w:val="center"/>
              <w:rPr>
                <w:sz w:val="28"/>
                <w:szCs w:val="28"/>
                <w:highlight w:val="yellow"/>
              </w:rPr>
            </w:pPr>
            <w:r w:rsidRPr="004C28D5">
              <w:rPr>
                <w:sz w:val="28"/>
                <w:szCs w:val="28"/>
              </w:rPr>
              <w:t>9,9</w:t>
            </w:r>
          </w:p>
        </w:tc>
      </w:tr>
      <w:tr w:rsidR="004C28D5" w:rsidRPr="004C28D5" w14:paraId="29674E3C" w14:textId="77777777" w:rsidTr="007737E1">
        <w:tblPrEx>
          <w:tblCellMar>
            <w:left w:w="15" w:type="dxa"/>
            <w:right w:w="15" w:type="dxa"/>
          </w:tblCellMar>
        </w:tblPrEx>
        <w:trPr>
          <w:trHeight w:val="481"/>
        </w:trPr>
        <w:tc>
          <w:tcPr>
            <w:tcW w:w="3687" w:type="dxa"/>
            <w:tcBorders>
              <w:top w:val="single" w:sz="4" w:space="0" w:color="000000"/>
              <w:left w:val="single" w:sz="4" w:space="0" w:color="000000"/>
              <w:bottom w:val="single" w:sz="4" w:space="0" w:color="000000"/>
            </w:tcBorders>
            <w:shd w:val="clear" w:color="auto" w:fill="auto"/>
            <w:vAlign w:val="center"/>
          </w:tcPr>
          <w:p w14:paraId="7B0B993B" w14:textId="77777777" w:rsidR="004C28D5" w:rsidRPr="004C28D5" w:rsidRDefault="004C28D5" w:rsidP="004C28D5">
            <w:pPr>
              <w:snapToGrid w:val="0"/>
              <w:ind w:firstLine="0"/>
              <w:jc w:val="left"/>
              <w:rPr>
                <w:sz w:val="28"/>
                <w:szCs w:val="28"/>
              </w:rPr>
            </w:pPr>
            <w:r w:rsidRPr="004C28D5">
              <w:rPr>
                <w:sz w:val="28"/>
                <w:szCs w:val="28"/>
              </w:rPr>
              <w:lastRenderedPageBreak/>
              <w:t>Хлеб и хлебобулочные изделия, включая полуфабрикаты</w:t>
            </w:r>
          </w:p>
        </w:tc>
        <w:tc>
          <w:tcPr>
            <w:tcW w:w="1276" w:type="dxa"/>
            <w:tcBorders>
              <w:top w:val="single" w:sz="4" w:space="0" w:color="000000"/>
              <w:left w:val="single" w:sz="4" w:space="0" w:color="000000"/>
              <w:bottom w:val="single" w:sz="4" w:space="0" w:color="000000"/>
            </w:tcBorders>
            <w:shd w:val="clear" w:color="auto" w:fill="auto"/>
          </w:tcPr>
          <w:p w14:paraId="07025EA1" w14:textId="1C496EA2" w:rsidR="004C28D5" w:rsidRPr="004C28D5" w:rsidRDefault="004C28D5" w:rsidP="004C28D5">
            <w:pPr>
              <w:snapToGrid w:val="0"/>
              <w:ind w:firstLine="0"/>
              <w:jc w:val="center"/>
              <w:rPr>
                <w:sz w:val="28"/>
                <w:szCs w:val="28"/>
              </w:rPr>
            </w:pPr>
            <w:r w:rsidRPr="004C28D5">
              <w:rPr>
                <w:sz w:val="28"/>
                <w:szCs w:val="28"/>
              </w:rPr>
              <w:t>тыс.</w:t>
            </w:r>
            <w:r w:rsidR="005205C0">
              <w:rPr>
                <w:sz w:val="28"/>
                <w:szCs w:val="28"/>
              </w:rPr>
              <w:t xml:space="preserve"> </w:t>
            </w:r>
            <w:r w:rsidRPr="004C28D5">
              <w:rPr>
                <w:sz w:val="28"/>
                <w:szCs w:val="28"/>
              </w:rPr>
              <w:t>тонн</w:t>
            </w:r>
          </w:p>
        </w:tc>
        <w:tc>
          <w:tcPr>
            <w:tcW w:w="1559" w:type="dxa"/>
            <w:tcBorders>
              <w:top w:val="nil"/>
              <w:left w:val="single" w:sz="4" w:space="0" w:color="auto"/>
              <w:bottom w:val="single" w:sz="4" w:space="0" w:color="auto"/>
              <w:right w:val="single" w:sz="4" w:space="0" w:color="auto"/>
            </w:tcBorders>
            <w:shd w:val="clear" w:color="auto" w:fill="auto"/>
            <w:vAlign w:val="center"/>
          </w:tcPr>
          <w:p w14:paraId="00F4F313" w14:textId="77777777" w:rsidR="004C28D5" w:rsidRPr="004C28D5" w:rsidRDefault="004C28D5" w:rsidP="004C28D5">
            <w:pPr>
              <w:ind w:firstLine="0"/>
              <w:jc w:val="center"/>
              <w:rPr>
                <w:sz w:val="28"/>
                <w:szCs w:val="28"/>
              </w:rPr>
            </w:pPr>
            <w:r w:rsidRPr="004C28D5">
              <w:rPr>
                <w:sz w:val="28"/>
                <w:szCs w:val="28"/>
              </w:rPr>
              <w:t>28,5</w:t>
            </w:r>
          </w:p>
        </w:tc>
        <w:tc>
          <w:tcPr>
            <w:tcW w:w="1559" w:type="dxa"/>
            <w:tcBorders>
              <w:top w:val="nil"/>
              <w:left w:val="nil"/>
              <w:bottom w:val="single" w:sz="4" w:space="0" w:color="auto"/>
              <w:right w:val="single" w:sz="4" w:space="0" w:color="auto"/>
            </w:tcBorders>
            <w:shd w:val="clear" w:color="auto" w:fill="auto"/>
            <w:vAlign w:val="center"/>
          </w:tcPr>
          <w:p w14:paraId="501DD64D" w14:textId="77777777" w:rsidR="004C28D5" w:rsidRPr="004C28D5" w:rsidRDefault="004C28D5" w:rsidP="004C28D5">
            <w:pPr>
              <w:ind w:firstLine="0"/>
              <w:jc w:val="center"/>
              <w:rPr>
                <w:sz w:val="28"/>
                <w:szCs w:val="28"/>
              </w:rPr>
            </w:pPr>
            <w:r w:rsidRPr="004C28D5">
              <w:rPr>
                <w:sz w:val="28"/>
                <w:szCs w:val="28"/>
              </w:rPr>
              <w:t>28,8</w:t>
            </w:r>
          </w:p>
        </w:tc>
        <w:tc>
          <w:tcPr>
            <w:tcW w:w="1418" w:type="dxa"/>
            <w:tcBorders>
              <w:top w:val="single" w:sz="4" w:space="0" w:color="000000"/>
              <w:left w:val="single" w:sz="4" w:space="0" w:color="000000"/>
              <w:bottom w:val="single" w:sz="4" w:space="0" w:color="000000"/>
              <w:right w:val="single" w:sz="4" w:space="0" w:color="000000"/>
            </w:tcBorders>
            <w:vAlign w:val="center"/>
          </w:tcPr>
          <w:p w14:paraId="23B31CDF" w14:textId="77777777" w:rsidR="004C28D5" w:rsidRPr="004C28D5" w:rsidRDefault="004C28D5" w:rsidP="004C28D5">
            <w:pPr>
              <w:snapToGrid w:val="0"/>
              <w:ind w:firstLine="0"/>
              <w:jc w:val="center"/>
              <w:rPr>
                <w:sz w:val="28"/>
                <w:szCs w:val="28"/>
                <w:highlight w:val="yellow"/>
              </w:rPr>
            </w:pPr>
            <w:r w:rsidRPr="004C28D5">
              <w:rPr>
                <w:sz w:val="28"/>
                <w:szCs w:val="28"/>
              </w:rPr>
              <w:t>28,4</w:t>
            </w:r>
          </w:p>
        </w:tc>
      </w:tr>
      <w:tr w:rsidR="004C28D5" w:rsidRPr="004C28D5" w14:paraId="7FB9B660" w14:textId="77777777" w:rsidTr="007737E1">
        <w:tblPrEx>
          <w:tblCellMar>
            <w:left w:w="15" w:type="dxa"/>
            <w:right w:w="15" w:type="dxa"/>
          </w:tblCellMar>
        </w:tblPrEx>
        <w:trPr>
          <w:trHeight w:val="481"/>
        </w:trPr>
        <w:tc>
          <w:tcPr>
            <w:tcW w:w="3687" w:type="dxa"/>
            <w:tcBorders>
              <w:top w:val="single" w:sz="4" w:space="0" w:color="000000"/>
              <w:left w:val="single" w:sz="4" w:space="0" w:color="000000"/>
              <w:bottom w:val="single" w:sz="4" w:space="0" w:color="000000"/>
            </w:tcBorders>
            <w:shd w:val="clear" w:color="auto" w:fill="auto"/>
            <w:vAlign w:val="center"/>
          </w:tcPr>
          <w:p w14:paraId="7B31289D" w14:textId="77777777" w:rsidR="004C28D5" w:rsidRPr="004C28D5" w:rsidRDefault="004C28D5" w:rsidP="004C28D5">
            <w:pPr>
              <w:snapToGrid w:val="0"/>
              <w:ind w:firstLine="0"/>
              <w:rPr>
                <w:sz w:val="28"/>
                <w:szCs w:val="28"/>
              </w:rPr>
            </w:pPr>
            <w:r w:rsidRPr="004C28D5">
              <w:rPr>
                <w:sz w:val="28"/>
                <w:szCs w:val="28"/>
              </w:rPr>
              <w:t>Кондитерские изделия</w:t>
            </w:r>
          </w:p>
        </w:tc>
        <w:tc>
          <w:tcPr>
            <w:tcW w:w="1276" w:type="dxa"/>
            <w:tcBorders>
              <w:top w:val="single" w:sz="4" w:space="0" w:color="000000"/>
              <w:left w:val="single" w:sz="4" w:space="0" w:color="000000"/>
              <w:bottom w:val="single" w:sz="4" w:space="0" w:color="000000"/>
            </w:tcBorders>
            <w:shd w:val="clear" w:color="auto" w:fill="auto"/>
          </w:tcPr>
          <w:p w14:paraId="27F0008E" w14:textId="4826035C" w:rsidR="004C28D5" w:rsidRPr="004C28D5" w:rsidRDefault="004C28D5" w:rsidP="004C28D5">
            <w:pPr>
              <w:snapToGrid w:val="0"/>
              <w:ind w:firstLine="0"/>
              <w:jc w:val="center"/>
              <w:rPr>
                <w:sz w:val="28"/>
                <w:szCs w:val="28"/>
              </w:rPr>
            </w:pPr>
            <w:r w:rsidRPr="004C28D5">
              <w:rPr>
                <w:sz w:val="28"/>
                <w:szCs w:val="28"/>
              </w:rPr>
              <w:t>тыс.</w:t>
            </w:r>
            <w:r w:rsidR="005205C0">
              <w:rPr>
                <w:sz w:val="28"/>
                <w:szCs w:val="28"/>
              </w:rPr>
              <w:t xml:space="preserve"> </w:t>
            </w:r>
            <w:r w:rsidRPr="004C28D5">
              <w:rPr>
                <w:sz w:val="28"/>
                <w:szCs w:val="28"/>
              </w:rPr>
              <w:t>тонн</w:t>
            </w:r>
          </w:p>
        </w:tc>
        <w:tc>
          <w:tcPr>
            <w:tcW w:w="1559" w:type="dxa"/>
            <w:tcBorders>
              <w:top w:val="nil"/>
              <w:left w:val="single" w:sz="4" w:space="0" w:color="auto"/>
              <w:bottom w:val="single" w:sz="4" w:space="0" w:color="auto"/>
              <w:right w:val="single" w:sz="4" w:space="0" w:color="auto"/>
            </w:tcBorders>
            <w:shd w:val="clear" w:color="auto" w:fill="auto"/>
            <w:vAlign w:val="center"/>
          </w:tcPr>
          <w:p w14:paraId="3D520241" w14:textId="77777777" w:rsidR="004C28D5" w:rsidRPr="004C28D5" w:rsidRDefault="004C28D5" w:rsidP="004C28D5">
            <w:pPr>
              <w:ind w:firstLine="0"/>
              <w:jc w:val="center"/>
              <w:rPr>
                <w:sz w:val="28"/>
                <w:szCs w:val="28"/>
              </w:rPr>
            </w:pPr>
            <w:r w:rsidRPr="004C28D5">
              <w:rPr>
                <w:sz w:val="28"/>
                <w:szCs w:val="28"/>
              </w:rPr>
              <w:t>9,3</w:t>
            </w:r>
          </w:p>
        </w:tc>
        <w:tc>
          <w:tcPr>
            <w:tcW w:w="1559" w:type="dxa"/>
            <w:tcBorders>
              <w:top w:val="nil"/>
              <w:left w:val="nil"/>
              <w:bottom w:val="single" w:sz="4" w:space="0" w:color="auto"/>
              <w:right w:val="single" w:sz="4" w:space="0" w:color="auto"/>
            </w:tcBorders>
            <w:shd w:val="clear" w:color="auto" w:fill="auto"/>
            <w:vAlign w:val="center"/>
          </w:tcPr>
          <w:p w14:paraId="0E2D5A13" w14:textId="77777777" w:rsidR="004C28D5" w:rsidRPr="004C28D5" w:rsidRDefault="004C28D5" w:rsidP="004C28D5">
            <w:pPr>
              <w:ind w:firstLine="0"/>
              <w:jc w:val="center"/>
              <w:rPr>
                <w:sz w:val="28"/>
                <w:szCs w:val="28"/>
              </w:rPr>
            </w:pPr>
            <w:r w:rsidRPr="004C28D5">
              <w:rPr>
                <w:sz w:val="28"/>
                <w:szCs w:val="28"/>
              </w:rPr>
              <w:t>9,8</w:t>
            </w:r>
          </w:p>
        </w:tc>
        <w:tc>
          <w:tcPr>
            <w:tcW w:w="1418" w:type="dxa"/>
            <w:tcBorders>
              <w:top w:val="single" w:sz="4" w:space="0" w:color="000000"/>
              <w:left w:val="single" w:sz="4" w:space="0" w:color="000000"/>
              <w:bottom w:val="single" w:sz="4" w:space="0" w:color="000000"/>
              <w:right w:val="single" w:sz="4" w:space="0" w:color="000000"/>
            </w:tcBorders>
            <w:vAlign w:val="center"/>
          </w:tcPr>
          <w:p w14:paraId="7CE531F0" w14:textId="77777777" w:rsidR="004C28D5" w:rsidRPr="004C28D5" w:rsidRDefault="004C28D5" w:rsidP="004C28D5">
            <w:pPr>
              <w:snapToGrid w:val="0"/>
              <w:ind w:firstLine="0"/>
              <w:jc w:val="center"/>
              <w:rPr>
                <w:sz w:val="28"/>
                <w:szCs w:val="28"/>
                <w:highlight w:val="yellow"/>
              </w:rPr>
            </w:pPr>
            <w:r w:rsidRPr="004C28D5">
              <w:rPr>
                <w:sz w:val="28"/>
                <w:szCs w:val="28"/>
              </w:rPr>
              <w:t>9,0</w:t>
            </w:r>
          </w:p>
        </w:tc>
      </w:tr>
    </w:tbl>
    <w:p w14:paraId="12967A30" w14:textId="77777777" w:rsidR="004C28D5" w:rsidRPr="004C28D5" w:rsidRDefault="004C28D5" w:rsidP="004C28D5">
      <w:pPr>
        <w:spacing w:line="276" w:lineRule="auto"/>
        <w:rPr>
          <w:sz w:val="28"/>
          <w:szCs w:val="28"/>
          <w:highlight w:val="yellow"/>
        </w:rPr>
      </w:pPr>
    </w:p>
    <w:p w14:paraId="750229AF" w14:textId="4B944C34" w:rsidR="005205C0" w:rsidRPr="004C28D5" w:rsidRDefault="005205C0" w:rsidP="005205C0">
      <w:pPr>
        <w:spacing w:line="276" w:lineRule="auto"/>
        <w:rPr>
          <w:sz w:val="28"/>
          <w:szCs w:val="28"/>
          <w:highlight w:val="yellow"/>
        </w:rPr>
      </w:pPr>
      <w:r w:rsidRPr="004C28D5">
        <w:rPr>
          <w:sz w:val="28"/>
          <w:szCs w:val="28"/>
        </w:rPr>
        <w:t>Значения показателей промышленного сектора экономики на 2021 год скорректированы относительно прошлогоднего прогноза на основании сложившейся в текущем году динамики фактических значений показателей. Практически все показатели скорректированы в сторону увеличения, более всего – в обрабатывающем секторе</w:t>
      </w:r>
      <w:r w:rsidR="007737E1">
        <w:rPr>
          <w:sz w:val="28"/>
          <w:szCs w:val="28"/>
        </w:rPr>
        <w:t>:</w:t>
      </w:r>
      <w:r>
        <w:rPr>
          <w:sz w:val="28"/>
          <w:szCs w:val="28"/>
        </w:rPr>
        <w:t xml:space="preserve"> благодаря</w:t>
      </w:r>
      <w:r w:rsidRPr="004C28D5">
        <w:rPr>
          <w:sz w:val="28"/>
          <w:szCs w:val="28"/>
        </w:rPr>
        <w:t xml:space="preserve"> значительно</w:t>
      </w:r>
      <w:r>
        <w:rPr>
          <w:sz w:val="28"/>
          <w:szCs w:val="28"/>
        </w:rPr>
        <w:t>му</w:t>
      </w:r>
      <w:r w:rsidRPr="004C28D5">
        <w:rPr>
          <w:sz w:val="28"/>
          <w:szCs w:val="28"/>
        </w:rPr>
        <w:t xml:space="preserve"> рост</w:t>
      </w:r>
      <w:r>
        <w:rPr>
          <w:sz w:val="28"/>
          <w:szCs w:val="28"/>
        </w:rPr>
        <w:t>у</w:t>
      </w:r>
      <w:r w:rsidRPr="004C28D5">
        <w:rPr>
          <w:sz w:val="28"/>
          <w:szCs w:val="28"/>
        </w:rPr>
        <w:t xml:space="preserve"> </w:t>
      </w:r>
      <w:r>
        <w:rPr>
          <w:sz w:val="28"/>
          <w:szCs w:val="28"/>
        </w:rPr>
        <w:t xml:space="preserve">объемов отгруженной продукции </w:t>
      </w:r>
      <w:r w:rsidRPr="004C28D5">
        <w:rPr>
          <w:sz w:val="28"/>
          <w:szCs w:val="28"/>
        </w:rPr>
        <w:t xml:space="preserve">в </w:t>
      </w:r>
      <w:r>
        <w:rPr>
          <w:sz w:val="28"/>
          <w:szCs w:val="28"/>
        </w:rPr>
        <w:t xml:space="preserve">химическом производстве в связи с ростом цен на внешнем рынке в </w:t>
      </w:r>
      <w:r w:rsidRPr="004C28D5">
        <w:rPr>
          <w:sz w:val="28"/>
          <w:szCs w:val="28"/>
        </w:rPr>
        <w:t>текущем году</w:t>
      </w:r>
      <w:r>
        <w:rPr>
          <w:sz w:val="28"/>
          <w:szCs w:val="28"/>
        </w:rPr>
        <w:t xml:space="preserve">, а также умеренным ростом в автомобилестроении </w:t>
      </w:r>
      <w:r w:rsidRPr="004C28D5">
        <w:rPr>
          <w:sz w:val="28"/>
          <w:szCs w:val="28"/>
        </w:rPr>
        <w:t xml:space="preserve">относительно низкой базы 2020 года. </w:t>
      </w:r>
    </w:p>
    <w:p w14:paraId="1BEC7B82" w14:textId="77777777" w:rsidR="004C28D5" w:rsidRPr="004C28D5" w:rsidRDefault="004C28D5" w:rsidP="004C28D5">
      <w:pPr>
        <w:spacing w:line="276" w:lineRule="auto"/>
        <w:ind w:right="-1"/>
        <w:jc w:val="center"/>
        <w:rPr>
          <w:b/>
          <w:sz w:val="28"/>
          <w:szCs w:val="28"/>
        </w:rPr>
      </w:pPr>
    </w:p>
    <w:p w14:paraId="5A4AF83A" w14:textId="77777777" w:rsidR="004C28D5" w:rsidRPr="004C28D5" w:rsidRDefault="004C28D5" w:rsidP="004C28D5">
      <w:pPr>
        <w:keepNext/>
        <w:numPr>
          <w:ilvl w:val="2"/>
          <w:numId w:val="1"/>
        </w:numPr>
        <w:jc w:val="center"/>
        <w:outlineLvl w:val="2"/>
        <w:rPr>
          <w:b/>
          <w:sz w:val="28"/>
          <w:szCs w:val="28"/>
        </w:rPr>
      </w:pPr>
      <w:r w:rsidRPr="004C28D5">
        <w:rPr>
          <w:b/>
          <w:sz w:val="28"/>
          <w:szCs w:val="28"/>
        </w:rPr>
        <w:t>Малое и среднее предпринимательство</w:t>
      </w:r>
      <w:bookmarkStart w:id="1" w:name="пред"/>
      <w:bookmarkEnd w:id="1"/>
    </w:p>
    <w:p w14:paraId="0921A649" w14:textId="77777777" w:rsidR="004C28D5" w:rsidRPr="004C28D5" w:rsidRDefault="004C28D5" w:rsidP="004C28D5">
      <w:pPr>
        <w:spacing w:line="276" w:lineRule="auto"/>
        <w:ind w:right="-1"/>
        <w:jc w:val="center"/>
        <w:rPr>
          <w:b/>
          <w:sz w:val="28"/>
          <w:szCs w:val="28"/>
          <w:highlight w:val="yellow"/>
        </w:rPr>
      </w:pPr>
    </w:p>
    <w:p w14:paraId="6AF4F07F" w14:textId="133C35F1" w:rsidR="004C28D5" w:rsidRPr="004C28D5" w:rsidRDefault="004C28D5" w:rsidP="004C28D5">
      <w:pPr>
        <w:spacing w:line="276" w:lineRule="auto"/>
        <w:rPr>
          <w:sz w:val="28"/>
          <w:szCs w:val="28"/>
        </w:rPr>
      </w:pPr>
      <w:bookmarkStart w:id="2" w:name="_Hlk85732208"/>
      <w:r w:rsidRPr="004C28D5">
        <w:rPr>
          <w:sz w:val="28"/>
          <w:szCs w:val="28"/>
        </w:rPr>
        <w:t>Сведения о количестве субъектов малого и среднего предпринимательства (далее по разделу – СМСП) в городском округе Тольятти получены на основании данных, содержащихся в Едином реестре субъектов малого и среднего предпринимательства (далее по разделу – Реестр), на сайте ФНС России. При ведении Реестра предусмотрено ежемесячное (10 числа каждого месяца) обновление сведений о СМСП. Сведения о принадлежности хозяйствующего субъекта к категории СМСП обновляются налоговыми органами с 2020 года ежегодно 10 июля.</w:t>
      </w:r>
    </w:p>
    <w:p w14:paraId="51BB17E5" w14:textId="77777777" w:rsidR="004C28D5" w:rsidRPr="004C28D5" w:rsidRDefault="004C28D5" w:rsidP="004C28D5">
      <w:pPr>
        <w:spacing w:line="276" w:lineRule="auto"/>
        <w:rPr>
          <w:sz w:val="28"/>
          <w:szCs w:val="28"/>
        </w:rPr>
      </w:pPr>
      <w:r w:rsidRPr="004C28D5">
        <w:rPr>
          <w:sz w:val="28"/>
          <w:szCs w:val="28"/>
        </w:rPr>
        <w:t>Стоит отметить, что Реестр позволяет сформировать достаточно ограниченную информацию и не предусматривает возможность получения в полном объеме данных о среднесписочной численности и выручке СМСП (обороте СМСП).</w:t>
      </w:r>
    </w:p>
    <w:p w14:paraId="11908B6E" w14:textId="76CD92F3" w:rsidR="004C28D5" w:rsidRPr="004C28D5" w:rsidRDefault="004C28D5" w:rsidP="004C28D5">
      <w:pPr>
        <w:numPr>
          <w:ilvl w:val="0"/>
          <w:numId w:val="5"/>
        </w:numPr>
        <w:tabs>
          <w:tab w:val="left" w:pos="142"/>
          <w:tab w:val="left" w:pos="9720"/>
        </w:tabs>
        <w:suppressAutoHyphens w:val="0"/>
        <w:spacing w:line="276" w:lineRule="auto"/>
        <w:ind w:left="0" w:firstLine="709"/>
        <w:contextualSpacing/>
        <w:textAlignment w:val="top"/>
        <w:rPr>
          <w:sz w:val="28"/>
          <w:szCs w:val="28"/>
        </w:rPr>
      </w:pPr>
      <w:r w:rsidRPr="004C28D5">
        <w:rPr>
          <w:sz w:val="28"/>
          <w:szCs w:val="28"/>
        </w:rPr>
        <w:t>По данным Реестра по состоянию на 10.</w:t>
      </w:r>
      <w:r w:rsidR="00811397">
        <w:rPr>
          <w:sz w:val="28"/>
          <w:szCs w:val="28"/>
        </w:rPr>
        <w:t>10</w:t>
      </w:r>
      <w:r w:rsidRPr="004C28D5">
        <w:rPr>
          <w:sz w:val="28"/>
          <w:szCs w:val="28"/>
        </w:rPr>
        <w:t xml:space="preserve">.2021 в городском округе Тольятти </w:t>
      </w:r>
      <w:r w:rsidR="008A573A">
        <w:rPr>
          <w:sz w:val="28"/>
          <w:szCs w:val="28"/>
        </w:rPr>
        <w:t xml:space="preserve">было </w:t>
      </w:r>
      <w:r w:rsidRPr="004C28D5">
        <w:rPr>
          <w:sz w:val="28"/>
          <w:szCs w:val="28"/>
        </w:rPr>
        <w:t xml:space="preserve">зарегистрировано </w:t>
      </w:r>
      <w:r w:rsidR="008A573A">
        <w:rPr>
          <w:sz w:val="28"/>
          <w:szCs w:val="28"/>
        </w:rPr>
        <w:t>31</w:t>
      </w:r>
      <w:r w:rsidR="00811397">
        <w:rPr>
          <w:sz w:val="28"/>
          <w:szCs w:val="28"/>
        </w:rPr>
        <w:t>550</w:t>
      </w:r>
      <w:r w:rsidR="008A573A">
        <w:rPr>
          <w:sz w:val="28"/>
          <w:szCs w:val="28"/>
        </w:rPr>
        <w:t xml:space="preserve"> </w:t>
      </w:r>
      <w:r w:rsidRPr="004C28D5">
        <w:rPr>
          <w:sz w:val="28"/>
          <w:szCs w:val="28"/>
        </w:rPr>
        <w:t>СМСП</w:t>
      </w:r>
      <w:r w:rsidR="008A573A">
        <w:rPr>
          <w:sz w:val="28"/>
          <w:szCs w:val="28"/>
        </w:rPr>
        <w:t>, что на 3</w:t>
      </w:r>
      <w:r w:rsidR="00811397">
        <w:rPr>
          <w:sz w:val="28"/>
          <w:szCs w:val="28"/>
        </w:rPr>
        <w:t>5</w:t>
      </w:r>
      <w:r w:rsidR="008A573A">
        <w:rPr>
          <w:sz w:val="28"/>
          <w:szCs w:val="28"/>
        </w:rPr>
        <w:t xml:space="preserve"> ед</w:t>
      </w:r>
      <w:r w:rsidR="00811397">
        <w:rPr>
          <w:sz w:val="28"/>
          <w:szCs w:val="28"/>
        </w:rPr>
        <w:t>иниц</w:t>
      </w:r>
      <w:r w:rsidR="008A573A">
        <w:rPr>
          <w:sz w:val="28"/>
          <w:szCs w:val="28"/>
        </w:rPr>
        <w:t xml:space="preserve"> меньше, чем на начало 2021 года</w:t>
      </w:r>
      <w:r w:rsidRPr="004C28D5">
        <w:rPr>
          <w:sz w:val="28"/>
          <w:szCs w:val="28"/>
        </w:rPr>
        <w:t xml:space="preserve">. </w:t>
      </w:r>
    </w:p>
    <w:p w14:paraId="7141A944" w14:textId="07EE2A3B" w:rsidR="004C28D5" w:rsidRPr="004C28D5" w:rsidRDefault="004C28D5" w:rsidP="004C28D5">
      <w:pPr>
        <w:numPr>
          <w:ilvl w:val="0"/>
          <w:numId w:val="5"/>
        </w:numPr>
        <w:tabs>
          <w:tab w:val="left" w:pos="142"/>
          <w:tab w:val="left" w:pos="9720"/>
        </w:tabs>
        <w:suppressAutoHyphens w:val="0"/>
        <w:spacing w:line="276" w:lineRule="auto"/>
        <w:ind w:left="0" w:firstLine="709"/>
        <w:contextualSpacing/>
        <w:textAlignment w:val="top"/>
        <w:rPr>
          <w:sz w:val="28"/>
          <w:szCs w:val="28"/>
        </w:rPr>
      </w:pPr>
      <w:r w:rsidRPr="004C28D5">
        <w:rPr>
          <w:sz w:val="28"/>
          <w:szCs w:val="28"/>
        </w:rPr>
        <w:t xml:space="preserve">При этом </w:t>
      </w:r>
      <w:r w:rsidR="000779F0" w:rsidRPr="004C28D5">
        <w:rPr>
          <w:sz w:val="28"/>
          <w:szCs w:val="28"/>
        </w:rPr>
        <w:t xml:space="preserve">на </w:t>
      </w:r>
      <w:r w:rsidR="00811397">
        <w:rPr>
          <w:sz w:val="28"/>
          <w:szCs w:val="28"/>
        </w:rPr>
        <w:t>3,8</w:t>
      </w:r>
      <w:r w:rsidR="000779F0" w:rsidRPr="004C28D5">
        <w:rPr>
          <w:sz w:val="28"/>
          <w:szCs w:val="28"/>
        </w:rPr>
        <w:t>%</w:t>
      </w:r>
      <w:r w:rsidR="000779F0">
        <w:rPr>
          <w:sz w:val="28"/>
          <w:szCs w:val="28"/>
        </w:rPr>
        <w:t xml:space="preserve"> или на </w:t>
      </w:r>
      <w:r w:rsidR="00811397">
        <w:rPr>
          <w:sz w:val="28"/>
          <w:szCs w:val="28"/>
        </w:rPr>
        <w:t>711</w:t>
      </w:r>
      <w:r w:rsidR="000779F0">
        <w:rPr>
          <w:sz w:val="28"/>
          <w:szCs w:val="28"/>
        </w:rPr>
        <w:t xml:space="preserve"> ед. </w:t>
      </w:r>
      <w:r w:rsidRPr="004C28D5">
        <w:rPr>
          <w:sz w:val="28"/>
          <w:szCs w:val="28"/>
        </w:rPr>
        <w:t>сни</w:t>
      </w:r>
      <w:r w:rsidR="000779F0">
        <w:rPr>
          <w:sz w:val="28"/>
          <w:szCs w:val="28"/>
        </w:rPr>
        <w:t>зилось</w:t>
      </w:r>
      <w:r w:rsidRPr="004C28D5">
        <w:rPr>
          <w:sz w:val="28"/>
          <w:szCs w:val="28"/>
        </w:rPr>
        <w:t xml:space="preserve"> </w:t>
      </w:r>
      <w:r w:rsidR="000779F0">
        <w:rPr>
          <w:sz w:val="28"/>
          <w:szCs w:val="28"/>
        </w:rPr>
        <w:t>количество</w:t>
      </w:r>
      <w:r w:rsidRPr="004C28D5">
        <w:rPr>
          <w:sz w:val="28"/>
          <w:szCs w:val="28"/>
        </w:rPr>
        <w:t xml:space="preserve"> юридических лиц, относящихся к субъектам малого и среднего предпринимательства (</w:t>
      </w:r>
      <w:r w:rsidR="000779F0">
        <w:rPr>
          <w:sz w:val="28"/>
          <w:szCs w:val="28"/>
        </w:rPr>
        <w:t>с 18177 до 17</w:t>
      </w:r>
      <w:r w:rsidR="00811397">
        <w:rPr>
          <w:sz w:val="28"/>
          <w:szCs w:val="28"/>
        </w:rPr>
        <w:t>480</w:t>
      </w:r>
      <w:r w:rsidRPr="004C28D5">
        <w:rPr>
          <w:sz w:val="28"/>
          <w:szCs w:val="28"/>
        </w:rPr>
        <w:t xml:space="preserve">) и одновременно </w:t>
      </w:r>
      <w:r w:rsidR="000779F0" w:rsidRPr="004C28D5">
        <w:rPr>
          <w:sz w:val="28"/>
          <w:szCs w:val="28"/>
        </w:rPr>
        <w:t xml:space="preserve">на </w:t>
      </w:r>
      <w:r w:rsidR="00811397">
        <w:rPr>
          <w:sz w:val="28"/>
          <w:szCs w:val="28"/>
        </w:rPr>
        <w:t>4,9</w:t>
      </w:r>
      <w:r w:rsidR="000779F0" w:rsidRPr="004C28D5">
        <w:rPr>
          <w:sz w:val="28"/>
          <w:szCs w:val="28"/>
        </w:rPr>
        <w:t>%</w:t>
      </w:r>
      <w:r w:rsidR="000779F0">
        <w:rPr>
          <w:sz w:val="28"/>
          <w:szCs w:val="28"/>
        </w:rPr>
        <w:t xml:space="preserve"> или на </w:t>
      </w:r>
      <w:r w:rsidR="00811397">
        <w:rPr>
          <w:sz w:val="28"/>
          <w:szCs w:val="28"/>
        </w:rPr>
        <w:t>688</w:t>
      </w:r>
      <w:r w:rsidR="000779F0">
        <w:rPr>
          <w:sz w:val="28"/>
          <w:szCs w:val="28"/>
        </w:rPr>
        <w:t xml:space="preserve"> человек выросло</w:t>
      </w:r>
      <w:r w:rsidRPr="004C28D5">
        <w:rPr>
          <w:sz w:val="28"/>
          <w:szCs w:val="28"/>
        </w:rPr>
        <w:t xml:space="preserve"> количеств</w:t>
      </w:r>
      <w:r w:rsidR="000779F0">
        <w:rPr>
          <w:sz w:val="28"/>
          <w:szCs w:val="28"/>
        </w:rPr>
        <w:t>о</w:t>
      </w:r>
      <w:r w:rsidRPr="004C28D5">
        <w:rPr>
          <w:sz w:val="28"/>
          <w:szCs w:val="28"/>
        </w:rPr>
        <w:t xml:space="preserve"> индивидуальных предпринимателей (</w:t>
      </w:r>
      <w:r w:rsidR="000779F0">
        <w:rPr>
          <w:sz w:val="28"/>
          <w:szCs w:val="28"/>
        </w:rPr>
        <w:t xml:space="preserve">с 13408 до </w:t>
      </w:r>
      <w:r w:rsidR="00811397">
        <w:rPr>
          <w:sz w:val="28"/>
          <w:szCs w:val="28"/>
        </w:rPr>
        <w:t>14070</w:t>
      </w:r>
      <w:r w:rsidRPr="004C28D5">
        <w:rPr>
          <w:sz w:val="28"/>
          <w:szCs w:val="28"/>
        </w:rPr>
        <w:t xml:space="preserve">), что </w:t>
      </w:r>
      <w:r w:rsidRPr="004C28D5">
        <w:rPr>
          <w:sz w:val="28"/>
          <w:szCs w:val="28"/>
        </w:rPr>
        <w:lastRenderedPageBreak/>
        <w:t xml:space="preserve">связано, в основном, с отменой с 01.01.2021 единого налога на вмененный доход (ЕНВД) и соответственно, переходом одной категории СМСП в другую. При этом количество плательщиков по патентной системе выросло с начала года в 4 раза и на сентябрь 2021 года  составило 6183. </w:t>
      </w:r>
    </w:p>
    <w:p w14:paraId="7F077948" w14:textId="1E88EEB4" w:rsidR="004C28D5" w:rsidRPr="004C28D5" w:rsidRDefault="004C28D5" w:rsidP="004C28D5">
      <w:pPr>
        <w:numPr>
          <w:ilvl w:val="0"/>
          <w:numId w:val="5"/>
        </w:numPr>
        <w:tabs>
          <w:tab w:val="left" w:pos="142"/>
          <w:tab w:val="left" w:pos="9720"/>
        </w:tabs>
        <w:suppressAutoHyphens w:val="0"/>
        <w:spacing w:line="276" w:lineRule="auto"/>
        <w:ind w:left="0" w:firstLine="709"/>
        <w:contextualSpacing/>
        <w:textAlignment w:val="top"/>
        <w:rPr>
          <w:sz w:val="28"/>
          <w:szCs w:val="28"/>
          <w:highlight w:val="yellow"/>
        </w:rPr>
      </w:pPr>
      <w:r w:rsidRPr="004C28D5">
        <w:rPr>
          <w:sz w:val="28"/>
          <w:szCs w:val="28"/>
        </w:rPr>
        <w:t>3</w:t>
      </w:r>
      <w:r w:rsidR="000779F0">
        <w:rPr>
          <w:sz w:val="28"/>
          <w:szCs w:val="28"/>
        </w:rPr>
        <w:t>6</w:t>
      </w:r>
      <w:r w:rsidRPr="004C28D5">
        <w:rPr>
          <w:sz w:val="28"/>
          <w:szCs w:val="28"/>
        </w:rPr>
        <w:t>% малых предприятий городского округа Тольятти заняты оптовой и розничной торговлей, ремонтом автотранспортных средств и мотоциклов</w:t>
      </w:r>
      <w:r w:rsidR="000779F0">
        <w:rPr>
          <w:sz w:val="28"/>
          <w:szCs w:val="28"/>
        </w:rPr>
        <w:t xml:space="preserve"> (11</w:t>
      </w:r>
      <w:r w:rsidR="00811397">
        <w:rPr>
          <w:sz w:val="28"/>
          <w:szCs w:val="28"/>
        </w:rPr>
        <w:t>,</w:t>
      </w:r>
      <w:r w:rsidR="00534E79">
        <w:rPr>
          <w:sz w:val="28"/>
          <w:szCs w:val="28"/>
        </w:rPr>
        <w:t>4</w:t>
      </w:r>
      <w:r w:rsidR="000779F0">
        <w:rPr>
          <w:sz w:val="28"/>
          <w:szCs w:val="28"/>
        </w:rPr>
        <w:t xml:space="preserve"> </w:t>
      </w:r>
      <w:r w:rsidR="00811397">
        <w:rPr>
          <w:sz w:val="28"/>
          <w:szCs w:val="28"/>
        </w:rPr>
        <w:t xml:space="preserve">тыс. </w:t>
      </w:r>
      <w:r w:rsidR="000779F0">
        <w:rPr>
          <w:sz w:val="28"/>
          <w:szCs w:val="28"/>
        </w:rPr>
        <w:t>ед.)</w:t>
      </w:r>
      <w:r w:rsidRPr="004C28D5">
        <w:rPr>
          <w:sz w:val="28"/>
          <w:szCs w:val="28"/>
        </w:rPr>
        <w:t xml:space="preserve">. Привлекательность данной отрасли обусловлена высокой оборачиваемостью капитала и низкими расходами на обслуживание бизнеса. </w:t>
      </w:r>
    </w:p>
    <w:p w14:paraId="5CC4A86E" w14:textId="454F3186" w:rsidR="004C28D5" w:rsidRDefault="004C28D5" w:rsidP="00295875">
      <w:pPr>
        <w:numPr>
          <w:ilvl w:val="0"/>
          <w:numId w:val="5"/>
        </w:numPr>
        <w:tabs>
          <w:tab w:val="left" w:pos="142"/>
          <w:tab w:val="left" w:pos="9720"/>
        </w:tabs>
        <w:suppressAutoHyphens w:val="0"/>
        <w:spacing w:line="276" w:lineRule="auto"/>
        <w:ind w:left="0" w:firstLine="709"/>
        <w:contextualSpacing/>
        <w:textAlignment w:val="top"/>
        <w:rPr>
          <w:sz w:val="28"/>
          <w:szCs w:val="28"/>
        </w:rPr>
      </w:pPr>
      <w:r w:rsidRPr="004C28D5">
        <w:rPr>
          <w:sz w:val="28"/>
          <w:szCs w:val="28"/>
        </w:rPr>
        <w:t>По данным Реестра по состоянию на 10.</w:t>
      </w:r>
      <w:r w:rsidR="00811397">
        <w:rPr>
          <w:sz w:val="28"/>
          <w:szCs w:val="28"/>
        </w:rPr>
        <w:t>1</w:t>
      </w:r>
      <w:r w:rsidR="000779F0">
        <w:rPr>
          <w:sz w:val="28"/>
          <w:szCs w:val="28"/>
        </w:rPr>
        <w:t>0</w:t>
      </w:r>
      <w:r w:rsidRPr="004C28D5">
        <w:rPr>
          <w:sz w:val="28"/>
          <w:szCs w:val="28"/>
        </w:rPr>
        <w:t xml:space="preserve">.2021 среднесписочная численность  работников СМСП (без учета внешних совместителей, а также работающих у индивидуальных предпринимателей, «самозанятых» граждан) составила 75,4 тыс. человек, что на </w:t>
      </w:r>
      <w:r w:rsidR="00B8449F">
        <w:rPr>
          <w:sz w:val="28"/>
          <w:szCs w:val="28"/>
        </w:rPr>
        <w:t>5,2% (на 4,</w:t>
      </w:r>
      <w:r w:rsidR="00811397">
        <w:rPr>
          <w:sz w:val="28"/>
          <w:szCs w:val="28"/>
        </w:rPr>
        <w:t>0</w:t>
      </w:r>
      <w:r w:rsidR="00B8449F">
        <w:rPr>
          <w:sz w:val="28"/>
          <w:szCs w:val="28"/>
        </w:rPr>
        <w:t xml:space="preserve"> тыс. человек) </w:t>
      </w:r>
      <w:r w:rsidRPr="004C28D5">
        <w:rPr>
          <w:sz w:val="28"/>
          <w:szCs w:val="28"/>
        </w:rPr>
        <w:t xml:space="preserve">меньше 2020 года. </w:t>
      </w:r>
      <w:r w:rsidR="00B8449F">
        <w:rPr>
          <w:sz w:val="28"/>
          <w:szCs w:val="28"/>
        </w:rPr>
        <w:t>Следует отметить, что в Реестре не содержатся данные по внешним совместителям, а также работающим у индивидуальных предпринимателей гражданам и «самозанятым «гражданам».</w:t>
      </w:r>
    </w:p>
    <w:p w14:paraId="0A2BAEC9" w14:textId="6F6DD85D" w:rsidR="00D450BE" w:rsidRPr="004C28D5" w:rsidRDefault="00295875" w:rsidP="00295875">
      <w:pPr>
        <w:spacing w:line="276" w:lineRule="auto"/>
        <w:ind w:firstLine="708"/>
        <w:rPr>
          <w:sz w:val="28"/>
          <w:szCs w:val="28"/>
        </w:rPr>
      </w:pPr>
      <w:r>
        <w:rPr>
          <w:sz w:val="28"/>
          <w:szCs w:val="28"/>
        </w:rPr>
        <w:t>Следует отметить, что сплошное федеральное статистическое наблюдение за деятельностью СМСП</w:t>
      </w:r>
      <w:r w:rsidR="00132EE4">
        <w:rPr>
          <w:sz w:val="28"/>
          <w:szCs w:val="28"/>
        </w:rPr>
        <w:t xml:space="preserve">, которое позволяет охватить мониторингом все категории СМСП, </w:t>
      </w:r>
      <w:r w:rsidR="00D450BE" w:rsidRPr="00D450BE">
        <w:rPr>
          <w:sz w:val="28"/>
          <w:szCs w:val="28"/>
        </w:rPr>
        <w:t>предусмотрен</w:t>
      </w:r>
      <w:r>
        <w:rPr>
          <w:sz w:val="28"/>
          <w:szCs w:val="28"/>
        </w:rPr>
        <w:t>о</w:t>
      </w:r>
      <w:r w:rsidR="00D450BE" w:rsidRPr="00D450BE">
        <w:rPr>
          <w:sz w:val="28"/>
          <w:szCs w:val="28"/>
        </w:rPr>
        <w:t xml:space="preserve"> законодательством 1 раз в 5 лет. </w:t>
      </w:r>
      <w:r w:rsidRPr="00295875">
        <w:rPr>
          <w:sz w:val="28"/>
          <w:szCs w:val="28"/>
          <w:lang w:eastAsia="ru-RU"/>
        </w:rPr>
        <w:t>В первом полугодии 2021 года Росстат</w:t>
      </w:r>
      <w:r>
        <w:rPr>
          <w:sz w:val="28"/>
          <w:szCs w:val="28"/>
          <w:lang w:eastAsia="ru-RU"/>
        </w:rPr>
        <w:t>ом</w:t>
      </w:r>
      <w:r w:rsidRPr="00295875">
        <w:rPr>
          <w:sz w:val="28"/>
          <w:szCs w:val="28"/>
          <w:lang w:eastAsia="ru-RU"/>
        </w:rPr>
        <w:t xml:space="preserve"> проведе</w:t>
      </w:r>
      <w:r>
        <w:rPr>
          <w:sz w:val="28"/>
          <w:szCs w:val="28"/>
          <w:lang w:eastAsia="ru-RU"/>
        </w:rPr>
        <w:t>на</w:t>
      </w:r>
      <w:r w:rsidRPr="00295875">
        <w:rPr>
          <w:sz w:val="28"/>
          <w:szCs w:val="28"/>
          <w:lang w:eastAsia="ru-RU"/>
        </w:rPr>
        <w:t xml:space="preserve"> </w:t>
      </w:r>
      <w:r>
        <w:rPr>
          <w:sz w:val="28"/>
          <w:szCs w:val="28"/>
          <w:lang w:eastAsia="ru-RU"/>
        </w:rPr>
        <w:t xml:space="preserve">очередная </w:t>
      </w:r>
      <w:r w:rsidRPr="00295875">
        <w:rPr>
          <w:color w:val="000000"/>
          <w:sz w:val="28"/>
          <w:szCs w:val="28"/>
          <w:lang w:eastAsia="ru-RU"/>
        </w:rPr>
        <w:t>экономическую перепись малого бизнеса</w:t>
      </w:r>
      <w:r>
        <w:rPr>
          <w:color w:val="000000"/>
          <w:sz w:val="28"/>
          <w:szCs w:val="28"/>
          <w:lang w:eastAsia="ru-RU"/>
        </w:rPr>
        <w:t xml:space="preserve"> за 2020 год, п</w:t>
      </w:r>
      <w:r w:rsidR="00D450BE" w:rsidRPr="00D450BE">
        <w:rPr>
          <w:sz w:val="28"/>
          <w:szCs w:val="28"/>
        </w:rPr>
        <w:t xml:space="preserve">ри этом </w:t>
      </w:r>
      <w:r w:rsidR="00143143">
        <w:rPr>
          <w:sz w:val="28"/>
          <w:szCs w:val="28"/>
        </w:rPr>
        <w:t xml:space="preserve">предварительные итоги данного обследования будут </w:t>
      </w:r>
      <w:r w:rsidR="00143143">
        <w:rPr>
          <w:sz w:val="28"/>
          <w:szCs w:val="28"/>
        </w:rPr>
        <w:t>подведены</w:t>
      </w:r>
      <w:r w:rsidR="00143143">
        <w:rPr>
          <w:sz w:val="28"/>
          <w:szCs w:val="28"/>
        </w:rPr>
        <w:t xml:space="preserve"> Росстатом в декабре 2021 года, а </w:t>
      </w:r>
      <w:r w:rsidR="00D450BE" w:rsidRPr="00D450BE">
        <w:rPr>
          <w:sz w:val="28"/>
          <w:szCs w:val="28"/>
        </w:rPr>
        <w:t xml:space="preserve">окончательные итоги </w:t>
      </w:r>
      <w:r w:rsidR="00385123">
        <w:rPr>
          <w:sz w:val="28"/>
          <w:szCs w:val="28"/>
        </w:rPr>
        <w:t xml:space="preserve">будут </w:t>
      </w:r>
      <w:r w:rsidR="00143143">
        <w:rPr>
          <w:sz w:val="28"/>
          <w:szCs w:val="28"/>
        </w:rPr>
        <w:t>опубликованы</w:t>
      </w:r>
      <w:r w:rsidR="00D450BE" w:rsidRPr="00D450BE">
        <w:rPr>
          <w:sz w:val="28"/>
          <w:szCs w:val="28"/>
        </w:rPr>
        <w:t xml:space="preserve"> </w:t>
      </w:r>
      <w:r w:rsidR="00143143">
        <w:rPr>
          <w:sz w:val="28"/>
          <w:szCs w:val="28"/>
        </w:rPr>
        <w:t>в первой половине</w:t>
      </w:r>
      <w:r w:rsidR="00D450BE" w:rsidRPr="00D450BE">
        <w:rPr>
          <w:sz w:val="28"/>
          <w:szCs w:val="28"/>
        </w:rPr>
        <w:t xml:space="preserve"> </w:t>
      </w:r>
      <w:r w:rsidR="00BF2A06">
        <w:rPr>
          <w:sz w:val="28"/>
          <w:szCs w:val="28"/>
        </w:rPr>
        <w:t>2022 года.</w:t>
      </w:r>
    </w:p>
    <w:p w14:paraId="7F7E65BD" w14:textId="0F1A921B" w:rsidR="004C28D5" w:rsidRPr="004C28D5" w:rsidRDefault="00B8449F" w:rsidP="00295875">
      <w:pPr>
        <w:numPr>
          <w:ilvl w:val="0"/>
          <w:numId w:val="5"/>
        </w:numPr>
        <w:tabs>
          <w:tab w:val="left" w:pos="142"/>
          <w:tab w:val="left" w:pos="9720"/>
        </w:tabs>
        <w:suppressAutoHyphens w:val="0"/>
        <w:spacing w:line="276" w:lineRule="auto"/>
        <w:ind w:left="0" w:firstLine="709"/>
        <w:contextualSpacing/>
        <w:textAlignment w:val="top"/>
        <w:rPr>
          <w:sz w:val="28"/>
          <w:szCs w:val="28"/>
        </w:rPr>
      </w:pPr>
      <w:r>
        <w:rPr>
          <w:sz w:val="28"/>
          <w:szCs w:val="28"/>
        </w:rPr>
        <w:t>В настоящее время а</w:t>
      </w:r>
      <w:r w:rsidR="004C28D5" w:rsidRPr="004C28D5">
        <w:rPr>
          <w:sz w:val="28"/>
          <w:szCs w:val="28"/>
        </w:rPr>
        <w:t xml:space="preserve">ктивно развивается новая форма предпринимательства – «самозанятые». </w:t>
      </w:r>
      <w:r w:rsidR="005205C0">
        <w:rPr>
          <w:sz w:val="28"/>
          <w:szCs w:val="28"/>
        </w:rPr>
        <w:t xml:space="preserve">По данным налоговых органов </w:t>
      </w:r>
      <w:r w:rsidR="004C28D5" w:rsidRPr="004C28D5">
        <w:rPr>
          <w:sz w:val="28"/>
          <w:szCs w:val="28"/>
        </w:rPr>
        <w:t xml:space="preserve">Количество самозанятых граждан, зафиксировавших свой статус и применяющих налоговый режим «Налог на профессиональный доход», зарегистрированных на территории городского округа Тольятти, выросло с начала года на </w:t>
      </w:r>
      <w:r>
        <w:rPr>
          <w:sz w:val="28"/>
          <w:szCs w:val="28"/>
        </w:rPr>
        <w:t>5720</w:t>
      </w:r>
      <w:r w:rsidR="004C28D5" w:rsidRPr="004C28D5">
        <w:rPr>
          <w:sz w:val="28"/>
          <w:szCs w:val="28"/>
        </w:rPr>
        <w:t xml:space="preserve"> человек и по состоянию на 01.07.2021 составило  15410 человек (по состоянию на конец 2020 года - 9690 человек, на 01.10.2021 - </w:t>
      </w:r>
      <w:r w:rsidR="00312B3A" w:rsidRPr="00312B3A">
        <w:rPr>
          <w:sz w:val="28"/>
          <w:szCs w:val="28"/>
        </w:rPr>
        <w:t>18540</w:t>
      </w:r>
      <w:r w:rsidR="004C28D5" w:rsidRPr="004C28D5">
        <w:rPr>
          <w:sz w:val="28"/>
          <w:szCs w:val="28"/>
        </w:rPr>
        <w:t xml:space="preserve"> человек, и это 25% от всех «самозанятых» области (2 место после Самары).</w:t>
      </w:r>
    </w:p>
    <w:p w14:paraId="2F120570" w14:textId="6F97F1C5" w:rsidR="004C28D5" w:rsidRPr="004C28D5" w:rsidRDefault="004C28D5" w:rsidP="004C28D5">
      <w:pPr>
        <w:numPr>
          <w:ilvl w:val="0"/>
          <w:numId w:val="5"/>
        </w:numPr>
        <w:tabs>
          <w:tab w:val="left" w:pos="142"/>
          <w:tab w:val="left" w:pos="9720"/>
        </w:tabs>
        <w:suppressAutoHyphens w:val="0"/>
        <w:spacing w:line="276" w:lineRule="auto"/>
        <w:ind w:left="0" w:firstLine="709"/>
        <w:contextualSpacing/>
        <w:textAlignment w:val="top"/>
        <w:rPr>
          <w:sz w:val="28"/>
          <w:szCs w:val="28"/>
        </w:rPr>
      </w:pPr>
      <w:r w:rsidRPr="004C28D5">
        <w:rPr>
          <w:sz w:val="28"/>
          <w:szCs w:val="28"/>
        </w:rPr>
        <w:t xml:space="preserve">За </w:t>
      </w:r>
      <w:r w:rsidR="00B81A11">
        <w:rPr>
          <w:sz w:val="28"/>
          <w:szCs w:val="28"/>
          <w:lang w:val="en-US"/>
        </w:rPr>
        <w:t>I</w:t>
      </w:r>
      <w:r w:rsidRPr="004C28D5">
        <w:rPr>
          <w:sz w:val="28"/>
          <w:szCs w:val="28"/>
        </w:rPr>
        <w:t xml:space="preserve"> полугодие 2021 года поступления в бюджеты всех уровней налогов от субъектов малого и среднего предпринимательства (1 231,4 млн. руб</w:t>
      </w:r>
      <w:r w:rsidR="00B8449F">
        <w:rPr>
          <w:sz w:val="28"/>
          <w:szCs w:val="28"/>
        </w:rPr>
        <w:t>лей</w:t>
      </w:r>
      <w:r w:rsidRPr="004C28D5">
        <w:rPr>
          <w:sz w:val="28"/>
          <w:szCs w:val="28"/>
        </w:rPr>
        <w:t>) увеличились на 45,8% к уровню января-июня 2020 года, в том числе в местный бюджет - на 45,8% до 216,6 млн. руб</w:t>
      </w:r>
      <w:r w:rsidR="00B8449F">
        <w:rPr>
          <w:sz w:val="28"/>
          <w:szCs w:val="28"/>
        </w:rPr>
        <w:t>лей</w:t>
      </w:r>
      <w:r w:rsidRPr="004C28D5">
        <w:rPr>
          <w:sz w:val="28"/>
          <w:szCs w:val="28"/>
        </w:rPr>
        <w:t>, в основном, за счёт роста количества налогоплательщиков по УСН в связи с отменой ЕНВД с 01.01.2021, а также в связи с увеличением единого норматива отчислений налога по УСН в местные бюджеты на 2021-2023 годы с 4% до 23%.</w:t>
      </w:r>
    </w:p>
    <w:p w14:paraId="6167643D" w14:textId="4689AD00" w:rsidR="004C28D5" w:rsidRPr="00803B29" w:rsidRDefault="004C28D5" w:rsidP="004C28D5">
      <w:pPr>
        <w:numPr>
          <w:ilvl w:val="0"/>
          <w:numId w:val="5"/>
        </w:numPr>
        <w:tabs>
          <w:tab w:val="left" w:pos="142"/>
          <w:tab w:val="left" w:pos="9720"/>
        </w:tabs>
        <w:suppressAutoHyphens w:val="0"/>
        <w:spacing w:line="276" w:lineRule="auto"/>
        <w:ind w:left="0" w:firstLine="709"/>
        <w:contextualSpacing/>
        <w:textAlignment w:val="top"/>
        <w:rPr>
          <w:sz w:val="28"/>
          <w:szCs w:val="28"/>
          <w:highlight w:val="yellow"/>
          <w:lang w:eastAsia="ru-RU"/>
        </w:rPr>
      </w:pPr>
      <w:r w:rsidRPr="004C28D5">
        <w:rPr>
          <w:sz w:val="28"/>
          <w:szCs w:val="28"/>
        </w:rPr>
        <w:lastRenderedPageBreak/>
        <w:t>На основании сложившейся динамики показателей количество малых предприятий городского округа Тольятти в 2021 году оценочно составит  31,</w:t>
      </w:r>
      <w:r w:rsidR="00811397">
        <w:rPr>
          <w:sz w:val="28"/>
          <w:szCs w:val="28"/>
        </w:rPr>
        <w:t>6</w:t>
      </w:r>
      <w:r w:rsidRPr="004C28D5">
        <w:rPr>
          <w:sz w:val="28"/>
          <w:szCs w:val="28"/>
        </w:rPr>
        <w:t xml:space="preserve"> тыс. единиц. Количество индивидуальных предпринимателей </w:t>
      </w:r>
      <w:r w:rsidR="00BC771F">
        <w:rPr>
          <w:sz w:val="28"/>
          <w:szCs w:val="28"/>
        </w:rPr>
        <w:t>увеличится до</w:t>
      </w:r>
      <w:r w:rsidRPr="004C28D5">
        <w:rPr>
          <w:sz w:val="28"/>
          <w:szCs w:val="28"/>
        </w:rPr>
        <w:t xml:space="preserve"> </w:t>
      </w:r>
      <w:r w:rsidR="00F61B94">
        <w:rPr>
          <w:sz w:val="28"/>
          <w:szCs w:val="28"/>
        </w:rPr>
        <w:t>14,</w:t>
      </w:r>
      <w:r w:rsidR="00BC771F">
        <w:rPr>
          <w:sz w:val="28"/>
          <w:szCs w:val="28"/>
        </w:rPr>
        <w:t>2</w:t>
      </w:r>
      <w:r w:rsidRPr="004C28D5">
        <w:rPr>
          <w:sz w:val="28"/>
          <w:szCs w:val="28"/>
        </w:rPr>
        <w:t xml:space="preserve"> тыс. человек. Среднесписочная численность  работников СМСП (без учета внешних совместителей, а также работающих у индивидуальных предпринимателей, «самозанятых» граждан)</w:t>
      </w:r>
      <w:r w:rsidR="00BC771F">
        <w:rPr>
          <w:sz w:val="28"/>
          <w:szCs w:val="28"/>
        </w:rPr>
        <w:t xml:space="preserve"> также увеличится и</w:t>
      </w:r>
      <w:r w:rsidRPr="004C28D5">
        <w:rPr>
          <w:sz w:val="28"/>
          <w:szCs w:val="28"/>
        </w:rPr>
        <w:t xml:space="preserve"> оценивается на уровне </w:t>
      </w:r>
      <w:r w:rsidR="00BC771F">
        <w:rPr>
          <w:sz w:val="28"/>
          <w:szCs w:val="28"/>
        </w:rPr>
        <w:t>80</w:t>
      </w:r>
      <w:r w:rsidR="00F61B94">
        <w:rPr>
          <w:sz w:val="28"/>
          <w:szCs w:val="28"/>
        </w:rPr>
        <w:t>,</w:t>
      </w:r>
      <w:r w:rsidR="00C15A39">
        <w:rPr>
          <w:sz w:val="28"/>
          <w:szCs w:val="28"/>
        </w:rPr>
        <w:t>2</w:t>
      </w:r>
      <w:r w:rsidRPr="004C28D5">
        <w:rPr>
          <w:sz w:val="28"/>
          <w:szCs w:val="28"/>
        </w:rPr>
        <w:t xml:space="preserve"> тыс. человек</w:t>
      </w:r>
      <w:r w:rsidR="00BC771F">
        <w:rPr>
          <w:sz w:val="28"/>
          <w:szCs w:val="28"/>
        </w:rPr>
        <w:t xml:space="preserve"> за счет создания новых рабочих мест у резидентов ТОСЭР «Тольятти» и ОЭЗ ППТ «Тольятти», относящихся к СМСП</w:t>
      </w:r>
      <w:r w:rsidRPr="004C28D5">
        <w:rPr>
          <w:sz w:val="28"/>
          <w:szCs w:val="28"/>
        </w:rPr>
        <w:t xml:space="preserve">. </w:t>
      </w:r>
    </w:p>
    <w:bookmarkEnd w:id="2"/>
    <w:p w14:paraId="24F58B2D" w14:textId="51286564" w:rsidR="004C28D5" w:rsidRPr="004C28D5" w:rsidRDefault="004C28D5" w:rsidP="004C28D5">
      <w:pPr>
        <w:spacing w:line="276" w:lineRule="auto"/>
        <w:ind w:firstLine="0"/>
        <w:jc w:val="center"/>
        <w:rPr>
          <w:sz w:val="28"/>
          <w:szCs w:val="28"/>
        </w:rPr>
      </w:pPr>
      <w:r w:rsidRPr="004C28D5">
        <w:rPr>
          <w:sz w:val="28"/>
          <w:szCs w:val="28"/>
        </w:rPr>
        <w:t xml:space="preserve">Ожидаемое выполнение прогнозного показателя по разделу </w:t>
      </w:r>
    </w:p>
    <w:p w14:paraId="7AE90BDF" w14:textId="77777777" w:rsidR="004C28D5" w:rsidRPr="004C28D5" w:rsidRDefault="004C28D5" w:rsidP="004C28D5">
      <w:pPr>
        <w:spacing w:line="276" w:lineRule="auto"/>
        <w:ind w:firstLine="0"/>
        <w:jc w:val="center"/>
        <w:rPr>
          <w:sz w:val="28"/>
          <w:szCs w:val="28"/>
        </w:rPr>
      </w:pPr>
      <w:r w:rsidRPr="004C28D5">
        <w:rPr>
          <w:sz w:val="28"/>
          <w:szCs w:val="28"/>
        </w:rPr>
        <w:t>«Малое и среднее предпринимательство» на 2021 год</w:t>
      </w:r>
    </w:p>
    <w:tbl>
      <w:tblPr>
        <w:tblW w:w="9356" w:type="dxa"/>
        <w:tblInd w:w="108" w:type="dxa"/>
        <w:tblLayout w:type="fixed"/>
        <w:tblLook w:val="0000" w:firstRow="0" w:lastRow="0" w:firstColumn="0" w:lastColumn="0" w:noHBand="0" w:noVBand="0"/>
      </w:tblPr>
      <w:tblGrid>
        <w:gridCol w:w="2693"/>
        <w:gridCol w:w="1560"/>
        <w:gridCol w:w="1843"/>
        <w:gridCol w:w="1559"/>
        <w:gridCol w:w="1701"/>
      </w:tblGrid>
      <w:tr w:rsidR="004C28D5" w:rsidRPr="004C28D5" w14:paraId="275E27DD" w14:textId="77777777" w:rsidTr="000D1764">
        <w:tc>
          <w:tcPr>
            <w:tcW w:w="2693" w:type="dxa"/>
            <w:vMerge w:val="restart"/>
            <w:tcBorders>
              <w:top w:val="single" w:sz="4" w:space="0" w:color="000000"/>
              <w:left w:val="single" w:sz="4" w:space="0" w:color="000000"/>
              <w:bottom w:val="single" w:sz="4" w:space="0" w:color="000000"/>
            </w:tcBorders>
            <w:shd w:val="clear" w:color="auto" w:fill="auto"/>
            <w:vAlign w:val="center"/>
          </w:tcPr>
          <w:p w14:paraId="1E3DBC26" w14:textId="77777777" w:rsidR="004C28D5" w:rsidRPr="004C28D5" w:rsidRDefault="004C28D5" w:rsidP="004C28D5">
            <w:pPr>
              <w:snapToGrid w:val="0"/>
              <w:ind w:firstLine="0"/>
              <w:jc w:val="center"/>
              <w:rPr>
                <w:sz w:val="28"/>
                <w:szCs w:val="28"/>
              </w:rPr>
            </w:pPr>
          </w:p>
          <w:p w14:paraId="4167C0CA" w14:textId="77777777" w:rsidR="004C28D5" w:rsidRPr="004C28D5" w:rsidRDefault="004C28D5" w:rsidP="004C28D5">
            <w:pPr>
              <w:ind w:firstLine="0"/>
              <w:jc w:val="center"/>
              <w:rPr>
                <w:sz w:val="28"/>
                <w:szCs w:val="28"/>
              </w:rPr>
            </w:pPr>
            <w:r w:rsidRPr="004C28D5">
              <w:rPr>
                <w:sz w:val="28"/>
                <w:szCs w:val="28"/>
              </w:rPr>
              <w:t>Показатели</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14:paraId="445BEE0F" w14:textId="77777777" w:rsidR="004C28D5" w:rsidRPr="004C28D5" w:rsidRDefault="004C28D5" w:rsidP="004C28D5">
            <w:pPr>
              <w:ind w:firstLine="0"/>
              <w:jc w:val="center"/>
              <w:rPr>
                <w:sz w:val="28"/>
                <w:szCs w:val="28"/>
              </w:rPr>
            </w:pPr>
            <w:r w:rsidRPr="004C28D5">
              <w:rPr>
                <w:sz w:val="28"/>
                <w:szCs w:val="28"/>
              </w:rPr>
              <w:t>Единица измерения</w:t>
            </w:r>
          </w:p>
        </w:tc>
        <w:tc>
          <w:tcPr>
            <w:tcW w:w="3402" w:type="dxa"/>
            <w:gridSpan w:val="2"/>
            <w:tcBorders>
              <w:top w:val="single" w:sz="4" w:space="0" w:color="000000"/>
              <w:left w:val="single" w:sz="4" w:space="0" w:color="000000"/>
              <w:bottom w:val="single" w:sz="4" w:space="0" w:color="000000"/>
            </w:tcBorders>
            <w:shd w:val="clear" w:color="auto" w:fill="auto"/>
            <w:vAlign w:val="center"/>
          </w:tcPr>
          <w:p w14:paraId="15C885C6" w14:textId="77777777" w:rsidR="004C28D5" w:rsidRPr="004C28D5" w:rsidRDefault="004C28D5" w:rsidP="004C28D5">
            <w:pPr>
              <w:ind w:firstLine="0"/>
              <w:jc w:val="center"/>
              <w:rPr>
                <w:sz w:val="28"/>
                <w:szCs w:val="28"/>
              </w:rPr>
            </w:pPr>
            <w:r w:rsidRPr="004C28D5">
              <w:rPr>
                <w:sz w:val="28"/>
                <w:szCs w:val="28"/>
              </w:rPr>
              <w:t>Прогноз на 2021 год</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8C0CBFB" w14:textId="77777777" w:rsidR="004C28D5" w:rsidRPr="004C28D5" w:rsidRDefault="004C28D5" w:rsidP="004C28D5">
            <w:pPr>
              <w:ind w:firstLine="0"/>
              <w:jc w:val="center"/>
              <w:rPr>
                <w:sz w:val="28"/>
                <w:szCs w:val="28"/>
              </w:rPr>
            </w:pPr>
            <w:r w:rsidRPr="004C28D5">
              <w:rPr>
                <w:sz w:val="28"/>
                <w:szCs w:val="28"/>
              </w:rPr>
              <w:t>2021 год (оценка)</w:t>
            </w:r>
          </w:p>
        </w:tc>
      </w:tr>
      <w:tr w:rsidR="004C28D5" w:rsidRPr="004C28D5" w14:paraId="33602669" w14:textId="77777777" w:rsidTr="000D1764">
        <w:trPr>
          <w:trHeight w:val="249"/>
        </w:trPr>
        <w:tc>
          <w:tcPr>
            <w:tcW w:w="2693" w:type="dxa"/>
            <w:vMerge/>
            <w:tcBorders>
              <w:top w:val="single" w:sz="4" w:space="0" w:color="000000"/>
              <w:left w:val="single" w:sz="4" w:space="0" w:color="000000"/>
              <w:bottom w:val="single" w:sz="4" w:space="0" w:color="000000"/>
            </w:tcBorders>
            <w:shd w:val="clear" w:color="auto" w:fill="auto"/>
          </w:tcPr>
          <w:p w14:paraId="622C0E4B" w14:textId="77777777" w:rsidR="004C28D5" w:rsidRPr="004C28D5" w:rsidRDefault="004C28D5" w:rsidP="004C28D5">
            <w:pPr>
              <w:snapToGrid w:val="0"/>
              <w:ind w:firstLine="0"/>
              <w:jc w:val="center"/>
              <w:rPr>
                <w:sz w:val="28"/>
                <w:szCs w:val="28"/>
              </w:rPr>
            </w:pPr>
          </w:p>
        </w:tc>
        <w:tc>
          <w:tcPr>
            <w:tcW w:w="1560" w:type="dxa"/>
            <w:vMerge/>
            <w:tcBorders>
              <w:top w:val="single" w:sz="4" w:space="0" w:color="000000"/>
              <w:left w:val="single" w:sz="4" w:space="0" w:color="000000"/>
              <w:bottom w:val="single" w:sz="4" w:space="0" w:color="000000"/>
            </w:tcBorders>
            <w:shd w:val="clear" w:color="auto" w:fill="auto"/>
          </w:tcPr>
          <w:p w14:paraId="4F2D3840" w14:textId="77777777" w:rsidR="004C28D5" w:rsidRPr="004C28D5" w:rsidRDefault="004C28D5" w:rsidP="004C28D5">
            <w:pPr>
              <w:snapToGrid w:val="0"/>
              <w:ind w:firstLine="0"/>
              <w:jc w:val="center"/>
              <w:rPr>
                <w:sz w:val="28"/>
                <w:szCs w:val="28"/>
              </w:rPr>
            </w:pPr>
          </w:p>
        </w:tc>
        <w:tc>
          <w:tcPr>
            <w:tcW w:w="1843" w:type="dxa"/>
            <w:tcBorders>
              <w:top w:val="single" w:sz="4" w:space="0" w:color="000000"/>
              <w:left w:val="single" w:sz="4" w:space="0" w:color="000000"/>
              <w:bottom w:val="single" w:sz="4" w:space="0" w:color="000000"/>
            </w:tcBorders>
            <w:vAlign w:val="center"/>
          </w:tcPr>
          <w:p w14:paraId="14D3C366" w14:textId="77777777" w:rsidR="004C28D5" w:rsidRPr="004C28D5" w:rsidRDefault="004C28D5" w:rsidP="004C28D5">
            <w:pPr>
              <w:ind w:firstLine="0"/>
              <w:jc w:val="center"/>
              <w:rPr>
                <w:sz w:val="28"/>
                <w:szCs w:val="28"/>
              </w:rPr>
            </w:pPr>
            <w:r w:rsidRPr="004C28D5">
              <w:rPr>
                <w:sz w:val="28"/>
                <w:szCs w:val="28"/>
              </w:rPr>
              <w:t>1 вариант (консерва</w:t>
            </w:r>
          </w:p>
          <w:p w14:paraId="1AFBD2DC" w14:textId="77777777" w:rsidR="004C28D5" w:rsidRPr="004C28D5" w:rsidRDefault="004C28D5" w:rsidP="004C28D5">
            <w:pPr>
              <w:ind w:firstLine="0"/>
              <w:jc w:val="center"/>
              <w:rPr>
                <w:sz w:val="28"/>
                <w:szCs w:val="28"/>
              </w:rPr>
            </w:pPr>
            <w:proofErr w:type="spellStart"/>
            <w:r w:rsidRPr="004C28D5">
              <w:rPr>
                <w:sz w:val="28"/>
                <w:szCs w:val="28"/>
              </w:rPr>
              <w:t>тивный</w:t>
            </w:r>
            <w:proofErr w:type="spellEnd"/>
            <w:r w:rsidRPr="004C28D5">
              <w:rPr>
                <w:sz w:val="28"/>
                <w:szCs w:val="28"/>
              </w:rPr>
              <w:t>)</w:t>
            </w:r>
          </w:p>
        </w:tc>
        <w:tc>
          <w:tcPr>
            <w:tcW w:w="1559" w:type="dxa"/>
            <w:tcBorders>
              <w:top w:val="single" w:sz="4" w:space="0" w:color="000000"/>
              <w:left w:val="single" w:sz="4" w:space="0" w:color="000000"/>
              <w:bottom w:val="single" w:sz="4" w:space="0" w:color="000000"/>
            </w:tcBorders>
            <w:vAlign w:val="center"/>
          </w:tcPr>
          <w:p w14:paraId="49D4FB3E" w14:textId="77777777" w:rsidR="004C28D5" w:rsidRPr="004C28D5" w:rsidRDefault="004C28D5" w:rsidP="004C28D5">
            <w:pPr>
              <w:ind w:firstLine="0"/>
              <w:jc w:val="center"/>
              <w:rPr>
                <w:sz w:val="28"/>
                <w:szCs w:val="28"/>
              </w:rPr>
            </w:pPr>
            <w:r w:rsidRPr="004C28D5">
              <w:rPr>
                <w:sz w:val="28"/>
                <w:szCs w:val="28"/>
              </w:rPr>
              <w:t>2 вариант</w:t>
            </w:r>
          </w:p>
          <w:p w14:paraId="0AB751A5" w14:textId="77777777" w:rsidR="004C28D5" w:rsidRPr="004C28D5" w:rsidRDefault="004C28D5" w:rsidP="004C28D5">
            <w:pPr>
              <w:ind w:firstLine="0"/>
              <w:jc w:val="center"/>
              <w:rPr>
                <w:sz w:val="28"/>
                <w:szCs w:val="28"/>
              </w:rPr>
            </w:pPr>
            <w:r w:rsidRPr="004C28D5">
              <w:rPr>
                <w:sz w:val="28"/>
                <w:szCs w:val="28"/>
              </w:rPr>
              <w:t>(базовый)</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35C3CB6F" w14:textId="77777777" w:rsidR="004C28D5" w:rsidRPr="004C28D5" w:rsidRDefault="004C28D5" w:rsidP="004C28D5">
            <w:pPr>
              <w:snapToGrid w:val="0"/>
              <w:ind w:firstLine="0"/>
              <w:jc w:val="center"/>
              <w:rPr>
                <w:sz w:val="28"/>
                <w:szCs w:val="28"/>
              </w:rPr>
            </w:pPr>
          </w:p>
        </w:tc>
      </w:tr>
      <w:tr w:rsidR="004C28D5" w:rsidRPr="004C28D5" w14:paraId="67A9048F" w14:textId="77777777" w:rsidTr="000D1764">
        <w:tc>
          <w:tcPr>
            <w:tcW w:w="2693" w:type="dxa"/>
            <w:tcBorders>
              <w:top w:val="single" w:sz="4" w:space="0" w:color="000000"/>
              <w:left w:val="single" w:sz="4" w:space="0" w:color="000000"/>
              <w:bottom w:val="single" w:sz="4" w:space="0" w:color="000000"/>
            </w:tcBorders>
            <w:shd w:val="clear" w:color="auto" w:fill="auto"/>
          </w:tcPr>
          <w:p w14:paraId="0AAE4FC2" w14:textId="77777777" w:rsidR="004C28D5" w:rsidRPr="004C28D5" w:rsidRDefault="004C28D5" w:rsidP="004C28D5">
            <w:pPr>
              <w:ind w:firstLine="0"/>
              <w:rPr>
                <w:sz w:val="28"/>
                <w:szCs w:val="28"/>
              </w:rPr>
            </w:pPr>
            <w:r w:rsidRPr="004C28D5">
              <w:rPr>
                <w:sz w:val="28"/>
                <w:szCs w:val="28"/>
              </w:rPr>
              <w:t>Количество субъектов малого и среднего предпринимательства</w:t>
            </w:r>
          </w:p>
        </w:tc>
        <w:tc>
          <w:tcPr>
            <w:tcW w:w="1560" w:type="dxa"/>
            <w:tcBorders>
              <w:top w:val="single" w:sz="4" w:space="0" w:color="000000"/>
              <w:left w:val="single" w:sz="4" w:space="0" w:color="000000"/>
              <w:bottom w:val="single" w:sz="4" w:space="0" w:color="000000"/>
            </w:tcBorders>
            <w:shd w:val="clear" w:color="auto" w:fill="auto"/>
            <w:vAlign w:val="center"/>
          </w:tcPr>
          <w:p w14:paraId="5C366F23" w14:textId="77777777" w:rsidR="004C28D5" w:rsidRPr="004C28D5" w:rsidRDefault="004C28D5" w:rsidP="004C28D5">
            <w:pPr>
              <w:ind w:firstLine="0"/>
              <w:jc w:val="center"/>
              <w:rPr>
                <w:sz w:val="28"/>
                <w:szCs w:val="28"/>
              </w:rPr>
            </w:pPr>
            <w:r w:rsidRPr="004C28D5">
              <w:rPr>
                <w:sz w:val="28"/>
                <w:szCs w:val="28"/>
              </w:rPr>
              <w:t>тыс. единиц</w:t>
            </w:r>
          </w:p>
        </w:tc>
        <w:tc>
          <w:tcPr>
            <w:tcW w:w="1843" w:type="dxa"/>
            <w:tcBorders>
              <w:top w:val="single" w:sz="4" w:space="0" w:color="000000"/>
              <w:left w:val="single" w:sz="4" w:space="0" w:color="000000"/>
              <w:bottom w:val="single" w:sz="4" w:space="0" w:color="000000"/>
            </w:tcBorders>
            <w:shd w:val="clear" w:color="auto" w:fill="auto"/>
            <w:vAlign w:val="center"/>
          </w:tcPr>
          <w:p w14:paraId="2F526B41" w14:textId="77777777" w:rsidR="004C28D5" w:rsidRPr="004C28D5" w:rsidRDefault="004C28D5" w:rsidP="004C28D5">
            <w:pPr>
              <w:ind w:firstLine="0"/>
              <w:jc w:val="center"/>
              <w:rPr>
                <w:sz w:val="28"/>
                <w:szCs w:val="28"/>
              </w:rPr>
            </w:pPr>
            <w:r w:rsidRPr="004C28D5">
              <w:rPr>
                <w:sz w:val="28"/>
                <w:szCs w:val="28"/>
              </w:rPr>
              <w:t>28,9</w:t>
            </w:r>
          </w:p>
        </w:tc>
        <w:tc>
          <w:tcPr>
            <w:tcW w:w="1559" w:type="dxa"/>
            <w:tcBorders>
              <w:top w:val="single" w:sz="4" w:space="0" w:color="000000"/>
              <w:left w:val="single" w:sz="4" w:space="0" w:color="000000"/>
              <w:bottom w:val="single" w:sz="4" w:space="0" w:color="000000"/>
            </w:tcBorders>
            <w:shd w:val="clear" w:color="auto" w:fill="auto"/>
            <w:vAlign w:val="center"/>
          </w:tcPr>
          <w:p w14:paraId="07E978C7" w14:textId="77777777" w:rsidR="004C28D5" w:rsidRPr="004C28D5" w:rsidRDefault="004C28D5" w:rsidP="004C28D5">
            <w:pPr>
              <w:ind w:firstLine="0"/>
              <w:jc w:val="center"/>
              <w:rPr>
                <w:sz w:val="28"/>
                <w:szCs w:val="28"/>
              </w:rPr>
            </w:pPr>
            <w:r w:rsidRPr="004C28D5">
              <w:rPr>
                <w:sz w:val="28"/>
                <w:szCs w:val="28"/>
              </w:rPr>
              <w:t>30,4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B2DCE" w14:textId="6F980285" w:rsidR="004C28D5" w:rsidRPr="004C28D5" w:rsidRDefault="004C28D5" w:rsidP="00BC771F">
            <w:pPr>
              <w:ind w:firstLine="0"/>
              <w:jc w:val="center"/>
              <w:rPr>
                <w:sz w:val="28"/>
                <w:szCs w:val="28"/>
                <w:highlight w:val="yellow"/>
              </w:rPr>
            </w:pPr>
            <w:r w:rsidRPr="004C28D5">
              <w:rPr>
                <w:sz w:val="28"/>
                <w:szCs w:val="28"/>
              </w:rPr>
              <w:t>31,</w:t>
            </w:r>
            <w:r w:rsidR="00811397">
              <w:rPr>
                <w:sz w:val="28"/>
                <w:szCs w:val="28"/>
              </w:rPr>
              <w:t>6</w:t>
            </w:r>
          </w:p>
        </w:tc>
      </w:tr>
      <w:tr w:rsidR="004C28D5" w:rsidRPr="004C28D5" w14:paraId="1163F71D" w14:textId="77777777" w:rsidTr="000D1764">
        <w:tc>
          <w:tcPr>
            <w:tcW w:w="2693" w:type="dxa"/>
            <w:tcBorders>
              <w:top w:val="single" w:sz="4" w:space="0" w:color="000000"/>
              <w:left w:val="single" w:sz="4" w:space="0" w:color="000000"/>
              <w:bottom w:val="single" w:sz="4" w:space="0" w:color="000000"/>
            </w:tcBorders>
            <w:shd w:val="clear" w:color="auto" w:fill="auto"/>
          </w:tcPr>
          <w:p w14:paraId="5A20E226" w14:textId="06C7C9C2" w:rsidR="004C28D5" w:rsidRPr="004C28D5" w:rsidRDefault="004C28D5" w:rsidP="004C28D5">
            <w:pPr>
              <w:ind w:firstLine="0"/>
              <w:rPr>
                <w:sz w:val="28"/>
                <w:szCs w:val="28"/>
                <w:highlight w:val="yellow"/>
              </w:rPr>
            </w:pPr>
            <w:r w:rsidRPr="004C28D5">
              <w:rPr>
                <w:sz w:val="28"/>
                <w:szCs w:val="28"/>
              </w:rPr>
              <w:t>из них: количество индивидуальных предпринимателей</w:t>
            </w:r>
            <w:r w:rsidR="00534E79" w:rsidRPr="00534E79">
              <w:rPr>
                <w:sz w:val="28"/>
                <w:szCs w:val="28"/>
                <w:vertAlign w:val="superscript"/>
              </w:rPr>
              <w:t>1</w:t>
            </w:r>
          </w:p>
        </w:tc>
        <w:tc>
          <w:tcPr>
            <w:tcW w:w="1560" w:type="dxa"/>
            <w:tcBorders>
              <w:top w:val="single" w:sz="4" w:space="0" w:color="000000"/>
              <w:left w:val="single" w:sz="4" w:space="0" w:color="000000"/>
              <w:bottom w:val="single" w:sz="4" w:space="0" w:color="000000"/>
            </w:tcBorders>
            <w:shd w:val="clear" w:color="auto" w:fill="auto"/>
            <w:vAlign w:val="center"/>
          </w:tcPr>
          <w:p w14:paraId="3A90C3D7" w14:textId="77777777" w:rsidR="004C28D5" w:rsidRPr="004C28D5" w:rsidRDefault="004C28D5" w:rsidP="004C28D5">
            <w:pPr>
              <w:ind w:firstLine="0"/>
              <w:jc w:val="center"/>
              <w:rPr>
                <w:sz w:val="28"/>
                <w:szCs w:val="28"/>
                <w:highlight w:val="yellow"/>
              </w:rPr>
            </w:pPr>
            <w:r w:rsidRPr="004C28D5">
              <w:rPr>
                <w:sz w:val="28"/>
                <w:szCs w:val="28"/>
              </w:rPr>
              <w:t>тыс. человек</w:t>
            </w:r>
          </w:p>
        </w:tc>
        <w:tc>
          <w:tcPr>
            <w:tcW w:w="1843" w:type="dxa"/>
            <w:tcBorders>
              <w:top w:val="single" w:sz="4" w:space="0" w:color="000000"/>
              <w:left w:val="single" w:sz="4" w:space="0" w:color="000000"/>
              <w:bottom w:val="single" w:sz="4" w:space="0" w:color="000000"/>
            </w:tcBorders>
            <w:shd w:val="clear" w:color="auto" w:fill="auto"/>
            <w:vAlign w:val="center"/>
          </w:tcPr>
          <w:p w14:paraId="5EB5E87E" w14:textId="77777777" w:rsidR="004C28D5" w:rsidRPr="004C28D5" w:rsidRDefault="004C28D5" w:rsidP="004C28D5">
            <w:pPr>
              <w:ind w:firstLine="0"/>
              <w:jc w:val="center"/>
              <w:rPr>
                <w:sz w:val="28"/>
                <w:szCs w:val="28"/>
              </w:rPr>
            </w:pPr>
            <w:r w:rsidRPr="004C28D5">
              <w:rPr>
                <w:sz w:val="28"/>
                <w:szCs w:val="28"/>
              </w:rPr>
              <w:t>-</w:t>
            </w:r>
          </w:p>
        </w:tc>
        <w:tc>
          <w:tcPr>
            <w:tcW w:w="1559" w:type="dxa"/>
            <w:tcBorders>
              <w:top w:val="single" w:sz="4" w:space="0" w:color="000000"/>
              <w:left w:val="single" w:sz="4" w:space="0" w:color="000000"/>
              <w:bottom w:val="single" w:sz="4" w:space="0" w:color="000000"/>
            </w:tcBorders>
            <w:shd w:val="clear" w:color="auto" w:fill="auto"/>
            <w:vAlign w:val="center"/>
          </w:tcPr>
          <w:p w14:paraId="03A51E5E" w14:textId="77777777" w:rsidR="004C28D5" w:rsidRPr="004C28D5" w:rsidRDefault="004C28D5" w:rsidP="004C28D5">
            <w:pPr>
              <w:ind w:firstLine="0"/>
              <w:jc w:val="center"/>
              <w:rPr>
                <w:sz w:val="28"/>
                <w:szCs w:val="28"/>
              </w:rPr>
            </w:pPr>
            <w:r w:rsidRPr="004C28D5">
              <w:rPr>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AA189" w14:textId="310CB834" w:rsidR="004C28D5" w:rsidRPr="004C28D5" w:rsidRDefault="00F61B94" w:rsidP="00BC771F">
            <w:pPr>
              <w:ind w:firstLine="0"/>
              <w:jc w:val="center"/>
              <w:rPr>
                <w:sz w:val="28"/>
                <w:szCs w:val="28"/>
              </w:rPr>
            </w:pPr>
            <w:r>
              <w:rPr>
                <w:sz w:val="28"/>
                <w:szCs w:val="28"/>
              </w:rPr>
              <w:t>14,</w:t>
            </w:r>
            <w:r w:rsidR="00BC771F">
              <w:rPr>
                <w:sz w:val="28"/>
                <w:szCs w:val="28"/>
              </w:rPr>
              <w:t>2</w:t>
            </w:r>
          </w:p>
        </w:tc>
      </w:tr>
      <w:tr w:rsidR="004C28D5" w:rsidRPr="004C28D5" w14:paraId="42CC7DCD" w14:textId="77777777" w:rsidTr="000D1764">
        <w:tc>
          <w:tcPr>
            <w:tcW w:w="2693" w:type="dxa"/>
            <w:tcBorders>
              <w:top w:val="single" w:sz="4" w:space="0" w:color="000000"/>
              <w:left w:val="single" w:sz="4" w:space="0" w:color="000000"/>
              <w:bottom w:val="single" w:sz="4" w:space="0" w:color="000000"/>
            </w:tcBorders>
            <w:shd w:val="clear" w:color="auto" w:fill="auto"/>
          </w:tcPr>
          <w:p w14:paraId="430BCE34" w14:textId="22BB2C87" w:rsidR="004C28D5" w:rsidRPr="004C28D5" w:rsidRDefault="004C28D5" w:rsidP="004C28D5">
            <w:pPr>
              <w:ind w:firstLine="0"/>
              <w:rPr>
                <w:sz w:val="28"/>
                <w:szCs w:val="28"/>
                <w:highlight w:val="yellow"/>
              </w:rPr>
            </w:pPr>
            <w:r w:rsidRPr="004C28D5">
              <w:rPr>
                <w:sz w:val="28"/>
                <w:szCs w:val="28"/>
              </w:rPr>
              <w:t>Среднесписочная численность работников малых и средних организаций (без внешних совместителей)</w:t>
            </w:r>
            <w:r w:rsidR="00534E79" w:rsidRPr="00534E79">
              <w:rPr>
                <w:sz w:val="28"/>
                <w:szCs w:val="28"/>
                <w:vertAlign w:val="superscript"/>
              </w:rPr>
              <w:t>1</w:t>
            </w:r>
          </w:p>
        </w:tc>
        <w:tc>
          <w:tcPr>
            <w:tcW w:w="1560" w:type="dxa"/>
            <w:tcBorders>
              <w:top w:val="single" w:sz="4" w:space="0" w:color="000000"/>
              <w:left w:val="single" w:sz="4" w:space="0" w:color="000000"/>
              <w:bottom w:val="single" w:sz="4" w:space="0" w:color="000000"/>
            </w:tcBorders>
            <w:shd w:val="clear" w:color="auto" w:fill="auto"/>
            <w:vAlign w:val="center"/>
          </w:tcPr>
          <w:p w14:paraId="36F28359" w14:textId="77777777" w:rsidR="004C28D5" w:rsidRPr="004C28D5" w:rsidRDefault="004C28D5" w:rsidP="004C28D5">
            <w:pPr>
              <w:ind w:firstLine="0"/>
              <w:jc w:val="center"/>
              <w:rPr>
                <w:sz w:val="28"/>
                <w:szCs w:val="28"/>
                <w:highlight w:val="yellow"/>
              </w:rPr>
            </w:pPr>
            <w:r w:rsidRPr="004C28D5">
              <w:rPr>
                <w:sz w:val="28"/>
                <w:szCs w:val="28"/>
              </w:rPr>
              <w:t>тыс. человек</w:t>
            </w:r>
          </w:p>
        </w:tc>
        <w:tc>
          <w:tcPr>
            <w:tcW w:w="1843" w:type="dxa"/>
            <w:tcBorders>
              <w:top w:val="single" w:sz="4" w:space="0" w:color="000000"/>
              <w:left w:val="single" w:sz="4" w:space="0" w:color="000000"/>
              <w:bottom w:val="single" w:sz="4" w:space="0" w:color="000000"/>
            </w:tcBorders>
            <w:shd w:val="clear" w:color="auto" w:fill="auto"/>
            <w:vAlign w:val="center"/>
          </w:tcPr>
          <w:p w14:paraId="10A5BABC" w14:textId="77777777" w:rsidR="004C28D5" w:rsidRPr="004C28D5" w:rsidRDefault="004C28D5" w:rsidP="004C28D5">
            <w:pPr>
              <w:ind w:firstLine="0"/>
              <w:jc w:val="center"/>
              <w:rPr>
                <w:sz w:val="28"/>
                <w:szCs w:val="28"/>
              </w:rPr>
            </w:pPr>
            <w:r w:rsidRPr="004C28D5">
              <w:rPr>
                <w:sz w:val="28"/>
                <w:szCs w:val="28"/>
              </w:rPr>
              <w:t>-</w:t>
            </w:r>
          </w:p>
        </w:tc>
        <w:tc>
          <w:tcPr>
            <w:tcW w:w="1559" w:type="dxa"/>
            <w:tcBorders>
              <w:top w:val="single" w:sz="4" w:space="0" w:color="000000"/>
              <w:left w:val="single" w:sz="4" w:space="0" w:color="000000"/>
              <w:bottom w:val="single" w:sz="4" w:space="0" w:color="000000"/>
            </w:tcBorders>
            <w:shd w:val="clear" w:color="auto" w:fill="auto"/>
            <w:vAlign w:val="center"/>
          </w:tcPr>
          <w:p w14:paraId="40F98A20" w14:textId="77777777" w:rsidR="004C28D5" w:rsidRPr="004C28D5" w:rsidRDefault="004C28D5" w:rsidP="004C28D5">
            <w:pPr>
              <w:ind w:firstLine="0"/>
              <w:jc w:val="center"/>
              <w:rPr>
                <w:sz w:val="28"/>
                <w:szCs w:val="28"/>
              </w:rPr>
            </w:pPr>
            <w:r w:rsidRPr="004C28D5">
              <w:rPr>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4C092" w14:textId="558641BE" w:rsidR="004C28D5" w:rsidRPr="004C28D5" w:rsidRDefault="00BC771F" w:rsidP="004C28D5">
            <w:pPr>
              <w:ind w:firstLine="0"/>
              <w:jc w:val="center"/>
              <w:rPr>
                <w:sz w:val="28"/>
                <w:szCs w:val="28"/>
              </w:rPr>
            </w:pPr>
            <w:r>
              <w:rPr>
                <w:sz w:val="28"/>
                <w:szCs w:val="28"/>
              </w:rPr>
              <w:t>80</w:t>
            </w:r>
            <w:r w:rsidR="00F61B94">
              <w:rPr>
                <w:sz w:val="28"/>
                <w:szCs w:val="28"/>
              </w:rPr>
              <w:t>,</w:t>
            </w:r>
            <w:r w:rsidR="00C15A39">
              <w:rPr>
                <w:sz w:val="28"/>
                <w:szCs w:val="28"/>
              </w:rPr>
              <w:t>2</w:t>
            </w:r>
          </w:p>
        </w:tc>
      </w:tr>
    </w:tbl>
    <w:p w14:paraId="3993C517" w14:textId="260FD19F" w:rsidR="00534E79" w:rsidRPr="00762A53" w:rsidRDefault="00534E79" w:rsidP="00534E79">
      <w:pPr>
        <w:pStyle w:val="af9"/>
        <w:spacing w:after="0"/>
        <w:rPr>
          <w:sz w:val="22"/>
          <w:szCs w:val="22"/>
          <w:lang w:bidi="en-US"/>
        </w:rPr>
      </w:pPr>
      <w:r w:rsidRPr="00534E79">
        <w:rPr>
          <w:sz w:val="22"/>
          <w:szCs w:val="22"/>
          <w:vertAlign w:val="superscript"/>
        </w:rPr>
        <w:t>1</w:t>
      </w:r>
      <w:r>
        <w:rPr>
          <w:sz w:val="22"/>
          <w:szCs w:val="22"/>
        </w:rPr>
        <w:t xml:space="preserve"> - включено</w:t>
      </w:r>
      <w:r w:rsidRPr="00762A53">
        <w:rPr>
          <w:sz w:val="22"/>
          <w:szCs w:val="22"/>
        </w:rPr>
        <w:t xml:space="preserve"> в соответствии с постановлением администрации городского округа Тольятти от 19.08.2021 № 2847-п/1 «</w:t>
      </w:r>
      <w:r w:rsidRPr="00762A53">
        <w:rPr>
          <w:sz w:val="22"/>
          <w:szCs w:val="22"/>
          <w:lang w:bidi="en-US"/>
        </w:rPr>
        <w:t>О внесении изменений в постановление мэрии городского округа Тольятти от 24.08.2015 № 2742-п/1 «Об утверждении Порядка разработки прогноза социально-экономического развития городского округа Тольятти на очередной финансовый год и на плановый период».</w:t>
      </w:r>
    </w:p>
    <w:p w14:paraId="3A02F65E" w14:textId="77777777" w:rsidR="004C28D5" w:rsidRPr="004C28D5" w:rsidRDefault="004C28D5" w:rsidP="004C28D5">
      <w:pPr>
        <w:widowControl w:val="0"/>
        <w:suppressAutoHyphens w:val="0"/>
        <w:spacing w:line="276" w:lineRule="auto"/>
        <w:rPr>
          <w:sz w:val="28"/>
          <w:szCs w:val="28"/>
          <w:highlight w:val="yellow"/>
        </w:rPr>
      </w:pPr>
    </w:p>
    <w:p w14:paraId="06241D92" w14:textId="47AC8598" w:rsidR="00025111" w:rsidRPr="005A70F5" w:rsidRDefault="00025111" w:rsidP="009278E9">
      <w:pPr>
        <w:numPr>
          <w:ilvl w:val="0"/>
          <w:numId w:val="5"/>
        </w:numPr>
        <w:suppressAutoHyphens w:val="0"/>
        <w:spacing w:line="276" w:lineRule="auto"/>
        <w:ind w:left="0" w:firstLine="709"/>
        <w:contextualSpacing/>
        <w:rPr>
          <w:rFonts w:ascii="Calibri" w:eastAsia="Calibri" w:hAnsi="Calibri"/>
          <w:sz w:val="28"/>
          <w:szCs w:val="28"/>
          <w:lang w:eastAsia="en-US"/>
        </w:rPr>
      </w:pPr>
      <w:r w:rsidRPr="004C28D5">
        <w:rPr>
          <w:sz w:val="28"/>
          <w:szCs w:val="28"/>
          <w:lang w:eastAsia="ru-RU"/>
        </w:rPr>
        <w:t xml:space="preserve">В условиях неблагоприятной экономической ситуации, связанной с распространением новой коронавирусной инфекции, </w:t>
      </w:r>
      <w:r w:rsidRPr="005A70F5">
        <w:rPr>
          <w:sz w:val="28"/>
          <w:szCs w:val="28"/>
          <w:lang w:eastAsia="ru-RU"/>
        </w:rPr>
        <w:t>ожидалось</w:t>
      </w:r>
      <w:r w:rsidR="005A70F5" w:rsidRPr="005A70F5">
        <w:rPr>
          <w:sz w:val="28"/>
          <w:szCs w:val="28"/>
          <w:lang w:eastAsia="ru-RU"/>
        </w:rPr>
        <w:t>, что численность</w:t>
      </w:r>
      <w:r w:rsidRPr="005A70F5">
        <w:rPr>
          <w:sz w:val="28"/>
          <w:szCs w:val="28"/>
          <w:lang w:eastAsia="ru-RU"/>
        </w:rPr>
        <w:t xml:space="preserve"> СМСП</w:t>
      </w:r>
      <w:r w:rsidR="005A70F5" w:rsidRPr="005A70F5">
        <w:rPr>
          <w:sz w:val="28"/>
          <w:szCs w:val="28"/>
          <w:lang w:eastAsia="ru-RU"/>
        </w:rPr>
        <w:t xml:space="preserve"> городского округа </w:t>
      </w:r>
      <w:r w:rsidR="00517DD5">
        <w:rPr>
          <w:sz w:val="28"/>
          <w:szCs w:val="28"/>
          <w:lang w:eastAsia="ru-RU"/>
        </w:rPr>
        <w:t xml:space="preserve">Тольятти </w:t>
      </w:r>
      <w:r w:rsidR="005A70F5" w:rsidRPr="005A70F5">
        <w:rPr>
          <w:sz w:val="28"/>
          <w:szCs w:val="28"/>
          <w:lang w:eastAsia="ru-RU"/>
        </w:rPr>
        <w:t>существенно снизится,</w:t>
      </w:r>
      <w:r w:rsidRPr="005A70F5">
        <w:rPr>
          <w:sz w:val="28"/>
          <w:szCs w:val="28"/>
          <w:lang w:eastAsia="ru-RU"/>
        </w:rPr>
        <w:t xml:space="preserve"> но благодаря мерам поддержки, принятым на всех уровнях власти</w:t>
      </w:r>
      <w:r w:rsidR="005A70F5" w:rsidRPr="005A70F5">
        <w:rPr>
          <w:sz w:val="28"/>
          <w:szCs w:val="28"/>
          <w:lang w:eastAsia="ru-RU"/>
        </w:rPr>
        <w:t xml:space="preserve"> (</w:t>
      </w:r>
      <w:r w:rsidR="005A70F5" w:rsidRPr="004C28D5">
        <w:rPr>
          <w:sz w:val="28"/>
          <w:szCs w:val="28"/>
          <w:lang w:eastAsia="ru-RU"/>
        </w:rPr>
        <w:t xml:space="preserve">отсрочка по налоговым платежам, арендной плате, предоставление субсидий на затраты, в том числе на сохранение занятости и оплаты труда своих работников, </w:t>
      </w:r>
      <w:r w:rsidR="005A70F5" w:rsidRPr="004C28D5">
        <w:rPr>
          <w:sz w:val="28"/>
          <w:szCs w:val="28"/>
          <w:lang w:eastAsia="ru-RU"/>
        </w:rPr>
        <w:lastRenderedPageBreak/>
        <w:t>предоставление кредитов по сниженным ставкам</w:t>
      </w:r>
      <w:r w:rsidR="005A70F5" w:rsidRPr="005A70F5">
        <w:rPr>
          <w:sz w:val="28"/>
          <w:szCs w:val="28"/>
          <w:lang w:eastAsia="ru-RU"/>
        </w:rPr>
        <w:t>)</w:t>
      </w:r>
      <w:r w:rsidRPr="005A70F5">
        <w:rPr>
          <w:sz w:val="28"/>
          <w:szCs w:val="28"/>
          <w:lang w:eastAsia="ru-RU"/>
        </w:rPr>
        <w:t xml:space="preserve"> </w:t>
      </w:r>
      <w:r w:rsidR="005A70F5" w:rsidRPr="005A70F5">
        <w:rPr>
          <w:sz w:val="28"/>
          <w:szCs w:val="28"/>
          <w:lang w:eastAsia="ru-RU"/>
        </w:rPr>
        <w:t xml:space="preserve">удалось </w:t>
      </w:r>
      <w:r w:rsidR="005A70F5" w:rsidRPr="004C28D5">
        <w:rPr>
          <w:sz w:val="28"/>
          <w:szCs w:val="28"/>
          <w:lang w:eastAsia="ru-RU"/>
        </w:rPr>
        <w:t>сдержать масштабное высвобождение рабочей силы</w:t>
      </w:r>
      <w:r w:rsidRPr="005A70F5">
        <w:rPr>
          <w:sz w:val="28"/>
          <w:szCs w:val="28"/>
          <w:lang w:eastAsia="ru-RU"/>
        </w:rPr>
        <w:t>.</w:t>
      </w:r>
    </w:p>
    <w:p w14:paraId="7DD1AA92" w14:textId="77777777" w:rsidR="00B8449F" w:rsidRDefault="00B8449F" w:rsidP="00627A35">
      <w:pPr>
        <w:numPr>
          <w:ilvl w:val="0"/>
          <w:numId w:val="5"/>
        </w:numPr>
        <w:spacing w:line="276" w:lineRule="auto"/>
        <w:ind w:left="0" w:firstLine="709"/>
        <w:contextualSpacing/>
        <w:rPr>
          <w:sz w:val="28"/>
          <w:szCs w:val="28"/>
        </w:rPr>
      </w:pPr>
      <w:r w:rsidRPr="00B8449F">
        <w:rPr>
          <w:sz w:val="28"/>
          <w:szCs w:val="28"/>
          <w:lang w:eastAsia="ru-RU"/>
        </w:rPr>
        <w:t>В целях стабилизации деятельности субъектов малого и среднего предпринимательства в 2021 году приняты следующие меры поддержки</w:t>
      </w:r>
      <w:r>
        <w:rPr>
          <w:sz w:val="28"/>
          <w:szCs w:val="28"/>
          <w:lang w:eastAsia="ru-RU"/>
        </w:rPr>
        <w:t>:</w:t>
      </w:r>
    </w:p>
    <w:p w14:paraId="56DE7321" w14:textId="416DA9D3" w:rsidR="00627A35" w:rsidRDefault="00B8449F" w:rsidP="00627A35">
      <w:pPr>
        <w:spacing w:line="276" w:lineRule="auto"/>
        <w:ind w:firstLine="708"/>
        <w:rPr>
          <w:sz w:val="28"/>
          <w:szCs w:val="28"/>
        </w:rPr>
      </w:pPr>
      <w:r w:rsidRPr="00B8449F">
        <w:rPr>
          <w:sz w:val="28"/>
          <w:szCs w:val="28"/>
          <w:lang w:eastAsia="ru-RU"/>
        </w:rPr>
        <w:t xml:space="preserve"> 1. Предпринимателям предоставляются льготные кредиты под 3% на восстановление предпринимательской деятельности. Программа запущена как вспомогательный инструмент для сохранения рабочих мест в самых пострадавших в период кризиса отраслях</w:t>
      </w:r>
      <w:r w:rsidR="00627A35">
        <w:rPr>
          <w:sz w:val="28"/>
          <w:szCs w:val="28"/>
          <w:lang w:eastAsia="ru-RU"/>
        </w:rPr>
        <w:t xml:space="preserve"> (</w:t>
      </w:r>
      <w:r w:rsidR="00627A35">
        <w:rPr>
          <w:sz w:val="28"/>
          <w:szCs w:val="28"/>
        </w:rPr>
        <w:t>период выдачи кредитов с 09.03.2021 по 01.07.2021);</w:t>
      </w:r>
    </w:p>
    <w:p w14:paraId="1D9AE8CB" w14:textId="110CA42D" w:rsidR="00B8449F" w:rsidRPr="00B8449F" w:rsidRDefault="00B8449F" w:rsidP="00627A35">
      <w:pPr>
        <w:suppressAutoHyphens w:val="0"/>
        <w:spacing w:line="276" w:lineRule="auto"/>
        <w:ind w:firstLine="708"/>
        <w:rPr>
          <w:sz w:val="28"/>
          <w:szCs w:val="28"/>
          <w:lang w:eastAsia="ru-RU"/>
        </w:rPr>
      </w:pPr>
      <w:r w:rsidRPr="00B8449F">
        <w:rPr>
          <w:sz w:val="28"/>
          <w:szCs w:val="28"/>
          <w:lang w:eastAsia="ru-RU"/>
        </w:rPr>
        <w:t>2. На 12 месяцев продлевается действие срочных лицензий и иных разрешений, сроки действия которых истекают (истекли) в период с 1 января по 31 декабря 2021 года, в том числе лицензий и разрешений, которые продлены в 2020 году</w:t>
      </w:r>
      <w:r w:rsidR="00887DB2">
        <w:rPr>
          <w:sz w:val="28"/>
          <w:szCs w:val="28"/>
          <w:lang w:eastAsia="ru-RU"/>
        </w:rPr>
        <w:t>;</w:t>
      </w:r>
    </w:p>
    <w:p w14:paraId="5AE18365" w14:textId="6A170966" w:rsidR="00B8449F" w:rsidRPr="00B8449F" w:rsidRDefault="00B8449F" w:rsidP="00627A35">
      <w:pPr>
        <w:suppressAutoHyphens w:val="0"/>
        <w:spacing w:line="276" w:lineRule="auto"/>
        <w:ind w:firstLine="708"/>
        <w:rPr>
          <w:sz w:val="28"/>
          <w:szCs w:val="28"/>
          <w:lang w:eastAsia="ru-RU"/>
        </w:rPr>
      </w:pPr>
      <w:r w:rsidRPr="00B8449F">
        <w:rPr>
          <w:sz w:val="28"/>
          <w:szCs w:val="28"/>
          <w:lang w:eastAsia="ru-RU"/>
        </w:rPr>
        <w:t>3. Сохраняется возможность получения рассрочки исполнения требований по исполнительным документам после истечения срока действия моратория по банкротству</w:t>
      </w:r>
      <w:r w:rsidR="00887DB2">
        <w:rPr>
          <w:sz w:val="28"/>
          <w:szCs w:val="28"/>
          <w:lang w:eastAsia="ru-RU"/>
        </w:rPr>
        <w:t>;</w:t>
      </w:r>
    </w:p>
    <w:p w14:paraId="187A96C1" w14:textId="10D06C51" w:rsidR="00B8449F" w:rsidRPr="00B8449F" w:rsidRDefault="00B8449F" w:rsidP="00627A35">
      <w:pPr>
        <w:suppressAutoHyphens w:val="0"/>
        <w:spacing w:line="276" w:lineRule="auto"/>
        <w:ind w:firstLine="708"/>
        <w:rPr>
          <w:sz w:val="28"/>
          <w:szCs w:val="28"/>
          <w:lang w:eastAsia="ru-RU"/>
        </w:rPr>
      </w:pPr>
      <w:r w:rsidRPr="00B8449F">
        <w:rPr>
          <w:sz w:val="28"/>
          <w:szCs w:val="28"/>
          <w:lang w:eastAsia="ru-RU"/>
        </w:rPr>
        <w:t>4. Продлен мораторий на плановые проверки малого бизнеса на 2021</w:t>
      </w:r>
      <w:r w:rsidR="00627A35">
        <w:rPr>
          <w:sz w:val="28"/>
          <w:szCs w:val="28"/>
          <w:lang w:eastAsia="ru-RU"/>
        </w:rPr>
        <w:t xml:space="preserve"> 2</w:t>
      </w:r>
      <w:r w:rsidR="00887DB2" w:rsidRPr="00887DB2">
        <w:rPr>
          <w:sz w:val="28"/>
          <w:szCs w:val="28"/>
          <w:lang w:eastAsia="ru-RU"/>
        </w:rPr>
        <w:t>0</w:t>
      </w:r>
      <w:r w:rsidR="00627A35">
        <w:rPr>
          <w:sz w:val="28"/>
          <w:szCs w:val="28"/>
          <w:lang w:eastAsia="ru-RU"/>
        </w:rPr>
        <w:t>22 годы</w:t>
      </w:r>
      <w:r w:rsidRPr="00B8449F">
        <w:rPr>
          <w:sz w:val="28"/>
          <w:szCs w:val="28"/>
          <w:lang w:eastAsia="ru-RU"/>
        </w:rPr>
        <w:t xml:space="preserve">. </w:t>
      </w:r>
    </w:p>
    <w:p w14:paraId="70795E56" w14:textId="77777777" w:rsidR="00A6354E" w:rsidRPr="00A6354E" w:rsidRDefault="00A6354E" w:rsidP="00A6354E">
      <w:pPr>
        <w:suppressAutoHyphens w:val="0"/>
        <w:spacing w:line="276" w:lineRule="auto"/>
        <w:contextualSpacing/>
        <w:rPr>
          <w:sz w:val="28"/>
          <w:szCs w:val="28"/>
          <w:lang w:eastAsia="ru-RU"/>
        </w:rPr>
      </w:pPr>
      <w:r w:rsidRPr="00A6354E">
        <w:rPr>
          <w:sz w:val="28"/>
          <w:szCs w:val="28"/>
          <w:lang w:eastAsia="ru-RU"/>
        </w:rPr>
        <w:t>В 2021 году принят закон Самарской области от 16.07.2021 №63-ГД «Об установлении налоговых ставок для отдельных категорий налогоплательщиков, применяющих упрощенную систему налогообложения».</w:t>
      </w:r>
    </w:p>
    <w:p w14:paraId="7B24EFAA" w14:textId="77777777" w:rsidR="00A6354E" w:rsidRPr="00A6354E" w:rsidRDefault="00A6354E" w:rsidP="00A6354E">
      <w:pPr>
        <w:suppressAutoHyphens w:val="0"/>
        <w:spacing w:line="276" w:lineRule="auto"/>
        <w:contextualSpacing/>
        <w:rPr>
          <w:sz w:val="28"/>
          <w:szCs w:val="28"/>
          <w:lang w:eastAsia="ru-RU"/>
        </w:rPr>
      </w:pPr>
      <w:r w:rsidRPr="00A6354E">
        <w:rPr>
          <w:sz w:val="28"/>
          <w:szCs w:val="28"/>
          <w:lang w:eastAsia="ru-RU"/>
        </w:rPr>
        <w:t>Закон устанавливает налоговые ставки по налогу, взимаемому в связи с применением упрощенной системы налогообложения, в следующих размерах:</w:t>
      </w:r>
    </w:p>
    <w:p w14:paraId="530B58A6" w14:textId="77777777" w:rsidR="00A6354E" w:rsidRPr="00A6354E" w:rsidRDefault="00A6354E" w:rsidP="00A6354E">
      <w:pPr>
        <w:suppressAutoHyphens w:val="0"/>
        <w:spacing w:line="276" w:lineRule="auto"/>
        <w:contextualSpacing/>
        <w:rPr>
          <w:sz w:val="28"/>
          <w:szCs w:val="28"/>
          <w:lang w:eastAsia="ru-RU"/>
        </w:rPr>
      </w:pPr>
      <w:r w:rsidRPr="00A6354E">
        <w:rPr>
          <w:sz w:val="28"/>
          <w:szCs w:val="28"/>
          <w:lang w:eastAsia="ru-RU"/>
        </w:rPr>
        <w:t>- 2% - в случае если объектом налогообложения являются доходы;</w:t>
      </w:r>
    </w:p>
    <w:p w14:paraId="7554B6F0" w14:textId="77777777" w:rsidR="00A6354E" w:rsidRPr="00A6354E" w:rsidRDefault="00A6354E" w:rsidP="00A6354E">
      <w:pPr>
        <w:suppressAutoHyphens w:val="0"/>
        <w:spacing w:line="276" w:lineRule="auto"/>
        <w:contextualSpacing/>
        <w:rPr>
          <w:sz w:val="28"/>
          <w:szCs w:val="28"/>
          <w:lang w:eastAsia="ru-RU"/>
        </w:rPr>
      </w:pPr>
      <w:r w:rsidRPr="00A6354E">
        <w:rPr>
          <w:sz w:val="28"/>
          <w:szCs w:val="28"/>
          <w:lang w:eastAsia="ru-RU"/>
        </w:rPr>
        <w:t>-5%  в случае если объектом налогообложения являются доходы, уменьшенные на величину расходов:</w:t>
      </w:r>
    </w:p>
    <w:p w14:paraId="4DFAFED6" w14:textId="3E471199" w:rsidR="00A6354E" w:rsidRPr="00A6354E" w:rsidRDefault="00A6354E" w:rsidP="00A6354E">
      <w:pPr>
        <w:suppressAutoHyphens w:val="0"/>
        <w:spacing w:line="276" w:lineRule="auto"/>
        <w:contextualSpacing/>
        <w:rPr>
          <w:sz w:val="28"/>
          <w:szCs w:val="28"/>
          <w:lang w:eastAsia="ru-RU"/>
        </w:rPr>
      </w:pPr>
      <w:r w:rsidRPr="00A6354E">
        <w:rPr>
          <w:sz w:val="28"/>
          <w:szCs w:val="28"/>
          <w:lang w:eastAsia="ru-RU"/>
        </w:rPr>
        <w:t xml:space="preserve">1. для налогоплательщиков – организаций и индивидуальных предпринимателей, осуществляющих деятельность на 1 января 2021 года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утвержден постановлением Правительства </w:t>
      </w:r>
      <w:r w:rsidR="00534E79">
        <w:rPr>
          <w:sz w:val="28"/>
          <w:szCs w:val="28"/>
          <w:lang w:eastAsia="ru-RU"/>
        </w:rPr>
        <w:t>Российской Федерации</w:t>
      </w:r>
      <w:r w:rsidRPr="00A6354E">
        <w:rPr>
          <w:sz w:val="28"/>
          <w:szCs w:val="28"/>
          <w:lang w:eastAsia="ru-RU"/>
        </w:rPr>
        <w:t xml:space="preserve"> от 03.04.2020 №434, у которых  за отчетный период 2021 года уровень доходов снизился на 20% и более по отношению к уровню доходов за отчетный период 2019 года и предельный размер дохода в целях налогообложения которых за отчетный период 2021 года не превышает 50 м</w:t>
      </w:r>
      <w:r w:rsidR="00A732A3">
        <w:rPr>
          <w:sz w:val="28"/>
          <w:szCs w:val="28"/>
          <w:lang w:eastAsia="ru-RU"/>
        </w:rPr>
        <w:t>лн.</w:t>
      </w:r>
      <w:r w:rsidRPr="00A6354E">
        <w:rPr>
          <w:sz w:val="28"/>
          <w:szCs w:val="28"/>
          <w:lang w:eastAsia="ru-RU"/>
        </w:rPr>
        <w:t xml:space="preserve"> рублей; </w:t>
      </w:r>
    </w:p>
    <w:p w14:paraId="310F3614" w14:textId="7F3EE70A" w:rsidR="00A6354E" w:rsidRPr="00A6354E" w:rsidRDefault="00A6354E" w:rsidP="00A732A3">
      <w:pPr>
        <w:suppressAutoHyphens w:val="0"/>
        <w:spacing w:line="276" w:lineRule="auto"/>
        <w:contextualSpacing/>
        <w:rPr>
          <w:sz w:val="28"/>
          <w:szCs w:val="28"/>
          <w:lang w:eastAsia="ru-RU"/>
        </w:rPr>
      </w:pPr>
      <w:r w:rsidRPr="00A6354E">
        <w:rPr>
          <w:sz w:val="28"/>
          <w:szCs w:val="28"/>
          <w:lang w:eastAsia="ru-RU"/>
        </w:rPr>
        <w:lastRenderedPageBreak/>
        <w:t>2. для налогоплательщиков – индивидуальных предпринимателей, впервые зарегистрированных с 01.07.2020, местом жительства и местом осуществления деятельности которых являются населенные пункты с численностью населения до 5 тыс. человек, не осуществляющих торговлю подакцизными товарами, и у которых за отчетный период 2021 года и за отчетный период 2022 года предельный размер дохода не превышает 10 м</w:t>
      </w:r>
      <w:r w:rsidR="00A732A3">
        <w:rPr>
          <w:sz w:val="28"/>
          <w:szCs w:val="28"/>
          <w:lang w:eastAsia="ru-RU"/>
        </w:rPr>
        <w:t>лн.</w:t>
      </w:r>
      <w:r w:rsidRPr="00A6354E">
        <w:rPr>
          <w:sz w:val="28"/>
          <w:szCs w:val="28"/>
          <w:lang w:eastAsia="ru-RU"/>
        </w:rPr>
        <w:t xml:space="preserve"> рублей;</w:t>
      </w:r>
    </w:p>
    <w:p w14:paraId="2F9A6B0B" w14:textId="50AC9FAD" w:rsidR="00A6354E" w:rsidRPr="00A6354E" w:rsidRDefault="00A6354E" w:rsidP="00A732A3">
      <w:pPr>
        <w:suppressAutoHyphens w:val="0"/>
        <w:spacing w:line="276" w:lineRule="auto"/>
        <w:contextualSpacing/>
        <w:rPr>
          <w:sz w:val="28"/>
          <w:szCs w:val="28"/>
          <w:lang w:eastAsia="ru-RU"/>
        </w:rPr>
      </w:pPr>
      <w:r w:rsidRPr="00A6354E">
        <w:rPr>
          <w:sz w:val="28"/>
          <w:szCs w:val="28"/>
          <w:lang w:eastAsia="ru-RU"/>
        </w:rPr>
        <w:t>3. для налогоплательщиков – организаций и индивидуальных предпринимателей, получивших статус социального предприятия, у которых за отчетный период 2021  года и за отчетный период 2022 года предельный размер дохода в целях налогообложения не превышает 50 м</w:t>
      </w:r>
      <w:r w:rsidR="00534E79">
        <w:rPr>
          <w:sz w:val="28"/>
          <w:szCs w:val="28"/>
          <w:lang w:eastAsia="ru-RU"/>
        </w:rPr>
        <w:t>лн.</w:t>
      </w:r>
      <w:r w:rsidRPr="00A6354E">
        <w:rPr>
          <w:sz w:val="28"/>
          <w:szCs w:val="28"/>
          <w:lang w:eastAsia="ru-RU"/>
        </w:rPr>
        <w:t xml:space="preserve"> рублей.</w:t>
      </w:r>
    </w:p>
    <w:p w14:paraId="698E942D" w14:textId="3650F748" w:rsidR="004C28D5" w:rsidRPr="004C28D5" w:rsidRDefault="004C28D5" w:rsidP="00A732A3">
      <w:pPr>
        <w:numPr>
          <w:ilvl w:val="0"/>
          <w:numId w:val="5"/>
        </w:numPr>
        <w:spacing w:line="276" w:lineRule="auto"/>
        <w:ind w:left="0" w:firstLine="709"/>
        <w:contextualSpacing/>
        <w:rPr>
          <w:sz w:val="28"/>
          <w:szCs w:val="28"/>
        </w:rPr>
      </w:pPr>
      <w:r w:rsidRPr="004C28D5">
        <w:rPr>
          <w:sz w:val="28"/>
          <w:szCs w:val="28"/>
        </w:rPr>
        <w:t>В 2021 году на территории городского округа Тольятти продолжена реализация мероприятий по созданию условий для развития малого и среднего предпринимательства в рамках  муниципальной программы городского округа Тольятти «Развитие малого и среднего предпринимательства городского округа Тольятти на 2018-2022 годы», утвержденной постановлением мэрии городского округа Тольятти от 28.08.2017 №2917-п/1 (далее</w:t>
      </w:r>
      <w:r w:rsidR="00627A35">
        <w:rPr>
          <w:sz w:val="28"/>
          <w:szCs w:val="28"/>
        </w:rPr>
        <w:t xml:space="preserve"> по разделу </w:t>
      </w:r>
      <w:r w:rsidRPr="004C28D5">
        <w:rPr>
          <w:sz w:val="28"/>
          <w:szCs w:val="28"/>
        </w:rPr>
        <w:t>– Программа).</w:t>
      </w:r>
    </w:p>
    <w:p w14:paraId="6E3CBDF7" w14:textId="3920A82B" w:rsidR="004C28D5" w:rsidRPr="004C28D5" w:rsidRDefault="004C28D5" w:rsidP="00A732A3">
      <w:pPr>
        <w:numPr>
          <w:ilvl w:val="0"/>
          <w:numId w:val="5"/>
        </w:numPr>
        <w:spacing w:line="276" w:lineRule="auto"/>
        <w:ind w:left="0" w:firstLine="709"/>
        <w:contextualSpacing/>
        <w:rPr>
          <w:sz w:val="28"/>
          <w:szCs w:val="28"/>
        </w:rPr>
      </w:pPr>
      <w:r w:rsidRPr="004C28D5">
        <w:rPr>
          <w:sz w:val="28"/>
          <w:szCs w:val="28"/>
        </w:rPr>
        <w:t>Предприниматели могут воспользоваться муниципальной программой льготного микрофинансирования.</w:t>
      </w:r>
      <w:r w:rsidR="00627A35">
        <w:rPr>
          <w:sz w:val="28"/>
          <w:szCs w:val="28"/>
        </w:rPr>
        <w:t xml:space="preserve"> </w:t>
      </w:r>
      <w:r w:rsidRPr="004C28D5">
        <w:rPr>
          <w:sz w:val="28"/>
          <w:szCs w:val="28"/>
        </w:rPr>
        <w:t xml:space="preserve">Муниципальным фондом поддержки и развития субъектов малого и среднего предпринимательства </w:t>
      </w:r>
      <w:proofErr w:type="spellStart"/>
      <w:r w:rsidRPr="004C28D5">
        <w:rPr>
          <w:sz w:val="28"/>
          <w:szCs w:val="28"/>
        </w:rPr>
        <w:t>микрокредитная</w:t>
      </w:r>
      <w:proofErr w:type="spellEnd"/>
      <w:r w:rsidRPr="004C28D5">
        <w:rPr>
          <w:sz w:val="28"/>
          <w:szCs w:val="28"/>
        </w:rPr>
        <w:t xml:space="preserve"> компания городского округа Тольятти предоставляются займы сроком  до 2 лет, сумма займа до 2 000,0 тыс. рублей, процентная ставка от 10% годовых. В первом полугодии 2021 года Фонд выдал 20 займов на сумму 28 080 тыс. рублей. В 2021 и 2022 годах планируется выдать  по 25 займов на сумму 33 000 тыс. рублей ежегодно. </w:t>
      </w:r>
    </w:p>
    <w:p w14:paraId="2B508D04" w14:textId="6C2C8F3E" w:rsidR="004C28D5" w:rsidRPr="004C28D5" w:rsidRDefault="004C28D5" w:rsidP="004C28D5">
      <w:pPr>
        <w:numPr>
          <w:ilvl w:val="0"/>
          <w:numId w:val="5"/>
        </w:numPr>
        <w:shd w:val="clear" w:color="auto" w:fill="FFFFFF"/>
        <w:spacing w:line="276" w:lineRule="auto"/>
        <w:ind w:left="0" w:firstLine="709"/>
        <w:contextualSpacing/>
        <w:rPr>
          <w:sz w:val="28"/>
          <w:szCs w:val="28"/>
        </w:rPr>
      </w:pPr>
      <w:r w:rsidRPr="004C28D5">
        <w:rPr>
          <w:sz w:val="28"/>
          <w:szCs w:val="28"/>
        </w:rPr>
        <w:t xml:space="preserve">В целях развития инфраструктуры поддержки СМСП </w:t>
      </w:r>
      <w:proofErr w:type="gramStart"/>
      <w:r w:rsidRPr="004C28D5">
        <w:rPr>
          <w:sz w:val="28"/>
          <w:szCs w:val="28"/>
        </w:rPr>
        <w:t>в  городском</w:t>
      </w:r>
      <w:proofErr w:type="gramEnd"/>
      <w:r w:rsidRPr="004C28D5">
        <w:rPr>
          <w:sz w:val="28"/>
          <w:szCs w:val="28"/>
        </w:rPr>
        <w:t xml:space="preserve"> округе Тольятти осуществляет свою деятельность бизнес-инкубатор (управляющая компания муниципальное автономное учреждение городского округа Тольятти «Агентство экономического развития» (далее </w:t>
      </w:r>
      <w:r w:rsidR="00887DB2">
        <w:rPr>
          <w:sz w:val="28"/>
          <w:szCs w:val="28"/>
        </w:rPr>
        <w:t xml:space="preserve">по разделу </w:t>
      </w:r>
      <w:r w:rsidRPr="004C28D5">
        <w:rPr>
          <w:sz w:val="28"/>
          <w:szCs w:val="28"/>
        </w:rPr>
        <w:t>– МАУ «АЭР»), который оказывает всестороннюю поддержку начинающим и действующим предпринимателям.</w:t>
      </w:r>
    </w:p>
    <w:p w14:paraId="332ED8D8" w14:textId="5EC598AA" w:rsidR="00627A35" w:rsidRPr="00627A35" w:rsidRDefault="00627A35" w:rsidP="004C28D5">
      <w:pPr>
        <w:numPr>
          <w:ilvl w:val="0"/>
          <w:numId w:val="5"/>
        </w:numPr>
        <w:tabs>
          <w:tab w:val="left" w:pos="567"/>
        </w:tabs>
        <w:autoSpaceDE w:val="0"/>
        <w:autoSpaceDN w:val="0"/>
        <w:adjustRightInd w:val="0"/>
        <w:spacing w:line="276" w:lineRule="auto"/>
        <w:ind w:left="0" w:firstLine="709"/>
        <w:rPr>
          <w:sz w:val="28"/>
          <w:szCs w:val="28"/>
        </w:rPr>
      </w:pPr>
      <w:r w:rsidRPr="00627A35">
        <w:rPr>
          <w:color w:val="000000" w:themeColor="text1"/>
          <w:sz w:val="28"/>
          <w:szCs w:val="28"/>
        </w:rPr>
        <w:t>По состоянию на 01.07.2021 в бизнес-инкубаторе на праве договоров аренды нежилых помещений размещено 57 компаний-резидентов</w:t>
      </w:r>
      <w:r w:rsidR="00A732A3">
        <w:rPr>
          <w:color w:val="000000" w:themeColor="text1"/>
          <w:sz w:val="28"/>
          <w:szCs w:val="28"/>
        </w:rPr>
        <w:t xml:space="preserve"> (на 01.10.2021 – 54 резидента</w:t>
      </w:r>
      <w:r w:rsidRPr="00627A35">
        <w:rPr>
          <w:color w:val="000000" w:themeColor="text1"/>
          <w:sz w:val="28"/>
          <w:szCs w:val="28"/>
        </w:rPr>
        <w:t xml:space="preserve">, выручка резидентов за </w:t>
      </w:r>
      <w:r w:rsidR="00B81A11">
        <w:rPr>
          <w:color w:val="000000" w:themeColor="text1"/>
          <w:sz w:val="28"/>
          <w:szCs w:val="28"/>
          <w:lang w:val="en-US"/>
        </w:rPr>
        <w:t>I</w:t>
      </w:r>
      <w:r w:rsidRPr="00627A35">
        <w:rPr>
          <w:color w:val="000000" w:themeColor="text1"/>
          <w:sz w:val="28"/>
          <w:szCs w:val="28"/>
        </w:rPr>
        <w:t xml:space="preserve"> полугодие 2021 года составила 151 260,98 тыс. руб</w:t>
      </w:r>
      <w:r>
        <w:rPr>
          <w:color w:val="000000" w:themeColor="text1"/>
          <w:sz w:val="28"/>
          <w:szCs w:val="28"/>
        </w:rPr>
        <w:t>лей</w:t>
      </w:r>
      <w:r w:rsidR="00A732A3">
        <w:rPr>
          <w:color w:val="000000" w:themeColor="text1"/>
          <w:sz w:val="28"/>
          <w:szCs w:val="28"/>
        </w:rPr>
        <w:t>, создано 284 рабочих места</w:t>
      </w:r>
      <w:r w:rsidRPr="00627A35">
        <w:rPr>
          <w:color w:val="000000" w:themeColor="text1"/>
          <w:sz w:val="28"/>
          <w:szCs w:val="28"/>
        </w:rPr>
        <w:t>.</w:t>
      </w:r>
    </w:p>
    <w:p w14:paraId="180071FA" w14:textId="22969994" w:rsidR="004C28D5" w:rsidRPr="004C28D5" w:rsidRDefault="004C28D5" w:rsidP="004C28D5">
      <w:pPr>
        <w:numPr>
          <w:ilvl w:val="0"/>
          <w:numId w:val="5"/>
        </w:numPr>
        <w:tabs>
          <w:tab w:val="left" w:pos="567"/>
        </w:tabs>
        <w:autoSpaceDE w:val="0"/>
        <w:autoSpaceDN w:val="0"/>
        <w:adjustRightInd w:val="0"/>
        <w:spacing w:line="276" w:lineRule="auto"/>
        <w:ind w:left="0" w:firstLine="709"/>
        <w:rPr>
          <w:sz w:val="28"/>
          <w:szCs w:val="28"/>
        </w:rPr>
      </w:pPr>
      <w:r w:rsidRPr="004C28D5">
        <w:rPr>
          <w:sz w:val="28"/>
          <w:szCs w:val="28"/>
        </w:rPr>
        <w:t xml:space="preserve">Помимо этого, оказывается информационная, консультационная и образовательная поддержка для предпринимателей и физических лиц – потенциальных предпринимателей. В </w:t>
      </w:r>
      <w:r w:rsidR="002E3A48">
        <w:rPr>
          <w:sz w:val="28"/>
          <w:szCs w:val="28"/>
          <w:lang w:val="en-US"/>
        </w:rPr>
        <w:t>I</w:t>
      </w:r>
      <w:r w:rsidRPr="004C28D5">
        <w:rPr>
          <w:sz w:val="28"/>
          <w:szCs w:val="28"/>
        </w:rPr>
        <w:t xml:space="preserve"> полугодии 2021 года был проведен  </w:t>
      </w:r>
      <w:r w:rsidRPr="004C28D5">
        <w:rPr>
          <w:sz w:val="28"/>
          <w:szCs w:val="28"/>
        </w:rPr>
        <w:lastRenderedPageBreak/>
        <w:t>курс повышения квалификации, который охватил 100 слушателей. Кроме того, были проведены тренинги для предпринимателей, которые охватили 91 слушателя. Информационная и консультационная поддержка  оказана 1690 СМСП и физическим лицам. Так же совместно с межрегиональным Профсоюзом Предпринимателей Самарской области проводились бизнес-завтраки, которые посетили 1230 участников.</w:t>
      </w:r>
    </w:p>
    <w:p w14:paraId="642147C7" w14:textId="77777777" w:rsidR="004C28D5" w:rsidRPr="004C28D5" w:rsidRDefault="004C28D5" w:rsidP="004C28D5">
      <w:pPr>
        <w:widowControl w:val="0"/>
        <w:numPr>
          <w:ilvl w:val="0"/>
          <w:numId w:val="5"/>
        </w:numPr>
        <w:spacing w:line="276" w:lineRule="auto"/>
        <w:ind w:left="0" w:firstLine="709"/>
        <w:rPr>
          <w:sz w:val="28"/>
          <w:szCs w:val="28"/>
        </w:rPr>
      </w:pPr>
      <w:r w:rsidRPr="004C28D5">
        <w:rPr>
          <w:sz w:val="28"/>
          <w:szCs w:val="28"/>
        </w:rPr>
        <w:t xml:space="preserve">Ведется работа по предоставлению в аренду, безвозмездное пользование объектов муниципального имущества, включенных в Перечень муниципального имущества городского округа Тольятти,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Данный перечень содержит 15 объектов муниципального имущества. </w:t>
      </w:r>
    </w:p>
    <w:p w14:paraId="6BCB93D4" w14:textId="397E0328" w:rsidR="004C28D5" w:rsidRPr="004C28D5" w:rsidRDefault="00627A35" w:rsidP="004C28D5">
      <w:pPr>
        <w:numPr>
          <w:ilvl w:val="0"/>
          <w:numId w:val="5"/>
        </w:numPr>
        <w:spacing w:line="276" w:lineRule="auto"/>
        <w:ind w:left="0" w:firstLine="709"/>
        <w:rPr>
          <w:sz w:val="28"/>
          <w:szCs w:val="28"/>
        </w:rPr>
      </w:pPr>
      <w:r w:rsidRPr="00627A35">
        <w:rPr>
          <w:sz w:val="28"/>
          <w:szCs w:val="28"/>
        </w:rPr>
        <w:t xml:space="preserve">Продолжается реализация национального проекта «Малое и среднее предпринимательство и поддержка индивидуальной предпринимательской инициативы». </w:t>
      </w:r>
      <w:r>
        <w:rPr>
          <w:sz w:val="28"/>
          <w:szCs w:val="28"/>
        </w:rPr>
        <w:t>К</w:t>
      </w:r>
      <w:r w:rsidRPr="00627A35">
        <w:rPr>
          <w:sz w:val="28"/>
          <w:szCs w:val="28"/>
        </w:rPr>
        <w:t xml:space="preserve">омплексная поддержка предоставляется предпринимателям в зависимости от стадии развития бизнеса – самозанятым, начинающим предпринимателям и гражданам, желающим начать свой бизнес, действующим компаниям, которые хотят развиваться. </w:t>
      </w:r>
      <w:r w:rsidR="004C28D5" w:rsidRPr="004C28D5">
        <w:rPr>
          <w:sz w:val="28"/>
          <w:szCs w:val="28"/>
        </w:rPr>
        <w:t>По итогам реализации мероприятий для городского округа Тольятти установлены целевые показатели:</w:t>
      </w:r>
    </w:p>
    <w:p w14:paraId="7BF3137D" w14:textId="2637811C" w:rsidR="004C28D5" w:rsidRPr="004C28D5" w:rsidRDefault="004C28D5" w:rsidP="004C28D5">
      <w:pPr>
        <w:numPr>
          <w:ilvl w:val="0"/>
          <w:numId w:val="5"/>
        </w:numPr>
        <w:spacing w:line="276" w:lineRule="auto"/>
        <w:ind w:left="0" w:firstLine="709"/>
        <w:rPr>
          <w:sz w:val="28"/>
          <w:szCs w:val="28"/>
        </w:rPr>
      </w:pPr>
      <w:r w:rsidRPr="004C28D5">
        <w:rPr>
          <w:sz w:val="28"/>
          <w:szCs w:val="28"/>
        </w:rPr>
        <w:t>- численность занятых в сфере</w:t>
      </w:r>
      <w:r w:rsidR="00461669">
        <w:rPr>
          <w:sz w:val="28"/>
          <w:szCs w:val="28"/>
        </w:rPr>
        <w:t xml:space="preserve"> МСП  в размере 135417 человек;</w:t>
      </w:r>
    </w:p>
    <w:p w14:paraId="373F9CC5" w14:textId="094A21D0" w:rsidR="004C28D5" w:rsidRPr="004C28D5" w:rsidRDefault="004C28D5" w:rsidP="004C28D5">
      <w:pPr>
        <w:numPr>
          <w:ilvl w:val="0"/>
          <w:numId w:val="5"/>
        </w:numPr>
        <w:spacing w:line="276" w:lineRule="auto"/>
        <w:ind w:left="0" w:firstLine="709"/>
        <w:rPr>
          <w:sz w:val="28"/>
          <w:szCs w:val="28"/>
        </w:rPr>
      </w:pPr>
      <w:r w:rsidRPr="004C28D5">
        <w:rPr>
          <w:sz w:val="28"/>
          <w:szCs w:val="28"/>
        </w:rPr>
        <w:t>- количество самозанятых граждан  в размере 11661 человек. По состоянию на 01.07.2021 фактическое значение показателя  составило 15410 человек (нарастающим итогом);</w:t>
      </w:r>
    </w:p>
    <w:p w14:paraId="1E6DFCDF" w14:textId="7BFFEBB2" w:rsidR="004C28D5" w:rsidRPr="004C28D5" w:rsidRDefault="004C28D5" w:rsidP="004C28D5">
      <w:pPr>
        <w:numPr>
          <w:ilvl w:val="0"/>
          <w:numId w:val="5"/>
        </w:numPr>
        <w:spacing w:line="276" w:lineRule="auto"/>
        <w:ind w:left="0" w:firstLine="709"/>
        <w:rPr>
          <w:sz w:val="28"/>
          <w:szCs w:val="28"/>
        </w:rPr>
      </w:pPr>
      <w:r w:rsidRPr="004C28D5">
        <w:rPr>
          <w:sz w:val="28"/>
          <w:szCs w:val="28"/>
        </w:rPr>
        <w:t>- количество легализованных в сфере МСП в размере 1894 человек. По состоянию на 01.07.2021 фактическое значение показателя  составило 1195 человек;</w:t>
      </w:r>
    </w:p>
    <w:p w14:paraId="7C8ABF8A" w14:textId="24020247" w:rsidR="004C28D5" w:rsidRPr="004C28D5" w:rsidRDefault="004C28D5" w:rsidP="004C28D5">
      <w:pPr>
        <w:numPr>
          <w:ilvl w:val="0"/>
          <w:numId w:val="5"/>
        </w:numPr>
        <w:spacing w:line="276" w:lineRule="auto"/>
        <w:ind w:left="0" w:firstLine="709"/>
        <w:rPr>
          <w:sz w:val="28"/>
          <w:szCs w:val="28"/>
        </w:rPr>
      </w:pPr>
      <w:r w:rsidRPr="004C28D5">
        <w:rPr>
          <w:sz w:val="28"/>
          <w:szCs w:val="28"/>
        </w:rPr>
        <w:t>- количество СМСП, отвечающих критериям отнесения к социальному предпринимательству, направленных в МЭР СО (ГКУ СО «Информационно- консалтинговое агентство Самарской области») в размере 3 единиц. По состоянию на 01.07.2021 фактическое значение показателя  составило 8 единиц;</w:t>
      </w:r>
    </w:p>
    <w:p w14:paraId="71E30ABD" w14:textId="2BA2B20C" w:rsidR="004C28D5" w:rsidRPr="004C28D5" w:rsidRDefault="004C28D5" w:rsidP="004C28D5">
      <w:pPr>
        <w:numPr>
          <w:ilvl w:val="0"/>
          <w:numId w:val="5"/>
        </w:numPr>
        <w:spacing w:line="276" w:lineRule="auto"/>
        <w:ind w:left="0" w:firstLine="709"/>
        <w:rPr>
          <w:sz w:val="28"/>
          <w:szCs w:val="28"/>
        </w:rPr>
      </w:pPr>
      <w:r w:rsidRPr="004C28D5">
        <w:rPr>
          <w:sz w:val="28"/>
          <w:szCs w:val="28"/>
        </w:rPr>
        <w:t>- количество публикаций в муниципальных средствах массовой информации, официальных сайтах, наружная реклама в размере 37 единиц. По состоянию на 01.07.2021 фактическое значение показателя  составило 11 единиц;</w:t>
      </w:r>
    </w:p>
    <w:p w14:paraId="2E1FED5F" w14:textId="7C1E25F2" w:rsidR="004C28D5" w:rsidRPr="004C28D5" w:rsidRDefault="004C28D5" w:rsidP="004C28D5">
      <w:pPr>
        <w:numPr>
          <w:ilvl w:val="0"/>
          <w:numId w:val="5"/>
        </w:numPr>
        <w:spacing w:line="276" w:lineRule="auto"/>
        <w:ind w:left="0" w:firstLine="709"/>
        <w:rPr>
          <w:sz w:val="28"/>
          <w:szCs w:val="28"/>
        </w:rPr>
      </w:pPr>
      <w:r w:rsidRPr="004C28D5">
        <w:rPr>
          <w:sz w:val="28"/>
          <w:szCs w:val="28"/>
        </w:rPr>
        <w:lastRenderedPageBreak/>
        <w:t xml:space="preserve">- количество направленных в акционерное общество </w:t>
      </w:r>
      <w:proofErr w:type="spellStart"/>
      <w:r w:rsidRPr="004C28D5">
        <w:rPr>
          <w:sz w:val="28"/>
          <w:szCs w:val="28"/>
        </w:rPr>
        <w:t>микрокредитная</w:t>
      </w:r>
      <w:proofErr w:type="spellEnd"/>
      <w:r w:rsidRPr="004C28D5">
        <w:rPr>
          <w:sz w:val="28"/>
          <w:szCs w:val="28"/>
        </w:rPr>
        <w:t xml:space="preserve"> компания «Гарантийный Фонд Самарской области» данных о СМСП и физических лиц применяющих НПД (самозанятые) в размере 460 единиц. По состоянию на 01.07.2021 фактическое значение показателя  составило 545 единиц;</w:t>
      </w:r>
    </w:p>
    <w:p w14:paraId="3A60CE43" w14:textId="77777777" w:rsidR="00461669" w:rsidRDefault="004C28D5" w:rsidP="004C28D5">
      <w:pPr>
        <w:numPr>
          <w:ilvl w:val="0"/>
          <w:numId w:val="5"/>
        </w:numPr>
        <w:spacing w:line="276" w:lineRule="auto"/>
        <w:ind w:left="0" w:firstLine="709"/>
        <w:rPr>
          <w:sz w:val="28"/>
          <w:szCs w:val="28"/>
        </w:rPr>
      </w:pPr>
      <w:r w:rsidRPr="004C28D5">
        <w:rPr>
          <w:sz w:val="28"/>
          <w:szCs w:val="28"/>
        </w:rPr>
        <w:t xml:space="preserve">- количество направленных в центр поддержки экспорта самарской области данных о СМСП – потенциальных экспортерах в размере 17 единиц. </w:t>
      </w:r>
    </w:p>
    <w:p w14:paraId="19E220F8" w14:textId="2ED5B7EF" w:rsidR="004C28D5" w:rsidRPr="004C28D5" w:rsidRDefault="004C28D5" w:rsidP="004C28D5">
      <w:pPr>
        <w:numPr>
          <w:ilvl w:val="0"/>
          <w:numId w:val="5"/>
        </w:numPr>
        <w:spacing w:line="276" w:lineRule="auto"/>
        <w:ind w:left="0" w:firstLine="709"/>
        <w:rPr>
          <w:sz w:val="28"/>
          <w:szCs w:val="28"/>
        </w:rPr>
      </w:pPr>
      <w:r w:rsidRPr="004C28D5">
        <w:rPr>
          <w:sz w:val="28"/>
          <w:szCs w:val="28"/>
        </w:rPr>
        <w:t>По состоянию на 01.07.2021 фактическое значение показателя  составило 19 единиц;</w:t>
      </w:r>
    </w:p>
    <w:p w14:paraId="13177A33" w14:textId="466CB1A7" w:rsidR="004C28D5" w:rsidRPr="004C28D5" w:rsidRDefault="004C28D5" w:rsidP="004C28D5">
      <w:pPr>
        <w:numPr>
          <w:ilvl w:val="0"/>
          <w:numId w:val="5"/>
        </w:numPr>
        <w:spacing w:line="276" w:lineRule="auto"/>
        <w:ind w:left="0" w:firstLine="709"/>
        <w:rPr>
          <w:sz w:val="28"/>
          <w:szCs w:val="28"/>
        </w:rPr>
      </w:pPr>
      <w:r w:rsidRPr="004C28D5">
        <w:rPr>
          <w:sz w:val="28"/>
          <w:szCs w:val="28"/>
        </w:rPr>
        <w:t>- количество СМСП и физических лиц, получивших информационно-консультационную услугу при поддержке ГКУ СО «Информационно- консалтинговое агентство Самарской области» в размере 540 единиц. По состоянию на 01.07.2021 фактическое значение показателя  составило 227 единиц.</w:t>
      </w:r>
    </w:p>
    <w:p w14:paraId="06B7C189" w14:textId="4339F2E8" w:rsidR="004C28D5" w:rsidRPr="004C28D5" w:rsidRDefault="004C28D5" w:rsidP="004C28D5">
      <w:pPr>
        <w:numPr>
          <w:ilvl w:val="0"/>
          <w:numId w:val="5"/>
        </w:numPr>
        <w:tabs>
          <w:tab w:val="left" w:pos="142"/>
          <w:tab w:val="left" w:pos="9720"/>
        </w:tabs>
        <w:suppressAutoHyphens w:val="0"/>
        <w:spacing w:line="276" w:lineRule="auto"/>
        <w:ind w:left="0" w:firstLine="709"/>
        <w:contextualSpacing/>
        <w:textAlignment w:val="top"/>
        <w:rPr>
          <w:sz w:val="28"/>
          <w:szCs w:val="28"/>
        </w:rPr>
      </w:pPr>
      <w:r w:rsidRPr="004C28D5">
        <w:rPr>
          <w:sz w:val="28"/>
          <w:szCs w:val="28"/>
        </w:rPr>
        <w:t xml:space="preserve">В регионе создана доступная и удобная инфраструктура поддержки предпринимателей, а именно: фонд «Региональный центр развития предпринимательства Самарской области» (информационная и консультационная поддержка),  АО </w:t>
      </w:r>
      <w:proofErr w:type="spellStart"/>
      <w:r w:rsidRPr="004C28D5">
        <w:rPr>
          <w:sz w:val="28"/>
          <w:szCs w:val="28"/>
        </w:rPr>
        <w:t>Микрокредитная</w:t>
      </w:r>
      <w:proofErr w:type="spellEnd"/>
      <w:r w:rsidRPr="004C28D5">
        <w:rPr>
          <w:sz w:val="28"/>
          <w:szCs w:val="28"/>
        </w:rPr>
        <w:t xml:space="preserve"> компания «Гарантийный фонд Самарской области» (льготное кредитование, микрозаймы и гарантийная поддержка),  центр поддержки экспорта Самарской области (поддержка экспортно</w:t>
      </w:r>
      <w:r w:rsidR="00A9639F">
        <w:rPr>
          <w:sz w:val="28"/>
          <w:szCs w:val="28"/>
        </w:rPr>
        <w:t>-</w:t>
      </w:r>
      <w:r w:rsidRPr="004C28D5">
        <w:rPr>
          <w:sz w:val="28"/>
          <w:szCs w:val="28"/>
        </w:rPr>
        <w:t xml:space="preserve">ориентированных компаний), ГКУ СО «Информационно-консалтинговое агентство Самарской области» (обучающие мероприятия, информационная и консультационная поддержка) и центр «Мой Бизнес», благодаря которому  тольяттинские предприниматели могут воспользоваться всеми мерами поддержки по принципу «одного окна». </w:t>
      </w:r>
    </w:p>
    <w:p w14:paraId="5288516D" w14:textId="7D931951" w:rsidR="004C28D5" w:rsidRPr="004C28D5" w:rsidRDefault="00224EB2" w:rsidP="004C28D5">
      <w:pPr>
        <w:numPr>
          <w:ilvl w:val="0"/>
          <w:numId w:val="5"/>
        </w:numPr>
        <w:shd w:val="clear" w:color="auto" w:fill="FFFFFF"/>
        <w:spacing w:line="276" w:lineRule="auto"/>
        <w:ind w:left="0" w:firstLine="709"/>
        <w:rPr>
          <w:sz w:val="28"/>
          <w:szCs w:val="28"/>
        </w:rPr>
      </w:pPr>
      <w:r>
        <w:rPr>
          <w:sz w:val="28"/>
          <w:szCs w:val="28"/>
        </w:rPr>
        <w:t>Ц</w:t>
      </w:r>
      <w:r w:rsidR="004C28D5" w:rsidRPr="004C28D5">
        <w:rPr>
          <w:sz w:val="28"/>
          <w:szCs w:val="28"/>
        </w:rPr>
        <w:t xml:space="preserve">ентр «Мой бизнес», </w:t>
      </w:r>
      <w:r>
        <w:rPr>
          <w:sz w:val="28"/>
          <w:szCs w:val="28"/>
        </w:rPr>
        <w:t>функционирующий н</w:t>
      </w:r>
      <w:r w:rsidRPr="004C28D5">
        <w:rPr>
          <w:sz w:val="28"/>
          <w:szCs w:val="28"/>
        </w:rPr>
        <w:t>а территории бизнес-инкубатора</w:t>
      </w:r>
      <w:r>
        <w:rPr>
          <w:sz w:val="28"/>
          <w:szCs w:val="28"/>
        </w:rPr>
        <w:t>,</w:t>
      </w:r>
      <w:r w:rsidRPr="004C28D5">
        <w:rPr>
          <w:sz w:val="28"/>
          <w:szCs w:val="28"/>
        </w:rPr>
        <w:t xml:space="preserve"> </w:t>
      </w:r>
      <w:r>
        <w:rPr>
          <w:sz w:val="28"/>
          <w:szCs w:val="28"/>
        </w:rPr>
        <w:t>о</w:t>
      </w:r>
      <w:r w:rsidR="004C28D5" w:rsidRPr="004C28D5">
        <w:rPr>
          <w:sz w:val="28"/>
          <w:szCs w:val="28"/>
        </w:rPr>
        <w:t>казывает следующие виды услуг:</w:t>
      </w:r>
    </w:p>
    <w:p w14:paraId="52A8A654" w14:textId="77777777" w:rsidR="004C28D5" w:rsidRPr="004C28D5" w:rsidRDefault="004C28D5" w:rsidP="004C28D5">
      <w:pPr>
        <w:numPr>
          <w:ilvl w:val="0"/>
          <w:numId w:val="5"/>
        </w:numPr>
        <w:shd w:val="clear" w:color="auto" w:fill="FFFFFF"/>
        <w:spacing w:line="276" w:lineRule="auto"/>
        <w:ind w:left="0" w:firstLine="709"/>
        <w:rPr>
          <w:sz w:val="28"/>
          <w:szCs w:val="28"/>
        </w:rPr>
      </w:pPr>
      <w:r w:rsidRPr="004C28D5">
        <w:rPr>
          <w:sz w:val="28"/>
          <w:szCs w:val="28"/>
        </w:rPr>
        <w:t>- информирование о тренингах по программам обучения АО «Корпорация «МСП»;</w:t>
      </w:r>
    </w:p>
    <w:p w14:paraId="2B01B54A" w14:textId="77777777" w:rsidR="004C28D5" w:rsidRPr="004C28D5" w:rsidRDefault="004C28D5" w:rsidP="004C28D5">
      <w:pPr>
        <w:numPr>
          <w:ilvl w:val="0"/>
          <w:numId w:val="5"/>
        </w:numPr>
        <w:shd w:val="clear" w:color="auto" w:fill="FFFFFF"/>
        <w:spacing w:line="276" w:lineRule="auto"/>
        <w:ind w:left="0" w:firstLine="709"/>
        <w:rPr>
          <w:sz w:val="28"/>
          <w:szCs w:val="28"/>
        </w:rPr>
      </w:pPr>
      <w:r w:rsidRPr="004C28D5">
        <w:rPr>
          <w:sz w:val="28"/>
          <w:szCs w:val="28"/>
        </w:rPr>
        <w:t>- предоставление по заданным параметрам информации о формах и условиях финансовой поддержки субъектов малого и среднего предпринимательства;</w:t>
      </w:r>
    </w:p>
    <w:p w14:paraId="7B94AA60" w14:textId="77777777" w:rsidR="004C28D5" w:rsidRPr="004C28D5" w:rsidRDefault="004C28D5" w:rsidP="004C28D5">
      <w:pPr>
        <w:numPr>
          <w:ilvl w:val="0"/>
          <w:numId w:val="5"/>
        </w:numPr>
        <w:shd w:val="clear" w:color="auto" w:fill="FFFFFF"/>
        <w:spacing w:line="276" w:lineRule="auto"/>
        <w:ind w:left="0" w:firstLine="709"/>
        <w:rPr>
          <w:sz w:val="28"/>
          <w:szCs w:val="28"/>
        </w:rPr>
      </w:pPr>
      <w:r w:rsidRPr="004C28D5">
        <w:rPr>
          <w:sz w:val="28"/>
          <w:szCs w:val="28"/>
        </w:rPr>
        <w:t>-  предоставление информации об органах государственной власти, органах местного самоуправления, организациях. Образующих инфраструктуру поддержки субъектов малого и среднего предпринимательства, о мерах и условиях поддержки, предоставляемой на федеральном, региональном и муниципальном уровнях субъектам малого и среднего предпринимательства;</w:t>
      </w:r>
    </w:p>
    <w:p w14:paraId="1159248E" w14:textId="48294845" w:rsidR="004C28D5" w:rsidRPr="004C28D5" w:rsidRDefault="004C28D5" w:rsidP="004C28D5">
      <w:pPr>
        <w:numPr>
          <w:ilvl w:val="0"/>
          <w:numId w:val="5"/>
        </w:numPr>
        <w:shd w:val="clear" w:color="auto" w:fill="FFFFFF"/>
        <w:spacing w:line="276" w:lineRule="auto"/>
        <w:ind w:left="0" w:firstLine="709"/>
        <w:rPr>
          <w:sz w:val="28"/>
          <w:szCs w:val="28"/>
        </w:rPr>
      </w:pPr>
      <w:r w:rsidRPr="004C28D5">
        <w:rPr>
          <w:sz w:val="28"/>
          <w:szCs w:val="28"/>
        </w:rPr>
        <w:t>- по регистрации на Портале Бизнес-навигатор МСП;</w:t>
      </w:r>
    </w:p>
    <w:p w14:paraId="23DC22D8" w14:textId="77777777" w:rsidR="004C28D5" w:rsidRPr="004C28D5" w:rsidRDefault="004C28D5" w:rsidP="004C28D5">
      <w:pPr>
        <w:numPr>
          <w:ilvl w:val="0"/>
          <w:numId w:val="5"/>
        </w:numPr>
        <w:shd w:val="clear" w:color="auto" w:fill="FFFFFF"/>
        <w:spacing w:line="276" w:lineRule="auto"/>
        <w:ind w:left="0" w:firstLine="709"/>
        <w:rPr>
          <w:sz w:val="28"/>
          <w:szCs w:val="28"/>
        </w:rPr>
      </w:pPr>
      <w:r w:rsidRPr="004C28D5">
        <w:rPr>
          <w:sz w:val="28"/>
          <w:szCs w:val="28"/>
        </w:rPr>
        <w:lastRenderedPageBreak/>
        <w:t>- по государственной регистрации юридических лиц, физических лиц в качестве индивидуальных предпринимателей и крестьянских (фермерских) хозяйств;</w:t>
      </w:r>
    </w:p>
    <w:p w14:paraId="4F318857" w14:textId="77777777" w:rsidR="004C28D5" w:rsidRPr="004C28D5" w:rsidRDefault="004C28D5" w:rsidP="004C28D5">
      <w:pPr>
        <w:numPr>
          <w:ilvl w:val="0"/>
          <w:numId w:val="5"/>
        </w:numPr>
        <w:shd w:val="clear" w:color="auto" w:fill="FFFFFF"/>
        <w:spacing w:line="276" w:lineRule="auto"/>
        <w:ind w:left="0" w:firstLine="709"/>
        <w:rPr>
          <w:sz w:val="28"/>
          <w:szCs w:val="28"/>
        </w:rPr>
      </w:pPr>
      <w:r w:rsidRPr="004C28D5">
        <w:rPr>
          <w:sz w:val="28"/>
          <w:szCs w:val="28"/>
        </w:rPr>
        <w:t>- по регистрации в мобильном приложении «Мой налог».</w:t>
      </w:r>
    </w:p>
    <w:p w14:paraId="3A486392" w14:textId="4344D8CD" w:rsidR="004C28D5" w:rsidRPr="004C28D5" w:rsidRDefault="004C28D5" w:rsidP="004C28D5">
      <w:pPr>
        <w:numPr>
          <w:ilvl w:val="0"/>
          <w:numId w:val="5"/>
        </w:numPr>
        <w:spacing w:line="276" w:lineRule="auto"/>
        <w:ind w:left="0" w:firstLine="709"/>
        <w:rPr>
          <w:sz w:val="28"/>
          <w:szCs w:val="28"/>
        </w:rPr>
      </w:pPr>
      <w:r w:rsidRPr="004C28D5">
        <w:rPr>
          <w:sz w:val="28"/>
          <w:szCs w:val="28"/>
        </w:rPr>
        <w:t xml:space="preserve">На 01.07.2021 количество </w:t>
      </w:r>
      <w:r w:rsidR="00762A53">
        <w:rPr>
          <w:sz w:val="28"/>
          <w:szCs w:val="28"/>
        </w:rPr>
        <w:t>С</w:t>
      </w:r>
      <w:r w:rsidRPr="004C28D5">
        <w:rPr>
          <w:sz w:val="28"/>
          <w:szCs w:val="28"/>
        </w:rPr>
        <w:t>МСП получивших информационную и консультационную услуги в центре «Мой бизнес» - 8654 ед.</w:t>
      </w:r>
    </w:p>
    <w:p w14:paraId="0620BC72" w14:textId="6AFB6457" w:rsidR="004C28D5" w:rsidRPr="004C28D5" w:rsidRDefault="004C28D5" w:rsidP="004C28D5">
      <w:pPr>
        <w:numPr>
          <w:ilvl w:val="0"/>
          <w:numId w:val="5"/>
        </w:numPr>
        <w:spacing w:line="276" w:lineRule="auto"/>
        <w:ind w:left="0" w:firstLine="709"/>
        <w:rPr>
          <w:sz w:val="28"/>
          <w:szCs w:val="28"/>
        </w:rPr>
      </w:pPr>
      <w:r w:rsidRPr="004C28D5">
        <w:rPr>
          <w:sz w:val="28"/>
          <w:szCs w:val="28"/>
        </w:rPr>
        <w:t xml:space="preserve">В целях оказания дополнительных мер поддержки администрация </w:t>
      </w:r>
      <w:r w:rsidR="00C25CD4">
        <w:rPr>
          <w:sz w:val="28"/>
          <w:szCs w:val="28"/>
        </w:rPr>
        <w:t xml:space="preserve">городского округа Тольятти </w:t>
      </w:r>
      <w:r w:rsidRPr="004C28D5">
        <w:rPr>
          <w:sz w:val="28"/>
          <w:szCs w:val="28"/>
        </w:rPr>
        <w:t xml:space="preserve">совместно с МАУ «АЭР» организует бесплатные выставки-ярмарки для физических лиц, применяющих налог на профессиональный доход (самозанятые). Выставки-ярмарки проводятся с мая 2021 года на постоянной основе на территории Культурного центра «Автоград»,  сквера 50-летия АВТОВАЗа, сквера им. С.Ф. Жилкина, паркового комплекса истории техники им. К.Г. Сахарова. Среди участников выставок были производители изделий из дерева и фанеры, украшения ручной работы, мыло ручной работы, сувенирная продукция и др. По итогам первого полугодия 2021 года было организовано более 10 выставок-ярмарок, участие в которых принимали не менее 8 самозанятых граждан. </w:t>
      </w:r>
    </w:p>
    <w:p w14:paraId="30EA242D" w14:textId="77777777" w:rsidR="004C28D5" w:rsidRPr="004C28D5" w:rsidRDefault="004C28D5" w:rsidP="004C28D5">
      <w:pPr>
        <w:spacing w:line="276" w:lineRule="auto"/>
        <w:rPr>
          <w:sz w:val="28"/>
          <w:szCs w:val="28"/>
          <w:highlight w:val="yellow"/>
        </w:rPr>
      </w:pPr>
      <w:r w:rsidRPr="004C28D5">
        <w:rPr>
          <w:sz w:val="28"/>
          <w:szCs w:val="28"/>
        </w:rPr>
        <w:t>С целью расширения информационного поля для субъектов малого и среднего предпринимательства в городском округе Тольятти функционирует портал (www.biznes-63.ru), где регулярно публикуется информация о реализуемых в городском округе Тольятти мерах поддержки и порядках ее предоставления. Кроме того, информация размещается в социальных сетях Муниципального автономного учреждения городского округа Тольятти «Агентство экономического развития» (</w:t>
      </w:r>
      <w:proofErr w:type="spellStart"/>
      <w:r w:rsidRPr="004C28D5">
        <w:rPr>
          <w:sz w:val="28"/>
          <w:szCs w:val="28"/>
        </w:rPr>
        <w:t>Вконтакте</w:t>
      </w:r>
      <w:proofErr w:type="spellEnd"/>
      <w:r w:rsidRPr="004C28D5">
        <w:rPr>
          <w:sz w:val="28"/>
          <w:szCs w:val="28"/>
        </w:rPr>
        <w:t xml:space="preserve">, Facebook, </w:t>
      </w:r>
      <w:proofErr w:type="spellStart"/>
      <w:r w:rsidRPr="004C28D5">
        <w:rPr>
          <w:sz w:val="28"/>
          <w:szCs w:val="28"/>
        </w:rPr>
        <w:t>Instagram</w:t>
      </w:r>
      <w:proofErr w:type="spellEnd"/>
      <w:r w:rsidRPr="004C28D5">
        <w:rPr>
          <w:sz w:val="28"/>
          <w:szCs w:val="28"/>
        </w:rPr>
        <w:t xml:space="preserve">, </w:t>
      </w:r>
      <w:proofErr w:type="spellStart"/>
      <w:r w:rsidRPr="004C28D5">
        <w:rPr>
          <w:sz w:val="28"/>
          <w:szCs w:val="28"/>
        </w:rPr>
        <w:t>Twitt</w:t>
      </w:r>
      <w:proofErr w:type="spellEnd"/>
      <w:r w:rsidRPr="004C28D5">
        <w:rPr>
          <w:sz w:val="28"/>
          <w:szCs w:val="28"/>
        </w:rPr>
        <w:t xml:space="preserve"> </w:t>
      </w:r>
      <w:proofErr w:type="spellStart"/>
      <w:r w:rsidRPr="004C28D5">
        <w:rPr>
          <w:sz w:val="28"/>
          <w:szCs w:val="28"/>
        </w:rPr>
        <w:t>er</w:t>
      </w:r>
      <w:proofErr w:type="spellEnd"/>
      <w:r w:rsidRPr="004C28D5">
        <w:rPr>
          <w:sz w:val="28"/>
          <w:szCs w:val="28"/>
        </w:rPr>
        <w:t>).</w:t>
      </w:r>
    </w:p>
    <w:p w14:paraId="37EE26B2" w14:textId="32F71C5F" w:rsidR="00DC0D24" w:rsidRPr="007B1223" w:rsidRDefault="00DC0D24" w:rsidP="0048723E">
      <w:pPr>
        <w:pStyle w:val="3"/>
        <w:rPr>
          <w:sz w:val="28"/>
          <w:szCs w:val="28"/>
        </w:rPr>
      </w:pPr>
      <w:r w:rsidRPr="007B1223">
        <w:rPr>
          <w:sz w:val="28"/>
          <w:szCs w:val="28"/>
        </w:rPr>
        <w:t>Инвестиции в основной капитал</w:t>
      </w:r>
    </w:p>
    <w:p w14:paraId="464F4BBD" w14:textId="77777777" w:rsidR="00DC0D24" w:rsidRPr="00CF10FB" w:rsidRDefault="00DC0D24" w:rsidP="00CF10FB">
      <w:pPr>
        <w:pStyle w:val="aff0"/>
        <w:spacing w:line="276" w:lineRule="auto"/>
        <w:rPr>
          <w:szCs w:val="28"/>
          <w:shd w:val="clear" w:color="auto" w:fill="FFFFFF"/>
        </w:rPr>
      </w:pPr>
    </w:p>
    <w:p w14:paraId="3C59E297" w14:textId="5FE7D19E" w:rsidR="00CF10FB" w:rsidRPr="00CF10FB" w:rsidRDefault="00CF10FB" w:rsidP="00CF10FB">
      <w:pPr>
        <w:pStyle w:val="aff0"/>
        <w:spacing w:line="276" w:lineRule="auto"/>
        <w:rPr>
          <w:szCs w:val="28"/>
          <w:shd w:val="clear" w:color="auto" w:fill="FFFFFF"/>
        </w:rPr>
      </w:pPr>
      <w:r w:rsidRPr="00CF10FB">
        <w:rPr>
          <w:szCs w:val="28"/>
          <w:shd w:val="clear" w:color="auto" w:fill="FFFFFF"/>
        </w:rPr>
        <w:t>На протяжении 2018-2020 годов в городском округе Тольятти наблюдался рост инвестиций в основной капитал. Так, в 2020 году объем инвестиций в основной капитал по крупным и средним организациям вырос на 32,7% к уровню 2019 года и составил 45 821,2 млн. руб</w:t>
      </w:r>
      <w:r w:rsidR="00A732A3">
        <w:rPr>
          <w:szCs w:val="28"/>
          <w:shd w:val="clear" w:color="auto" w:fill="FFFFFF"/>
        </w:rPr>
        <w:t>лей</w:t>
      </w:r>
      <w:r w:rsidRPr="00CF10FB">
        <w:rPr>
          <w:szCs w:val="28"/>
          <w:shd w:val="clear" w:color="auto" w:fill="FFFFFF"/>
        </w:rPr>
        <w:t xml:space="preserve">. </w:t>
      </w:r>
    </w:p>
    <w:p w14:paraId="7C920209" w14:textId="5B95D48E" w:rsidR="00973CE8" w:rsidRDefault="00CF10FB" w:rsidP="00CF10FB">
      <w:pPr>
        <w:pStyle w:val="aff0"/>
        <w:spacing w:line="276" w:lineRule="auto"/>
        <w:rPr>
          <w:szCs w:val="28"/>
          <w:shd w:val="clear" w:color="auto" w:fill="FFFFFF"/>
        </w:rPr>
      </w:pPr>
      <w:r w:rsidRPr="00CF10FB">
        <w:rPr>
          <w:szCs w:val="28"/>
          <w:shd w:val="clear" w:color="auto" w:fill="FFFFFF"/>
        </w:rPr>
        <w:t>Положительная динамика сох</w:t>
      </w:r>
      <w:r>
        <w:rPr>
          <w:szCs w:val="28"/>
          <w:shd w:val="clear" w:color="auto" w:fill="FFFFFF"/>
        </w:rPr>
        <w:t xml:space="preserve">раняется и в текущем году: за </w:t>
      </w:r>
      <w:r w:rsidR="00B81A11">
        <w:rPr>
          <w:szCs w:val="28"/>
          <w:shd w:val="clear" w:color="auto" w:fill="FFFFFF"/>
          <w:lang w:val="en-US"/>
        </w:rPr>
        <w:t>I</w:t>
      </w:r>
      <w:r>
        <w:rPr>
          <w:szCs w:val="28"/>
          <w:shd w:val="clear" w:color="auto" w:fill="FFFFFF"/>
        </w:rPr>
        <w:t> </w:t>
      </w:r>
      <w:r w:rsidRPr="00CF10FB">
        <w:rPr>
          <w:szCs w:val="28"/>
          <w:shd w:val="clear" w:color="auto" w:fill="FFFFFF"/>
        </w:rPr>
        <w:t>полугодие 2021 года организациями городского округа Тольятти, не относящимися к субъектам малого предпринимательства, инвестировано в основной капитал 23 456,9 млн. руб</w:t>
      </w:r>
      <w:r w:rsidR="00A732A3">
        <w:rPr>
          <w:szCs w:val="28"/>
          <w:shd w:val="clear" w:color="auto" w:fill="FFFFFF"/>
        </w:rPr>
        <w:t>лей</w:t>
      </w:r>
      <w:r w:rsidRPr="00CF10FB">
        <w:rPr>
          <w:szCs w:val="28"/>
          <w:shd w:val="clear" w:color="auto" w:fill="FFFFFF"/>
        </w:rPr>
        <w:t xml:space="preserve">, что в 1,7 раза больше, чем в январе-июне 2020 года. </w:t>
      </w:r>
    </w:p>
    <w:p w14:paraId="48300EC0" w14:textId="0B29625D" w:rsidR="00EB3D7D" w:rsidRDefault="00CF10FB" w:rsidP="00EB3D7D">
      <w:pPr>
        <w:pStyle w:val="aff0"/>
        <w:spacing w:line="276" w:lineRule="auto"/>
        <w:rPr>
          <w:szCs w:val="28"/>
          <w:shd w:val="clear" w:color="auto" w:fill="FFFFFF"/>
        </w:rPr>
      </w:pPr>
      <w:r w:rsidRPr="00CF10FB">
        <w:rPr>
          <w:szCs w:val="28"/>
          <w:shd w:val="clear" w:color="auto" w:fill="FFFFFF"/>
        </w:rPr>
        <w:t xml:space="preserve">Доля </w:t>
      </w:r>
      <w:r w:rsidR="00973CE8">
        <w:rPr>
          <w:szCs w:val="28"/>
          <w:shd w:val="clear" w:color="auto" w:fill="FFFFFF"/>
        </w:rPr>
        <w:t xml:space="preserve">городского округа </w:t>
      </w:r>
      <w:r w:rsidRPr="00CF10FB">
        <w:rPr>
          <w:szCs w:val="28"/>
          <w:shd w:val="clear" w:color="auto" w:fill="FFFFFF"/>
        </w:rPr>
        <w:t xml:space="preserve">Тольятти в общем объеме инвестиций в основной капитал по Самарской области составила </w:t>
      </w:r>
      <w:r w:rsidR="00973CE8">
        <w:rPr>
          <w:szCs w:val="28"/>
          <w:shd w:val="clear" w:color="auto" w:fill="FFFFFF"/>
        </w:rPr>
        <w:t>25</w:t>
      </w:r>
      <w:r w:rsidRPr="00CF10FB">
        <w:rPr>
          <w:szCs w:val="28"/>
          <w:shd w:val="clear" w:color="auto" w:fill="FFFFFF"/>
        </w:rPr>
        <w:t xml:space="preserve">% (2 место, 1 место – </w:t>
      </w:r>
      <w:r w:rsidR="00BE6C67">
        <w:rPr>
          <w:szCs w:val="28"/>
          <w:shd w:val="clear" w:color="auto" w:fill="FFFFFF"/>
        </w:rPr>
        <w:t>г.о.</w:t>
      </w:r>
      <w:r w:rsidR="00973CE8">
        <w:rPr>
          <w:szCs w:val="28"/>
          <w:shd w:val="clear" w:color="auto" w:fill="FFFFFF"/>
        </w:rPr>
        <w:t xml:space="preserve"> </w:t>
      </w:r>
      <w:r w:rsidRPr="00CF10FB">
        <w:rPr>
          <w:szCs w:val="28"/>
          <w:shd w:val="clear" w:color="auto" w:fill="FFFFFF"/>
        </w:rPr>
        <w:t>Самара).</w:t>
      </w:r>
      <w:r w:rsidR="00973CE8">
        <w:rPr>
          <w:szCs w:val="28"/>
          <w:shd w:val="clear" w:color="auto" w:fill="FFFFFF"/>
        </w:rPr>
        <w:t xml:space="preserve"> В расчете на душу населения городской округ Тольятти занял 4 место (33</w:t>
      </w:r>
      <w:r w:rsidR="00BE6C67">
        <w:rPr>
          <w:szCs w:val="28"/>
          <w:shd w:val="clear" w:color="auto" w:fill="FFFFFF"/>
        </w:rPr>
        <w:t xml:space="preserve"> </w:t>
      </w:r>
      <w:r w:rsidR="00973CE8">
        <w:rPr>
          <w:szCs w:val="28"/>
          <w:shd w:val="clear" w:color="auto" w:fill="FFFFFF"/>
        </w:rPr>
        <w:t xml:space="preserve">845 рублей на человека), улучшив свою позицию на 1 пункт </w:t>
      </w:r>
      <w:r w:rsidR="00973CE8">
        <w:rPr>
          <w:szCs w:val="28"/>
          <w:shd w:val="clear" w:color="auto" w:fill="FFFFFF"/>
        </w:rPr>
        <w:lastRenderedPageBreak/>
        <w:t xml:space="preserve">(впереди г.о. Отрадный, г.о. Похвистнево, г.о. Новокуйбышевск за счет малочисленности населения по сравнению с г.о. Тольятти и г.о. Самара). </w:t>
      </w:r>
      <w:r w:rsidR="00EB3D7D" w:rsidRPr="00482B2E">
        <w:rPr>
          <w:rFonts w:eastAsiaTheme="minorEastAsia"/>
          <w:szCs w:val="28"/>
          <w:lang w:eastAsia="ru-RU"/>
        </w:rPr>
        <w:t xml:space="preserve">В рейтинге </w:t>
      </w:r>
      <w:r w:rsidR="00EB3D7D">
        <w:rPr>
          <w:rFonts w:eastAsiaTheme="minorEastAsia"/>
          <w:szCs w:val="28"/>
          <w:lang w:eastAsia="ru-RU"/>
        </w:rPr>
        <w:t xml:space="preserve">15 </w:t>
      </w:r>
      <w:r w:rsidR="00EB3D7D" w:rsidRPr="00482B2E">
        <w:rPr>
          <w:rFonts w:eastAsiaTheme="minorEastAsia"/>
          <w:szCs w:val="28"/>
          <w:lang w:eastAsia="ru-RU"/>
        </w:rPr>
        <w:t xml:space="preserve">городов Приволжского федерального округа </w:t>
      </w:r>
      <w:r w:rsidR="00EB3D7D">
        <w:rPr>
          <w:rFonts w:eastAsiaTheme="minorEastAsia"/>
          <w:szCs w:val="28"/>
          <w:lang w:eastAsia="ru-RU"/>
        </w:rPr>
        <w:t xml:space="preserve">городской округ </w:t>
      </w:r>
      <w:r w:rsidR="00EB3D7D" w:rsidRPr="00482B2E">
        <w:rPr>
          <w:rFonts w:eastAsiaTheme="minorEastAsia"/>
          <w:szCs w:val="28"/>
          <w:lang w:eastAsia="ru-RU"/>
        </w:rPr>
        <w:t>Тольятти занял 4 место</w:t>
      </w:r>
      <w:r w:rsidR="00EB3D7D">
        <w:rPr>
          <w:rFonts w:eastAsiaTheme="minorEastAsia"/>
          <w:szCs w:val="28"/>
          <w:lang w:eastAsia="ru-RU"/>
        </w:rPr>
        <w:t xml:space="preserve"> в расчете показателя на душу населения (г.о. Самара</w:t>
      </w:r>
      <w:r w:rsidR="000D1764">
        <w:rPr>
          <w:rFonts w:eastAsiaTheme="minorEastAsia"/>
          <w:szCs w:val="28"/>
          <w:lang w:eastAsia="ru-RU"/>
        </w:rPr>
        <w:t xml:space="preserve"> -</w:t>
      </w:r>
      <w:r w:rsidR="00EB3D7D">
        <w:rPr>
          <w:rFonts w:eastAsiaTheme="minorEastAsia"/>
          <w:szCs w:val="28"/>
          <w:lang w:eastAsia="ru-RU"/>
        </w:rPr>
        <w:t xml:space="preserve"> на </w:t>
      </w:r>
      <w:r w:rsidR="000D1764">
        <w:rPr>
          <w:rFonts w:eastAsiaTheme="minorEastAsia"/>
          <w:szCs w:val="28"/>
          <w:lang w:eastAsia="ru-RU"/>
        </w:rPr>
        <w:t>9</w:t>
      </w:r>
      <w:r w:rsidR="00EB3D7D">
        <w:rPr>
          <w:rFonts w:eastAsiaTheme="minorEastAsia"/>
          <w:szCs w:val="28"/>
          <w:lang w:eastAsia="ru-RU"/>
        </w:rPr>
        <w:t xml:space="preserve"> месте).</w:t>
      </w:r>
    </w:p>
    <w:p w14:paraId="17CF9F9F" w14:textId="09CEC8A4" w:rsidR="00CF10FB" w:rsidRPr="00CF10FB" w:rsidRDefault="00CF10FB" w:rsidP="00CF10FB">
      <w:pPr>
        <w:pStyle w:val="aff0"/>
        <w:spacing w:line="276" w:lineRule="auto"/>
        <w:rPr>
          <w:szCs w:val="28"/>
          <w:shd w:val="clear" w:color="auto" w:fill="FFFFFF"/>
        </w:rPr>
      </w:pPr>
      <w:r w:rsidRPr="00CF10FB">
        <w:rPr>
          <w:szCs w:val="28"/>
          <w:shd w:val="clear" w:color="auto" w:fill="FFFFFF"/>
        </w:rPr>
        <w:t xml:space="preserve">Основной источник финансирования инвестиций в </w:t>
      </w:r>
      <w:r w:rsidR="002E3A48">
        <w:rPr>
          <w:szCs w:val="28"/>
          <w:shd w:val="clear" w:color="auto" w:fill="FFFFFF"/>
          <w:lang w:val="en-US"/>
        </w:rPr>
        <w:t>I</w:t>
      </w:r>
      <w:r w:rsidRPr="00CF10FB">
        <w:rPr>
          <w:szCs w:val="28"/>
          <w:shd w:val="clear" w:color="auto" w:fill="FFFFFF"/>
        </w:rPr>
        <w:t xml:space="preserve"> полугодии 2021 года – собственные средства, их доля в отчетном периоде составила 53,3% от общего объема инвестиций (в </w:t>
      </w:r>
      <w:r w:rsidR="002E3A48">
        <w:rPr>
          <w:szCs w:val="28"/>
          <w:shd w:val="clear" w:color="auto" w:fill="FFFFFF"/>
          <w:lang w:val="en-US"/>
        </w:rPr>
        <w:t>I</w:t>
      </w:r>
      <w:r w:rsidRPr="00CF10FB">
        <w:rPr>
          <w:szCs w:val="28"/>
          <w:shd w:val="clear" w:color="auto" w:fill="FFFFFF"/>
        </w:rPr>
        <w:t xml:space="preserve"> полугодии 2020 года – 44,5%), в 1,5 раза выросли кредиты банков, в 1,3 раза заемные средства других организаций.</w:t>
      </w:r>
    </w:p>
    <w:p w14:paraId="132B6657" w14:textId="1485C501" w:rsidR="00CF10FB" w:rsidRPr="00CF10FB" w:rsidRDefault="00CF10FB" w:rsidP="00CF10FB">
      <w:pPr>
        <w:pStyle w:val="aff0"/>
        <w:spacing w:line="276" w:lineRule="auto"/>
        <w:rPr>
          <w:szCs w:val="28"/>
          <w:shd w:val="clear" w:color="auto" w:fill="FFFFFF"/>
        </w:rPr>
      </w:pPr>
      <w:r w:rsidRPr="00CF10FB">
        <w:rPr>
          <w:szCs w:val="28"/>
          <w:shd w:val="clear" w:color="auto" w:fill="FFFFFF"/>
        </w:rPr>
        <w:t xml:space="preserve">Объем инвестиций по обрабатывающим производствам в </w:t>
      </w:r>
      <w:r w:rsidR="002E3A48">
        <w:rPr>
          <w:szCs w:val="28"/>
          <w:shd w:val="clear" w:color="auto" w:fill="FFFFFF"/>
          <w:lang w:val="en-US"/>
        </w:rPr>
        <w:t>I</w:t>
      </w:r>
      <w:r w:rsidRPr="00CF10FB">
        <w:rPr>
          <w:szCs w:val="28"/>
          <w:shd w:val="clear" w:color="auto" w:fill="FFFFFF"/>
        </w:rPr>
        <w:t xml:space="preserve"> полугодии 2021 года вырос в 1,9 раза относительно аналогичного прошлогоднего периода, в том числе в автомобилестроении – в 2 раза, в химическом производстве – в 1,7 раза. Их доля в общем объеме инвестиций составила 89,2%.</w:t>
      </w:r>
    </w:p>
    <w:p w14:paraId="0301C757" w14:textId="77777777" w:rsidR="00CF10FB" w:rsidRPr="00CF10FB" w:rsidRDefault="00CF10FB" w:rsidP="00CF10FB">
      <w:pPr>
        <w:pStyle w:val="aff0"/>
        <w:spacing w:line="276" w:lineRule="auto"/>
        <w:rPr>
          <w:szCs w:val="28"/>
          <w:shd w:val="clear" w:color="auto" w:fill="FFFFFF"/>
        </w:rPr>
      </w:pPr>
      <w:r w:rsidRPr="00CF10FB">
        <w:rPr>
          <w:szCs w:val="28"/>
          <w:shd w:val="clear" w:color="auto" w:fill="FFFFFF"/>
        </w:rPr>
        <w:t xml:space="preserve"> На долю предприятий оптовой и розничной торговли пришлось 2,1% инвестиций (493,8 млн. рублей); на обеспечение электрической энергией, газом, паром – 1,3% (303,6 млн. рублей); водоснабжение, водоотведение, сбор и утилизацию отходов – 0,2% или 58,0 млн. рублей.</w:t>
      </w:r>
    </w:p>
    <w:p w14:paraId="6915D2D4" w14:textId="318C4B85" w:rsidR="00CF10FB" w:rsidRPr="00CF10FB" w:rsidRDefault="00CF10FB" w:rsidP="00CF10FB">
      <w:pPr>
        <w:pStyle w:val="aff0"/>
        <w:spacing w:line="276" w:lineRule="auto"/>
        <w:rPr>
          <w:szCs w:val="28"/>
          <w:shd w:val="clear" w:color="auto" w:fill="FFFFFF"/>
        </w:rPr>
      </w:pPr>
      <w:r w:rsidRPr="00CF10FB">
        <w:rPr>
          <w:szCs w:val="28"/>
          <w:shd w:val="clear" w:color="auto" w:fill="FFFFFF"/>
        </w:rPr>
        <w:t xml:space="preserve">Объемы инвестиций по виду деятельности «Производство автотранспортных средств, прицепов и полуприцепов» в </w:t>
      </w:r>
      <w:r w:rsidR="002E3A48">
        <w:rPr>
          <w:szCs w:val="28"/>
          <w:shd w:val="clear" w:color="auto" w:fill="FFFFFF"/>
          <w:lang w:val="en-US"/>
        </w:rPr>
        <w:t>I</w:t>
      </w:r>
      <w:r w:rsidRPr="00CF10FB">
        <w:rPr>
          <w:szCs w:val="28"/>
          <w:shd w:val="clear" w:color="auto" w:fill="FFFFFF"/>
        </w:rPr>
        <w:t xml:space="preserve"> полугодии 2021 года составили 8 593,7 млн. рублей (36,6% от общего объема инвестиций в основной капитал). </w:t>
      </w:r>
    </w:p>
    <w:p w14:paraId="054607E1" w14:textId="5E13A91B" w:rsidR="00CF10FB" w:rsidRPr="00CF10FB" w:rsidRDefault="00CF10FB" w:rsidP="00CF10FB">
      <w:pPr>
        <w:pStyle w:val="aff0"/>
        <w:spacing w:line="276" w:lineRule="auto"/>
        <w:rPr>
          <w:szCs w:val="28"/>
          <w:shd w:val="clear" w:color="auto" w:fill="FFFFFF"/>
        </w:rPr>
      </w:pPr>
      <w:r w:rsidRPr="00CF10FB">
        <w:rPr>
          <w:szCs w:val="28"/>
          <w:shd w:val="clear" w:color="auto" w:fill="FFFFFF"/>
        </w:rPr>
        <w:t xml:space="preserve">По результатам </w:t>
      </w:r>
      <w:r w:rsidR="002E3A48">
        <w:rPr>
          <w:szCs w:val="28"/>
          <w:shd w:val="clear" w:color="auto" w:fill="FFFFFF"/>
          <w:lang w:val="en-US"/>
        </w:rPr>
        <w:t>I</w:t>
      </w:r>
      <w:r w:rsidRPr="00CF10FB">
        <w:rPr>
          <w:szCs w:val="28"/>
          <w:shd w:val="clear" w:color="auto" w:fill="FFFFFF"/>
        </w:rPr>
        <w:t xml:space="preserve"> полугодия 2021 </w:t>
      </w:r>
      <w:r w:rsidR="00BE6C67">
        <w:rPr>
          <w:szCs w:val="28"/>
          <w:shd w:val="clear" w:color="auto" w:fill="FFFFFF"/>
        </w:rPr>
        <w:t xml:space="preserve">года </w:t>
      </w:r>
      <w:r w:rsidRPr="00CF10FB">
        <w:rPr>
          <w:szCs w:val="28"/>
          <w:shd w:val="clear" w:color="auto" w:fill="FFFFFF"/>
        </w:rPr>
        <w:t xml:space="preserve">объем инвестиций в основной капитал на АО «АВТОВАЗ» </w:t>
      </w:r>
      <w:r w:rsidR="00973CE8">
        <w:rPr>
          <w:szCs w:val="28"/>
          <w:shd w:val="clear" w:color="auto" w:fill="FFFFFF"/>
        </w:rPr>
        <w:t xml:space="preserve">существенно </w:t>
      </w:r>
      <w:r w:rsidRPr="00CF10FB">
        <w:rPr>
          <w:szCs w:val="28"/>
          <w:shd w:val="clear" w:color="auto" w:fill="FFFFFF"/>
        </w:rPr>
        <w:t xml:space="preserve">вырос. На предприятии реализуются инвестиционные проекты, направленные на организацию и развитие производства автомобилей на платформе В0, производство семейства автомобилей LADA B/C, производство автомобилей LADA GRANTA и LADA KALINA, LARGUS производство автомобилей XRAY, локализацию двигателя Н4, производство автомобиля 4х4 NG (New Generation). </w:t>
      </w:r>
    </w:p>
    <w:p w14:paraId="6AA8F5B0" w14:textId="77777777" w:rsidR="00CF10FB" w:rsidRPr="00CF10FB" w:rsidRDefault="00CF10FB" w:rsidP="00CF10FB">
      <w:pPr>
        <w:pStyle w:val="aff0"/>
        <w:spacing w:line="276" w:lineRule="auto"/>
        <w:rPr>
          <w:szCs w:val="28"/>
          <w:shd w:val="clear" w:color="auto" w:fill="FFFFFF"/>
        </w:rPr>
      </w:pPr>
      <w:r w:rsidRPr="00CF10FB">
        <w:rPr>
          <w:szCs w:val="28"/>
          <w:shd w:val="clear" w:color="auto" w:fill="FFFFFF"/>
        </w:rPr>
        <w:t xml:space="preserve">Также предприятие продолжает модернизировать производственные технологии и процессы, в отдельных производствах были выполнены подготовительные работы для будущих и действующих проектов, модернизированы сборочные линии, продолжены работы по организации процесса контроля качества автомобилей по стандартам Альянса. </w:t>
      </w:r>
    </w:p>
    <w:p w14:paraId="6EE64E8E" w14:textId="77777777" w:rsidR="00CF10FB" w:rsidRPr="00CF10FB" w:rsidRDefault="00CF10FB" w:rsidP="00CF10FB">
      <w:pPr>
        <w:pStyle w:val="aff0"/>
        <w:spacing w:line="276" w:lineRule="auto"/>
        <w:rPr>
          <w:szCs w:val="28"/>
          <w:shd w:val="clear" w:color="auto" w:fill="FFFFFF"/>
        </w:rPr>
      </w:pPr>
      <w:r w:rsidRPr="00CF10FB">
        <w:rPr>
          <w:szCs w:val="28"/>
          <w:shd w:val="clear" w:color="auto" w:fill="FFFFFF"/>
        </w:rPr>
        <w:t>Объемы инвестиций в основной капитал по виду деятельности «Производство химических веществ и химических продуктов» в январе-июне 2021 года составили 10 888,4 млн. рублей или 46,4% от общего объема инвестиций в основной капитал.</w:t>
      </w:r>
    </w:p>
    <w:p w14:paraId="146093D3" w14:textId="0B7BBB3D" w:rsidR="00CF10FB" w:rsidRPr="00CF10FB" w:rsidRDefault="00CF10FB" w:rsidP="00CF10FB">
      <w:pPr>
        <w:pStyle w:val="aff0"/>
        <w:spacing w:line="276" w:lineRule="auto"/>
        <w:rPr>
          <w:szCs w:val="28"/>
          <w:shd w:val="clear" w:color="auto" w:fill="FFFFFF"/>
        </w:rPr>
      </w:pPr>
      <w:r w:rsidRPr="00CF10FB">
        <w:rPr>
          <w:szCs w:val="28"/>
          <w:shd w:val="clear" w:color="auto" w:fill="FFFFFF"/>
        </w:rPr>
        <w:lastRenderedPageBreak/>
        <w:t xml:space="preserve">На ПАО «Куйбышевазот» в январе-июне 2021 года отмечен рост инвестиций в основной капитал. На предприятии продолжается реализация проектов по техническому перевооружению, модернизации действующих мощностей и строительству новых. </w:t>
      </w:r>
    </w:p>
    <w:p w14:paraId="5813D167" w14:textId="27682E49" w:rsidR="00CF10FB" w:rsidRPr="00CF10FB" w:rsidRDefault="00CF10FB" w:rsidP="00CF10FB">
      <w:pPr>
        <w:pStyle w:val="aff0"/>
        <w:spacing w:line="276" w:lineRule="auto"/>
        <w:rPr>
          <w:szCs w:val="28"/>
          <w:shd w:val="clear" w:color="auto" w:fill="FFFFFF"/>
        </w:rPr>
      </w:pPr>
      <w:r w:rsidRPr="00CF10FB">
        <w:rPr>
          <w:szCs w:val="28"/>
          <w:shd w:val="clear" w:color="auto" w:fill="FFFFFF"/>
        </w:rPr>
        <w:t>В августе 2021 года состоялся торжественный запуск </w:t>
      </w:r>
      <w:hyperlink r:id="rId8" w:tgtFrame="_blank" w:history="1">
        <w:r w:rsidRPr="00CF10FB">
          <w:rPr>
            <w:szCs w:val="28"/>
            <w:shd w:val="clear" w:color="auto" w:fill="FFFFFF"/>
          </w:rPr>
          <w:t>нового производства</w:t>
        </w:r>
      </w:hyperlink>
      <w:r w:rsidRPr="00CF10FB">
        <w:rPr>
          <w:szCs w:val="28"/>
          <w:shd w:val="clear" w:color="auto" w:fill="FFFFFF"/>
        </w:rPr>
        <w:t xml:space="preserve"> на предприятии по производству гранулированного сульфат-нитрата аммония мощностью 1 100 т/сутки с общим объемом инвестиций более 4 млрд. рублей, в </w:t>
      </w:r>
      <w:r w:rsidR="00973CE8">
        <w:rPr>
          <w:szCs w:val="28"/>
          <w:shd w:val="clear" w:color="auto" w:fill="FFFFFF"/>
        </w:rPr>
        <w:t>том числе</w:t>
      </w:r>
      <w:r w:rsidRPr="00CF10FB">
        <w:rPr>
          <w:szCs w:val="28"/>
          <w:shd w:val="clear" w:color="auto" w:fill="FFFFFF"/>
        </w:rPr>
        <w:t xml:space="preserve"> на 2021 год – 289 млн. рублей (создано 42 рабочих места).</w:t>
      </w:r>
    </w:p>
    <w:p w14:paraId="0B554EC3" w14:textId="103B64CA" w:rsidR="00CF10FB" w:rsidRPr="00CF10FB" w:rsidRDefault="00CF10FB" w:rsidP="00CF10FB">
      <w:pPr>
        <w:pStyle w:val="aff0"/>
        <w:spacing w:line="276" w:lineRule="auto"/>
        <w:rPr>
          <w:szCs w:val="28"/>
          <w:shd w:val="clear" w:color="auto" w:fill="FFFFFF"/>
        </w:rPr>
      </w:pPr>
      <w:r w:rsidRPr="00CF10FB">
        <w:rPr>
          <w:szCs w:val="28"/>
          <w:shd w:val="clear" w:color="auto" w:fill="FFFFFF"/>
        </w:rPr>
        <w:t xml:space="preserve">В сотрудничестве с </w:t>
      </w:r>
      <w:proofErr w:type="spellStart"/>
      <w:r w:rsidRPr="00CF10FB">
        <w:rPr>
          <w:szCs w:val="28"/>
          <w:shd w:val="clear" w:color="auto" w:fill="FFFFFF"/>
        </w:rPr>
        <w:t>Stamicarbon</w:t>
      </w:r>
      <w:proofErr w:type="spellEnd"/>
      <w:r w:rsidRPr="00CF10FB">
        <w:rPr>
          <w:szCs w:val="28"/>
          <w:shd w:val="clear" w:color="auto" w:fill="FFFFFF"/>
        </w:rPr>
        <w:t xml:space="preserve"> выполняются строительно-монтажные работы в рамках строительства нового энергоэффективного агрегата карбамида мощностью 1,5 тыс. т/сутки с общим объемом инве</w:t>
      </w:r>
      <w:r w:rsidR="00BE6C67">
        <w:rPr>
          <w:szCs w:val="28"/>
          <w:shd w:val="clear" w:color="auto" w:fill="FFFFFF"/>
        </w:rPr>
        <w:t>стиций – 5,9 млрд. рублей, в том числе</w:t>
      </w:r>
      <w:r w:rsidRPr="00CF10FB">
        <w:rPr>
          <w:szCs w:val="28"/>
          <w:shd w:val="clear" w:color="auto" w:fill="FFFFFF"/>
        </w:rPr>
        <w:t xml:space="preserve"> на 2021 год – 1,0 млрд. рублей. В проекте применяется прогрессивная технология, обеспечивающая экологически чистое и безопасное производство, уровень потребления ресурсов, соответствующий лучшим мировым аналогам. По состоянию на 01.07.2021 создано 38 рабочих мест (до конца проекта планируется создание 50 рабочих мест).</w:t>
      </w:r>
    </w:p>
    <w:p w14:paraId="62BB495B" w14:textId="77777777" w:rsidR="00CF10FB" w:rsidRPr="00CF10FB" w:rsidRDefault="00CF10FB" w:rsidP="00CF10FB">
      <w:pPr>
        <w:pStyle w:val="aff0"/>
        <w:spacing w:line="276" w:lineRule="auto"/>
        <w:rPr>
          <w:szCs w:val="28"/>
          <w:shd w:val="clear" w:color="auto" w:fill="FFFFFF"/>
        </w:rPr>
      </w:pPr>
      <w:r w:rsidRPr="00CF10FB">
        <w:rPr>
          <w:szCs w:val="28"/>
          <w:shd w:val="clear" w:color="auto" w:fill="FFFFFF"/>
        </w:rPr>
        <w:t>Кроме того, на предприятии продолжается строительство очистных сооружений «</w:t>
      </w:r>
      <w:proofErr w:type="spellStart"/>
      <w:r w:rsidRPr="00CF10FB">
        <w:rPr>
          <w:szCs w:val="28"/>
          <w:shd w:val="clear" w:color="auto" w:fill="FFFFFF"/>
        </w:rPr>
        <w:t>Копань</w:t>
      </w:r>
      <w:proofErr w:type="spellEnd"/>
      <w:r w:rsidRPr="00CF10FB">
        <w:rPr>
          <w:szCs w:val="28"/>
          <w:shd w:val="clear" w:color="auto" w:fill="FFFFFF"/>
        </w:rPr>
        <w:t>» с общим объемом инвестиций около 1,5 млрд. рублей. По состоянию на 01.07.2021 создано 16 рабочих мест (до конца проекта планируется создание до 20 рабочих мест).</w:t>
      </w:r>
    </w:p>
    <w:p w14:paraId="281B4D32" w14:textId="5FA3FF7E" w:rsidR="00CF10FB" w:rsidRPr="00CF10FB" w:rsidRDefault="00CF10FB" w:rsidP="00CF10FB">
      <w:pPr>
        <w:pStyle w:val="aff0"/>
        <w:spacing w:line="276" w:lineRule="auto"/>
        <w:rPr>
          <w:szCs w:val="28"/>
          <w:shd w:val="clear" w:color="auto" w:fill="FFFFFF"/>
        </w:rPr>
      </w:pPr>
      <w:r w:rsidRPr="00CF10FB">
        <w:rPr>
          <w:szCs w:val="28"/>
          <w:shd w:val="clear" w:color="auto" w:fill="FFFFFF"/>
        </w:rPr>
        <w:t xml:space="preserve">На ПАО «Тольяттиазот» продолжается реализация инвестиционных проектов по строительству агрегата карбамида с общим объемом инвестиций более 30 млрд. рублей (в </w:t>
      </w:r>
      <w:r w:rsidR="00BE6C67">
        <w:rPr>
          <w:szCs w:val="28"/>
          <w:shd w:val="clear" w:color="auto" w:fill="FFFFFF"/>
        </w:rPr>
        <w:t>том числе на</w:t>
      </w:r>
      <w:r w:rsidRPr="00CF10FB">
        <w:rPr>
          <w:szCs w:val="28"/>
          <w:shd w:val="clear" w:color="auto" w:fill="FFFFFF"/>
        </w:rPr>
        <w:t xml:space="preserve"> 2021 г</w:t>
      </w:r>
      <w:r w:rsidR="00BE6C67">
        <w:rPr>
          <w:szCs w:val="28"/>
          <w:shd w:val="clear" w:color="auto" w:fill="FFFFFF"/>
        </w:rPr>
        <w:t>од</w:t>
      </w:r>
      <w:r w:rsidRPr="00CF10FB">
        <w:rPr>
          <w:szCs w:val="28"/>
          <w:shd w:val="clear" w:color="auto" w:fill="FFFFFF"/>
        </w:rPr>
        <w:t xml:space="preserve"> – 5,3 млрд. рублей.) и реконструкции биологических очистных сооружений с общим объемом инвестиций 3,7 млрд. рублей. </w:t>
      </w:r>
    </w:p>
    <w:p w14:paraId="3A6D423E" w14:textId="77777777" w:rsidR="00CF10FB" w:rsidRPr="00CF10FB" w:rsidRDefault="00CF10FB" w:rsidP="00CF10FB">
      <w:pPr>
        <w:pStyle w:val="aff0"/>
        <w:spacing w:line="276" w:lineRule="auto"/>
        <w:rPr>
          <w:szCs w:val="28"/>
          <w:shd w:val="clear" w:color="auto" w:fill="FFFFFF"/>
        </w:rPr>
      </w:pPr>
      <w:r w:rsidRPr="00CF10FB">
        <w:rPr>
          <w:szCs w:val="28"/>
          <w:shd w:val="clear" w:color="auto" w:fill="FFFFFF"/>
        </w:rPr>
        <w:t>ПАО «Татнефть» в настоящее время продолжает проработку программы модернизации ООО «</w:t>
      </w:r>
      <w:proofErr w:type="spellStart"/>
      <w:r w:rsidRPr="00CF10FB">
        <w:rPr>
          <w:szCs w:val="28"/>
          <w:shd w:val="clear" w:color="auto" w:fill="FFFFFF"/>
        </w:rPr>
        <w:t>Тольяттикаучука</w:t>
      </w:r>
      <w:proofErr w:type="spellEnd"/>
      <w:r w:rsidRPr="00CF10FB">
        <w:rPr>
          <w:szCs w:val="28"/>
          <w:shd w:val="clear" w:color="auto" w:fill="FFFFFF"/>
        </w:rPr>
        <w:t xml:space="preserve">», выкупленного у </w:t>
      </w:r>
      <w:proofErr w:type="spellStart"/>
      <w:r w:rsidRPr="00CF10FB">
        <w:rPr>
          <w:szCs w:val="28"/>
          <w:shd w:val="clear" w:color="auto" w:fill="FFFFFF"/>
        </w:rPr>
        <w:t>СИБУРа</w:t>
      </w:r>
      <w:proofErr w:type="spellEnd"/>
      <w:r w:rsidRPr="00CF10FB">
        <w:rPr>
          <w:szCs w:val="28"/>
          <w:shd w:val="clear" w:color="auto" w:fill="FFFFFF"/>
        </w:rPr>
        <w:t xml:space="preserve"> в 2019 году. </w:t>
      </w:r>
    </w:p>
    <w:p w14:paraId="0C931E84" w14:textId="77777777" w:rsidR="00CF10FB" w:rsidRPr="00CF10FB" w:rsidRDefault="00CF10FB" w:rsidP="00CF10FB">
      <w:pPr>
        <w:pStyle w:val="aff0"/>
        <w:spacing w:line="276" w:lineRule="auto"/>
        <w:rPr>
          <w:szCs w:val="28"/>
          <w:shd w:val="clear" w:color="auto" w:fill="FFFFFF"/>
        </w:rPr>
      </w:pPr>
      <w:r w:rsidRPr="00CF10FB">
        <w:rPr>
          <w:szCs w:val="28"/>
          <w:shd w:val="clear" w:color="auto" w:fill="FFFFFF"/>
        </w:rPr>
        <w:t>На предприятии продолжается реализация инвестиционных проектов по техническому перевооружению печей Пч-4/1,2 установки дегидрирования изобутана (БК-2), а также по увеличению производства ИИФ за счет снижения потерь изобутилена.</w:t>
      </w:r>
    </w:p>
    <w:p w14:paraId="03066734" w14:textId="77777777" w:rsidR="00CF10FB" w:rsidRPr="00CF10FB" w:rsidRDefault="00CF10FB" w:rsidP="00CF10FB">
      <w:pPr>
        <w:pStyle w:val="aff0"/>
        <w:spacing w:line="276" w:lineRule="auto"/>
        <w:rPr>
          <w:szCs w:val="28"/>
          <w:shd w:val="clear" w:color="auto" w:fill="FFFFFF"/>
        </w:rPr>
      </w:pPr>
      <w:r w:rsidRPr="00CF10FB">
        <w:rPr>
          <w:szCs w:val="28"/>
          <w:shd w:val="clear" w:color="auto" w:fill="FFFFFF"/>
        </w:rPr>
        <w:t>Кроме того, в отчетном периоде продолжено развитие индустриального парка «</w:t>
      </w:r>
      <w:proofErr w:type="spellStart"/>
      <w:r w:rsidRPr="00CF10FB">
        <w:rPr>
          <w:szCs w:val="28"/>
          <w:shd w:val="clear" w:color="auto" w:fill="FFFFFF"/>
        </w:rPr>
        <w:t>Тольяттисинтез</w:t>
      </w:r>
      <w:proofErr w:type="spellEnd"/>
      <w:r w:rsidRPr="00CF10FB">
        <w:rPr>
          <w:szCs w:val="28"/>
          <w:shd w:val="clear" w:color="auto" w:fill="FFFFFF"/>
        </w:rPr>
        <w:t xml:space="preserve">»: в настоящее время 15 резидентов парка выпускают разнообразную продукцию из нефтехимического сырья, из них 5 – осуществляют производственную деятельность на основании заключенных соглашений о ведении производственной деятельности. По состоянию на </w:t>
      </w:r>
      <w:r w:rsidRPr="00CF10FB">
        <w:rPr>
          <w:szCs w:val="28"/>
          <w:shd w:val="clear" w:color="auto" w:fill="FFFFFF"/>
        </w:rPr>
        <w:lastRenderedPageBreak/>
        <w:t>30.06.2021 общий объем освоенных средств по проекту составил 1,4 млрд. рублей, создано 766 постоянных рабочих места (без учета якорного резидента – ООО «</w:t>
      </w:r>
      <w:proofErr w:type="spellStart"/>
      <w:r w:rsidRPr="00CF10FB">
        <w:rPr>
          <w:szCs w:val="28"/>
          <w:shd w:val="clear" w:color="auto" w:fill="FFFFFF"/>
        </w:rPr>
        <w:t>Тольяттикаучук</w:t>
      </w:r>
      <w:proofErr w:type="spellEnd"/>
      <w:r w:rsidRPr="00CF10FB">
        <w:rPr>
          <w:szCs w:val="28"/>
          <w:shd w:val="clear" w:color="auto" w:fill="FFFFFF"/>
        </w:rPr>
        <w:t>»).</w:t>
      </w:r>
    </w:p>
    <w:p w14:paraId="27B1E0AD" w14:textId="77777777" w:rsidR="00CF10FB" w:rsidRPr="00CF10FB" w:rsidRDefault="00CF10FB" w:rsidP="00CF10FB">
      <w:pPr>
        <w:pStyle w:val="aff0"/>
        <w:spacing w:line="276" w:lineRule="auto"/>
        <w:rPr>
          <w:szCs w:val="28"/>
          <w:shd w:val="clear" w:color="auto" w:fill="FFFFFF"/>
        </w:rPr>
      </w:pPr>
      <w:r w:rsidRPr="00CF10FB">
        <w:rPr>
          <w:szCs w:val="28"/>
          <w:shd w:val="clear" w:color="auto" w:fill="FFFFFF"/>
        </w:rPr>
        <w:t xml:space="preserve">Специфика производственной деятельности резидентов: производство синтетического каучука различных марок, топливных компонентов, производство ингибиторов солеотложения, коррозии и </w:t>
      </w:r>
      <w:proofErr w:type="spellStart"/>
      <w:r w:rsidRPr="00CF10FB">
        <w:rPr>
          <w:szCs w:val="28"/>
          <w:shd w:val="clear" w:color="auto" w:fill="FFFFFF"/>
        </w:rPr>
        <w:t>биоцидов</w:t>
      </w:r>
      <w:proofErr w:type="spellEnd"/>
      <w:r w:rsidRPr="00CF10FB">
        <w:rPr>
          <w:szCs w:val="28"/>
          <w:shd w:val="clear" w:color="auto" w:fill="FFFFFF"/>
        </w:rPr>
        <w:t xml:space="preserve">, производство полипропиленовых труб, производство </w:t>
      </w:r>
      <w:proofErr w:type="spellStart"/>
      <w:r w:rsidRPr="00CF10FB">
        <w:rPr>
          <w:szCs w:val="28"/>
          <w:shd w:val="clear" w:color="auto" w:fill="FFFFFF"/>
        </w:rPr>
        <w:t>противотурбулентных</w:t>
      </w:r>
      <w:proofErr w:type="spellEnd"/>
      <w:r w:rsidRPr="00CF10FB">
        <w:rPr>
          <w:szCs w:val="28"/>
          <w:shd w:val="clear" w:color="auto" w:fill="FFFFFF"/>
        </w:rPr>
        <w:t xml:space="preserve"> присадок, производство раствора ВС-1 для производства синтетического каучука, производство металлических изделий и др. Осуществляется подготовка к запуску производства пластмассовых изделий для автомобильной промышленности.</w:t>
      </w:r>
    </w:p>
    <w:p w14:paraId="6E051BD2" w14:textId="318D644F" w:rsidR="00CF10FB" w:rsidRPr="00CF10FB" w:rsidRDefault="00CF10FB" w:rsidP="00CF10FB">
      <w:pPr>
        <w:pStyle w:val="aff0"/>
        <w:spacing w:line="276" w:lineRule="auto"/>
        <w:rPr>
          <w:szCs w:val="28"/>
          <w:shd w:val="clear" w:color="auto" w:fill="FFFFFF"/>
        </w:rPr>
      </w:pPr>
      <w:r w:rsidRPr="00CF10FB">
        <w:rPr>
          <w:szCs w:val="28"/>
          <w:shd w:val="clear" w:color="auto" w:fill="FFFFFF"/>
        </w:rPr>
        <w:t xml:space="preserve">Важную роль в повышении привлекательности городского округа Тольятти как места для вложения инвестиций и ведения бизнеса оказывает созданная территория опережающего социально-экономического развития (далее - ТОСЭР «Тольятти»), что способствует привлечению в город инвестиций и созданию новых рабочих мест. </w:t>
      </w:r>
    </w:p>
    <w:p w14:paraId="5509495D" w14:textId="77777777" w:rsidR="00CF10FB" w:rsidRPr="00CF10FB" w:rsidRDefault="00CF10FB" w:rsidP="00CF10FB">
      <w:pPr>
        <w:pStyle w:val="aff0"/>
        <w:spacing w:line="276" w:lineRule="auto"/>
        <w:rPr>
          <w:szCs w:val="28"/>
          <w:shd w:val="clear" w:color="auto" w:fill="FFFFFF"/>
        </w:rPr>
      </w:pPr>
      <w:r w:rsidRPr="00CF10FB">
        <w:rPr>
          <w:szCs w:val="28"/>
          <w:shd w:val="clear" w:color="auto" w:fill="FFFFFF"/>
        </w:rPr>
        <w:t xml:space="preserve">В настоящее время ТОСЭР «Тольятти» является лидером по количеству резидентов среди всех территорий опережающего социально-экономического развития страны, что свидетельствует о том, что интерес потенциальных инвесторов к городу растет. Резидентам ТОСЭР «Тольятти» предоставляются льготные ставки по налогу на прибыль, освобождение от налога на имущество и налога на землю, существенно низкий процент по страховым выплатам. </w:t>
      </w:r>
    </w:p>
    <w:p w14:paraId="59506541" w14:textId="7775240B" w:rsidR="009B2CE3" w:rsidRPr="009B2CE3" w:rsidRDefault="009B2CE3" w:rsidP="009B2CE3">
      <w:pPr>
        <w:widowControl w:val="0"/>
        <w:spacing w:line="276" w:lineRule="auto"/>
        <w:rPr>
          <w:sz w:val="28"/>
          <w:szCs w:val="28"/>
          <w:shd w:val="clear" w:color="auto" w:fill="FFFFFF"/>
        </w:rPr>
      </w:pPr>
      <w:r w:rsidRPr="009B2CE3">
        <w:rPr>
          <w:sz w:val="28"/>
          <w:szCs w:val="28"/>
          <w:shd w:val="clear" w:color="auto" w:fill="FFFFFF"/>
        </w:rPr>
        <w:t>По состоянию на 01.07.2021 в статусе резидента ТОСЭР «Тольятти» функционир</w:t>
      </w:r>
      <w:r w:rsidR="00BE6C67">
        <w:rPr>
          <w:sz w:val="28"/>
          <w:szCs w:val="28"/>
          <w:shd w:val="clear" w:color="auto" w:fill="FFFFFF"/>
        </w:rPr>
        <w:t>овало</w:t>
      </w:r>
      <w:r w:rsidRPr="009B2CE3">
        <w:rPr>
          <w:sz w:val="28"/>
          <w:szCs w:val="28"/>
          <w:shd w:val="clear" w:color="auto" w:fill="FFFFFF"/>
        </w:rPr>
        <w:t xml:space="preserve"> 70 организаций (в </w:t>
      </w:r>
      <w:r w:rsidR="00BE6C67">
        <w:rPr>
          <w:sz w:val="28"/>
          <w:szCs w:val="28"/>
          <w:shd w:val="clear" w:color="auto" w:fill="FFFFFF"/>
        </w:rPr>
        <w:t>октябре</w:t>
      </w:r>
      <w:r w:rsidRPr="009B2CE3">
        <w:rPr>
          <w:sz w:val="28"/>
          <w:szCs w:val="28"/>
          <w:shd w:val="clear" w:color="auto" w:fill="FFFFFF"/>
        </w:rPr>
        <w:t xml:space="preserve"> - 69 организаций). Всего резидентами ТОСЭР «Тольятти» инвестировано около 20,4 млрд. рублей (по состоянию на 01.07.2021) и создано около 6,7 тыс. новых рабочих мест (в </w:t>
      </w:r>
      <w:r w:rsidR="00A21CAD">
        <w:rPr>
          <w:sz w:val="28"/>
          <w:szCs w:val="28"/>
          <w:shd w:val="clear" w:color="auto" w:fill="FFFFFF"/>
        </w:rPr>
        <w:t>том числе</w:t>
      </w:r>
      <w:r w:rsidRPr="009B2CE3">
        <w:rPr>
          <w:sz w:val="28"/>
          <w:szCs w:val="28"/>
          <w:shd w:val="clear" w:color="auto" w:fill="FFFFFF"/>
        </w:rPr>
        <w:t xml:space="preserve"> более 1,1 тыс. новых рабочих мест – в 2021 году). В </w:t>
      </w:r>
      <w:r w:rsidR="002E3A48">
        <w:rPr>
          <w:sz w:val="28"/>
          <w:szCs w:val="28"/>
          <w:shd w:val="clear" w:color="auto" w:fill="FFFFFF"/>
          <w:lang w:val="en-US"/>
        </w:rPr>
        <w:t>I</w:t>
      </w:r>
      <w:r w:rsidRPr="009B2CE3">
        <w:rPr>
          <w:sz w:val="28"/>
          <w:szCs w:val="28"/>
          <w:shd w:val="clear" w:color="auto" w:fill="FFFFFF"/>
        </w:rPr>
        <w:t> полугодии 2021 года резидентами инвестировано 3,6 млрд. рублей, в 2021 году планируется освоить около 6,5 млрд. рублей.</w:t>
      </w:r>
    </w:p>
    <w:p w14:paraId="05C80C13" w14:textId="63F4B9BF" w:rsidR="00CF10FB" w:rsidRPr="00CF10FB" w:rsidRDefault="00CF10FB" w:rsidP="00CF10FB">
      <w:pPr>
        <w:pStyle w:val="aff0"/>
        <w:spacing w:line="276" w:lineRule="auto"/>
        <w:rPr>
          <w:szCs w:val="28"/>
          <w:shd w:val="clear" w:color="auto" w:fill="FFFFFF"/>
        </w:rPr>
      </w:pPr>
      <w:r w:rsidRPr="00CF10FB">
        <w:rPr>
          <w:szCs w:val="28"/>
          <w:shd w:val="clear" w:color="auto" w:fill="FFFFFF"/>
        </w:rPr>
        <w:t xml:space="preserve">В 1 квартале </w:t>
      </w:r>
      <w:r w:rsidR="00BE6C67">
        <w:rPr>
          <w:szCs w:val="28"/>
          <w:shd w:val="clear" w:color="auto" w:fill="FFFFFF"/>
        </w:rPr>
        <w:t xml:space="preserve">2021 года </w:t>
      </w:r>
      <w:r w:rsidRPr="00CF10FB">
        <w:rPr>
          <w:szCs w:val="28"/>
          <w:shd w:val="clear" w:color="auto" w:fill="FFFFFF"/>
        </w:rPr>
        <w:t>резидентом ООО «БСГ» запущено производство дождевальных машин полного цикла: выпуск самодвижущихся широкозахватных дождевальных машин для полей от 20 га до 200 га; выпуск конфигурации дождевальной машины (</w:t>
      </w:r>
      <w:proofErr w:type="spellStart"/>
      <w:r w:rsidRPr="00CF10FB">
        <w:rPr>
          <w:szCs w:val="28"/>
          <w:shd w:val="clear" w:color="auto" w:fill="FFFFFF"/>
        </w:rPr>
        <w:t>шланго</w:t>
      </w:r>
      <w:proofErr w:type="spellEnd"/>
      <w:r w:rsidRPr="00CF10FB">
        <w:rPr>
          <w:szCs w:val="28"/>
          <w:shd w:val="clear" w:color="auto" w:fill="FFFFFF"/>
        </w:rPr>
        <w:t>-барабанной) для обработки больших объектов. Одной из важнейших составляющих проекта компании является высокая локализация производства - более 90% комплектующих изготавливаются на площадке компании. Резидентом осуществлены инвестиции на сумму 32,6 млн. руб</w:t>
      </w:r>
      <w:r w:rsidR="00330778">
        <w:rPr>
          <w:szCs w:val="28"/>
          <w:shd w:val="clear" w:color="auto" w:fill="FFFFFF"/>
        </w:rPr>
        <w:t>лей</w:t>
      </w:r>
      <w:r w:rsidRPr="00CF10FB">
        <w:rPr>
          <w:szCs w:val="28"/>
          <w:shd w:val="clear" w:color="auto" w:fill="FFFFFF"/>
        </w:rPr>
        <w:t xml:space="preserve"> и создано 69 рабочих мест.</w:t>
      </w:r>
    </w:p>
    <w:p w14:paraId="6683E621" w14:textId="43C8444B" w:rsidR="00CF10FB" w:rsidRPr="00CF10FB" w:rsidRDefault="00CF10FB" w:rsidP="00CF10FB">
      <w:pPr>
        <w:pStyle w:val="aff0"/>
        <w:spacing w:line="276" w:lineRule="auto"/>
        <w:rPr>
          <w:szCs w:val="28"/>
          <w:shd w:val="clear" w:color="auto" w:fill="FFFFFF"/>
        </w:rPr>
      </w:pPr>
      <w:r w:rsidRPr="00CF10FB">
        <w:rPr>
          <w:szCs w:val="28"/>
          <w:shd w:val="clear" w:color="auto" w:fill="FFFFFF"/>
        </w:rPr>
        <w:t xml:space="preserve">В производстве строительных материалов резидент ТОСЭР «Тольятти» </w:t>
      </w:r>
      <w:r w:rsidRPr="00CF10FB">
        <w:rPr>
          <w:szCs w:val="28"/>
          <w:shd w:val="clear" w:color="auto" w:fill="FFFFFF"/>
        </w:rPr>
        <w:lastRenderedPageBreak/>
        <w:t xml:space="preserve">ООО «Завод ЖБИ ФЛОРКОН» в июле 2021 года получил разрешение на ввод в эксплуатацию </w:t>
      </w:r>
      <w:proofErr w:type="spellStart"/>
      <w:r w:rsidRPr="00CF10FB">
        <w:rPr>
          <w:szCs w:val="28"/>
          <w:shd w:val="clear" w:color="auto" w:fill="FFFFFF"/>
        </w:rPr>
        <w:t>быстроразвертываемого</w:t>
      </w:r>
      <w:proofErr w:type="spellEnd"/>
      <w:r w:rsidRPr="00CF10FB">
        <w:rPr>
          <w:szCs w:val="28"/>
          <w:shd w:val="clear" w:color="auto" w:fill="FFFFFF"/>
        </w:rPr>
        <w:t xml:space="preserve"> высокотехнологичного производства железобетонных изделий. В </w:t>
      </w:r>
      <w:r w:rsidR="002E3A48">
        <w:rPr>
          <w:szCs w:val="28"/>
          <w:shd w:val="clear" w:color="auto" w:fill="FFFFFF"/>
          <w:lang w:val="en-US"/>
        </w:rPr>
        <w:t>I</w:t>
      </w:r>
      <w:r w:rsidRPr="00CF10FB">
        <w:rPr>
          <w:szCs w:val="28"/>
          <w:shd w:val="clear" w:color="auto" w:fill="FFFFFF"/>
        </w:rPr>
        <w:t xml:space="preserve"> полугодии 2021 года инвестором осуществлены инвестиции в объеме 496,9 млн. рублей, создано 98 новых рабочих мест. В рамках реализации проекта компания планирует осуществлять производство ЖБИ из самоуплотняющегося бетона (колонны, балки, лестничные марши, стеновые панели различных видов). Использование наилучших доступных технологий, в частности внедрение производства ЖБИ на основе самоуплотняющегося бетона, позволит повысить энергоэффективность, экологичность, безопасность труда, а также достичь разнообразия архитектурно</w:t>
      </w:r>
      <w:r w:rsidRPr="00CF10FB">
        <w:rPr>
          <w:rFonts w:ascii="Cambria Math" w:hAnsi="Cambria Math" w:cs="Cambria Math"/>
          <w:szCs w:val="28"/>
          <w:shd w:val="clear" w:color="auto" w:fill="FFFFFF"/>
        </w:rPr>
        <w:t>‐</w:t>
      </w:r>
      <w:r w:rsidRPr="00CF10FB">
        <w:rPr>
          <w:szCs w:val="28"/>
          <w:shd w:val="clear" w:color="auto" w:fill="FFFFFF"/>
        </w:rPr>
        <w:t>художественных и конструктивных решений. Продукция проекта востребована крупными девелоперами индустриальной, складской и логистической недвижимости.</w:t>
      </w:r>
    </w:p>
    <w:p w14:paraId="6D2066CA" w14:textId="3E86C90D" w:rsidR="00CF10FB" w:rsidRPr="00CF10FB" w:rsidRDefault="00CF10FB" w:rsidP="00CF10FB">
      <w:pPr>
        <w:pStyle w:val="aff0"/>
        <w:spacing w:line="276" w:lineRule="auto"/>
        <w:rPr>
          <w:szCs w:val="28"/>
          <w:shd w:val="clear" w:color="auto" w:fill="FFFFFF"/>
        </w:rPr>
      </w:pPr>
      <w:r w:rsidRPr="00CF10FB">
        <w:rPr>
          <w:szCs w:val="28"/>
          <w:shd w:val="clear" w:color="auto" w:fill="FFFFFF"/>
        </w:rPr>
        <w:t>В производстве электрического оборудования АО «АКОМ» на территории ТОСЭР «Тольятти» планирует организовать производство промышленных свинцовых аккумуляторных батарей. Еще один резидент ТОСЭР «Тольятти» – ООО «</w:t>
      </w:r>
      <w:proofErr w:type="spellStart"/>
      <w:r w:rsidRPr="00CF10FB">
        <w:rPr>
          <w:szCs w:val="28"/>
          <w:shd w:val="clear" w:color="auto" w:fill="FFFFFF"/>
        </w:rPr>
        <w:t>Валео</w:t>
      </w:r>
      <w:proofErr w:type="spellEnd"/>
      <w:r w:rsidRPr="00CF10FB">
        <w:rPr>
          <w:szCs w:val="28"/>
          <w:shd w:val="clear" w:color="auto" w:fill="FFFFFF"/>
        </w:rPr>
        <w:t xml:space="preserve"> Технолоджи Рус» намерен реализовать проект по производству компонентов и систем для автомобильной индустрии.  </w:t>
      </w:r>
    </w:p>
    <w:p w14:paraId="0F143551" w14:textId="77777777" w:rsidR="00CF10FB" w:rsidRPr="00CF10FB" w:rsidRDefault="00CF10FB" w:rsidP="00CF10FB">
      <w:pPr>
        <w:pStyle w:val="aff0"/>
        <w:spacing w:line="276" w:lineRule="auto"/>
        <w:rPr>
          <w:szCs w:val="28"/>
          <w:shd w:val="clear" w:color="auto" w:fill="FFFFFF"/>
        </w:rPr>
      </w:pPr>
      <w:r w:rsidRPr="00CF10FB">
        <w:rPr>
          <w:szCs w:val="28"/>
          <w:shd w:val="clear" w:color="auto" w:fill="FFFFFF"/>
        </w:rPr>
        <w:t>В производстве пищевых продуктов заканчивается подготовка к строительству завода по производству сыра (ООО «КАРАТ-Тольятти») и фабрики по производству бисквитных изделий (ООО «Фабрика бисквита»), запуск этих предприятий способствует созданию 700 рабочих мест в сфере пищевого производства.</w:t>
      </w:r>
    </w:p>
    <w:p w14:paraId="154E277D" w14:textId="348AD20A" w:rsidR="00CF10FB" w:rsidRPr="00CF10FB" w:rsidRDefault="00CF10FB" w:rsidP="00CF10FB">
      <w:pPr>
        <w:pStyle w:val="aff0"/>
        <w:spacing w:line="276" w:lineRule="auto"/>
        <w:rPr>
          <w:szCs w:val="28"/>
          <w:shd w:val="clear" w:color="auto" w:fill="FFFFFF"/>
        </w:rPr>
      </w:pPr>
      <w:r w:rsidRPr="00CF10FB">
        <w:rPr>
          <w:szCs w:val="28"/>
          <w:shd w:val="clear" w:color="auto" w:fill="FFFFFF"/>
        </w:rPr>
        <w:t xml:space="preserve">В рамках ТОСЭР </w:t>
      </w:r>
      <w:r w:rsidR="00A21CAD">
        <w:rPr>
          <w:szCs w:val="28"/>
          <w:shd w:val="clear" w:color="auto" w:fill="FFFFFF"/>
        </w:rPr>
        <w:t xml:space="preserve">«Тольятти» </w:t>
      </w:r>
      <w:r w:rsidRPr="00CF10FB">
        <w:rPr>
          <w:szCs w:val="28"/>
          <w:shd w:val="clear" w:color="auto" w:fill="FFFFFF"/>
        </w:rPr>
        <w:t xml:space="preserve">уже запущены и успешно развиваются проекты в сфере IT-технологий компаний: «Директ Бизнес </w:t>
      </w:r>
      <w:proofErr w:type="spellStart"/>
      <w:r w:rsidRPr="00CF10FB">
        <w:rPr>
          <w:szCs w:val="28"/>
          <w:shd w:val="clear" w:color="auto" w:fill="FFFFFF"/>
        </w:rPr>
        <w:t>Солюшн</w:t>
      </w:r>
      <w:proofErr w:type="spellEnd"/>
      <w:r w:rsidRPr="00CF10FB">
        <w:rPr>
          <w:szCs w:val="28"/>
          <w:shd w:val="clear" w:color="auto" w:fill="FFFFFF"/>
        </w:rPr>
        <w:t>» и «Дата Технолоджи». В настоящее время компаниями уже создано 1 тыс. рабочих мест, на которых в основном трудоустроены студенты средних и высших учебных заведений.</w:t>
      </w:r>
    </w:p>
    <w:p w14:paraId="724DAFB0" w14:textId="77777777" w:rsidR="00CF10FB" w:rsidRPr="00CF10FB" w:rsidRDefault="00CF10FB" w:rsidP="00CF10FB">
      <w:pPr>
        <w:pStyle w:val="aff0"/>
        <w:spacing w:line="276" w:lineRule="auto"/>
        <w:rPr>
          <w:szCs w:val="28"/>
          <w:shd w:val="clear" w:color="auto" w:fill="FFFFFF"/>
        </w:rPr>
      </w:pPr>
      <w:r w:rsidRPr="00CF10FB">
        <w:rPr>
          <w:szCs w:val="28"/>
          <w:shd w:val="clear" w:color="auto" w:fill="FFFFFF"/>
        </w:rPr>
        <w:t>В конце прошлого года запущено предприятие по производству кирпичной продукции (компания «</w:t>
      </w:r>
      <w:proofErr w:type="spellStart"/>
      <w:r w:rsidRPr="00CF10FB">
        <w:rPr>
          <w:szCs w:val="28"/>
          <w:shd w:val="clear" w:color="auto" w:fill="FFFFFF"/>
        </w:rPr>
        <w:t>Инкерам</w:t>
      </w:r>
      <w:proofErr w:type="spellEnd"/>
      <w:r w:rsidRPr="00CF10FB">
        <w:rPr>
          <w:szCs w:val="28"/>
          <w:shd w:val="clear" w:color="auto" w:fill="FFFFFF"/>
        </w:rPr>
        <w:t xml:space="preserve">»), приход нового инвестора способствовал трудоустройству работников бывшего Тольяттинского кирпичного завода. </w:t>
      </w:r>
    </w:p>
    <w:p w14:paraId="2959E581" w14:textId="69AC30A2" w:rsidR="00CF10FB" w:rsidRPr="00CF10FB" w:rsidRDefault="00CF10FB" w:rsidP="00CF10FB">
      <w:pPr>
        <w:pStyle w:val="aff0"/>
        <w:spacing w:line="276" w:lineRule="auto"/>
        <w:rPr>
          <w:szCs w:val="28"/>
          <w:shd w:val="clear" w:color="auto" w:fill="FFFFFF"/>
        </w:rPr>
      </w:pPr>
      <w:r w:rsidRPr="00CF10FB">
        <w:rPr>
          <w:szCs w:val="28"/>
          <w:shd w:val="clear" w:color="auto" w:fill="FFFFFF"/>
        </w:rPr>
        <w:t>ООО «</w:t>
      </w:r>
      <w:proofErr w:type="spellStart"/>
      <w:r w:rsidRPr="00CF10FB">
        <w:rPr>
          <w:szCs w:val="28"/>
          <w:shd w:val="clear" w:color="auto" w:fill="FFFFFF"/>
        </w:rPr>
        <w:t>Феррони</w:t>
      </w:r>
      <w:proofErr w:type="spellEnd"/>
      <w:r w:rsidRPr="00CF10FB">
        <w:rPr>
          <w:szCs w:val="28"/>
          <w:shd w:val="clear" w:color="auto" w:fill="FFFFFF"/>
        </w:rPr>
        <w:t xml:space="preserve"> Тольятти» продолжает активную работу по организации производства на территории бывшего завода «</w:t>
      </w:r>
      <w:proofErr w:type="spellStart"/>
      <w:r w:rsidRPr="00CF10FB">
        <w:rPr>
          <w:szCs w:val="28"/>
          <w:shd w:val="clear" w:color="auto" w:fill="FFFFFF"/>
        </w:rPr>
        <w:t>АвтоВАЗагрегат</w:t>
      </w:r>
      <w:proofErr w:type="spellEnd"/>
      <w:r w:rsidRPr="00CF10FB">
        <w:rPr>
          <w:szCs w:val="28"/>
          <w:shd w:val="clear" w:color="auto" w:fill="FFFFFF"/>
        </w:rPr>
        <w:t xml:space="preserve">»: введен в эксплуатацию завод по производству входных металлических дверей. Резидентом освоены инвестиции в проект в размере 1,8 млрд. </w:t>
      </w:r>
      <w:r w:rsidR="00A21CAD">
        <w:rPr>
          <w:szCs w:val="28"/>
          <w:shd w:val="clear" w:color="auto" w:fill="FFFFFF"/>
        </w:rPr>
        <w:t>рублей</w:t>
      </w:r>
      <w:r w:rsidRPr="00CF10FB">
        <w:rPr>
          <w:szCs w:val="28"/>
          <w:shd w:val="clear" w:color="auto" w:fill="FFFFFF"/>
        </w:rPr>
        <w:t xml:space="preserve"> и создано около 1,5 тыс. новых рабочих мест. </w:t>
      </w:r>
    </w:p>
    <w:p w14:paraId="78C6555C" w14:textId="77777777" w:rsidR="00CF10FB" w:rsidRPr="00CF10FB" w:rsidRDefault="00CF10FB" w:rsidP="00CF10FB">
      <w:pPr>
        <w:pStyle w:val="aff0"/>
        <w:spacing w:line="276" w:lineRule="auto"/>
        <w:rPr>
          <w:szCs w:val="28"/>
          <w:shd w:val="clear" w:color="auto" w:fill="FFFFFF"/>
        </w:rPr>
      </w:pPr>
      <w:r w:rsidRPr="00CF10FB">
        <w:rPr>
          <w:szCs w:val="28"/>
          <w:shd w:val="clear" w:color="auto" w:fill="FFFFFF"/>
        </w:rPr>
        <w:t xml:space="preserve">Также на территории городского округа Тольятти имеется целый </w:t>
      </w:r>
      <w:r w:rsidRPr="00CF10FB">
        <w:rPr>
          <w:szCs w:val="28"/>
          <w:shd w:val="clear" w:color="auto" w:fill="FFFFFF"/>
        </w:rPr>
        <w:lastRenderedPageBreak/>
        <w:t>комплекс инфраструктурных площадок, готовых для реализации инвестиционных проектов, которые в отличие от обычных промплощадок, обеспечены энергоносителями, инженерной и транспортной инфраструктурой и административно-правовыми условиями для размещения бизнеса: технопарк в сфере высоких технологий «Жигулевская долина», проект «Жигулевская долина-2», а также Особая экономической зона промышленно-производственного типа «Тольятти», в июне 2020 года вошедшая в границы городского округа Тольятти.</w:t>
      </w:r>
    </w:p>
    <w:p w14:paraId="6BC59FE8" w14:textId="6D258C6B" w:rsidR="00CF10FB" w:rsidRPr="00CF10FB" w:rsidRDefault="00CF10FB" w:rsidP="00CF10FB">
      <w:pPr>
        <w:pStyle w:val="aff0"/>
        <w:spacing w:line="276" w:lineRule="auto"/>
        <w:rPr>
          <w:szCs w:val="28"/>
          <w:shd w:val="clear" w:color="auto" w:fill="FFFFFF"/>
        </w:rPr>
      </w:pPr>
      <w:r w:rsidRPr="00CF10FB">
        <w:rPr>
          <w:szCs w:val="28"/>
          <w:shd w:val="clear" w:color="auto" w:fill="FFFFFF"/>
        </w:rPr>
        <w:t xml:space="preserve">Для реализации инновационных проектов и проектов в сфере IT создана отдельная площадка с особыми условиями и собственной инфраструктурой, предназначенной именно для инноваций, - Технопарк в сфере высоких технологий «Жигулевская долина» (далее </w:t>
      </w:r>
      <w:r w:rsidR="00A21CAD">
        <w:rPr>
          <w:szCs w:val="28"/>
          <w:shd w:val="clear" w:color="auto" w:fill="FFFFFF"/>
        </w:rPr>
        <w:t xml:space="preserve">по разделу </w:t>
      </w:r>
      <w:r w:rsidRPr="00CF10FB">
        <w:rPr>
          <w:szCs w:val="28"/>
          <w:shd w:val="clear" w:color="auto" w:fill="FFFFFF"/>
        </w:rPr>
        <w:t>– Технопарк).</w:t>
      </w:r>
    </w:p>
    <w:p w14:paraId="1794804B" w14:textId="64B1C931" w:rsidR="00CF10FB" w:rsidRPr="00CF10FB" w:rsidRDefault="00CF10FB" w:rsidP="00CF10FB">
      <w:pPr>
        <w:pStyle w:val="aff0"/>
        <w:spacing w:line="276" w:lineRule="auto"/>
        <w:rPr>
          <w:szCs w:val="28"/>
          <w:shd w:val="clear" w:color="auto" w:fill="FFFFFF"/>
        </w:rPr>
      </w:pPr>
      <w:r w:rsidRPr="00CF10FB">
        <w:rPr>
          <w:szCs w:val="28"/>
          <w:shd w:val="clear" w:color="auto" w:fill="FFFFFF"/>
        </w:rPr>
        <w:t>По состоянию на 31.06.2021 резидентами Технопарка явля</w:t>
      </w:r>
      <w:r w:rsidR="00BE6C67">
        <w:rPr>
          <w:szCs w:val="28"/>
          <w:shd w:val="clear" w:color="auto" w:fill="FFFFFF"/>
        </w:rPr>
        <w:t>лись</w:t>
      </w:r>
      <w:r w:rsidRPr="00CF10FB">
        <w:rPr>
          <w:szCs w:val="28"/>
          <w:shd w:val="clear" w:color="auto" w:fill="FFFFFF"/>
        </w:rPr>
        <w:t xml:space="preserve"> 267 компаний, которые реализуют 277 проектов. Количество созданных рабочих мест на 31.06.2021 (накопленным итогом с начала реализации проекта) – 2 034. Фактически освоено 5 771,5 млн. рублей, в том числе, из федерального бюджета – 1 982,3 млн. рублей; областного бюджета – 3 789,2 млн. рублей.</w:t>
      </w:r>
    </w:p>
    <w:p w14:paraId="370A7E36" w14:textId="77777777" w:rsidR="00CF10FB" w:rsidRPr="00CF10FB" w:rsidRDefault="00CF10FB" w:rsidP="00CF10FB">
      <w:pPr>
        <w:pStyle w:val="aff0"/>
        <w:spacing w:line="276" w:lineRule="auto"/>
        <w:rPr>
          <w:szCs w:val="28"/>
          <w:shd w:val="clear" w:color="auto" w:fill="FFFFFF"/>
        </w:rPr>
      </w:pPr>
      <w:r w:rsidRPr="00CF10FB">
        <w:rPr>
          <w:szCs w:val="28"/>
          <w:shd w:val="clear" w:color="auto" w:fill="FFFFFF"/>
        </w:rPr>
        <w:t>Инфраструктура Технопарка полностью соответствует потребностям инновационных и высокотехнологичных компаний для реализации их проектов и включает в себя общественно-деловой центр для проведения масштабных деловых мероприятий, офисные лабораторные и производственные помещения, центр технического обеспечения, бизнес-инкубатор, гостиницу и столовую.</w:t>
      </w:r>
    </w:p>
    <w:p w14:paraId="2898A39A" w14:textId="77777777" w:rsidR="00CF10FB" w:rsidRPr="00CF10FB" w:rsidRDefault="00CF10FB" w:rsidP="00CF10FB">
      <w:pPr>
        <w:pStyle w:val="aff0"/>
        <w:spacing w:line="276" w:lineRule="auto"/>
        <w:rPr>
          <w:szCs w:val="28"/>
          <w:shd w:val="clear" w:color="auto" w:fill="FFFFFF"/>
        </w:rPr>
      </w:pPr>
      <w:r w:rsidRPr="00CF10FB">
        <w:rPr>
          <w:szCs w:val="28"/>
          <w:shd w:val="clear" w:color="auto" w:fill="FFFFFF"/>
        </w:rPr>
        <w:t>Технопарк «Жигулевская долина» имеет статус регионального оператора фонда «Сколково», что позволяет создавать условия для развития новых технологических решений и роста компаний-резидентов. Также данный статус обеспечивает резидентам технопарка доступ к таким сервисам фонда «Сколково» как содействие в привлечении инвестиций.</w:t>
      </w:r>
    </w:p>
    <w:p w14:paraId="02C91773" w14:textId="77777777" w:rsidR="00CF10FB" w:rsidRPr="00CF10FB" w:rsidRDefault="00CF10FB" w:rsidP="00CF10FB">
      <w:pPr>
        <w:pStyle w:val="aff0"/>
        <w:spacing w:line="276" w:lineRule="auto"/>
        <w:rPr>
          <w:szCs w:val="28"/>
          <w:shd w:val="clear" w:color="auto" w:fill="FFFFFF"/>
        </w:rPr>
      </w:pPr>
      <w:r w:rsidRPr="00CF10FB">
        <w:rPr>
          <w:szCs w:val="28"/>
          <w:shd w:val="clear" w:color="auto" w:fill="FFFFFF"/>
        </w:rPr>
        <w:t>В настоящее время, за счет инвесторов идет строительство производственных корпусов на территории «Жигулёвская долина 2». Инициатором проекта является государственное автономное учреждение Самарской области «Центр инновационного развития и кластерных инициатив». Срок реализации проекта – 2019–2023 гг.</w:t>
      </w:r>
    </w:p>
    <w:p w14:paraId="77955BB5" w14:textId="63EE1899" w:rsidR="00CF10FB" w:rsidRPr="00CF10FB" w:rsidRDefault="00CF10FB" w:rsidP="00CF10FB">
      <w:pPr>
        <w:pStyle w:val="aff0"/>
        <w:spacing w:line="276" w:lineRule="auto"/>
        <w:rPr>
          <w:szCs w:val="28"/>
          <w:shd w:val="clear" w:color="auto" w:fill="FFFFFF"/>
        </w:rPr>
      </w:pPr>
      <w:r w:rsidRPr="00CF10FB">
        <w:rPr>
          <w:szCs w:val="28"/>
          <w:shd w:val="clear" w:color="auto" w:fill="FFFFFF"/>
        </w:rPr>
        <w:t>Значимым событием стало вхождение Особой экономической зоны промышленно-производственного типа «Тольятти» (далее</w:t>
      </w:r>
      <w:r w:rsidR="00803B29">
        <w:rPr>
          <w:szCs w:val="28"/>
          <w:shd w:val="clear" w:color="auto" w:fill="FFFFFF"/>
        </w:rPr>
        <w:t xml:space="preserve"> </w:t>
      </w:r>
      <w:r w:rsidRPr="00CF10FB">
        <w:rPr>
          <w:szCs w:val="28"/>
          <w:shd w:val="clear" w:color="auto" w:fill="FFFFFF"/>
        </w:rPr>
        <w:t xml:space="preserve">– ОЭЗ ППТ «Тольятти») в границы городского округа Тольятти. </w:t>
      </w:r>
    </w:p>
    <w:p w14:paraId="37EC3328" w14:textId="49E4806F" w:rsidR="00CF10FB" w:rsidRPr="00CF10FB" w:rsidRDefault="00CF10FB" w:rsidP="00CF10FB">
      <w:pPr>
        <w:pStyle w:val="aff0"/>
        <w:spacing w:line="276" w:lineRule="auto"/>
        <w:rPr>
          <w:szCs w:val="28"/>
          <w:shd w:val="clear" w:color="auto" w:fill="FFFFFF"/>
        </w:rPr>
      </w:pPr>
      <w:r w:rsidRPr="00CF10FB">
        <w:rPr>
          <w:szCs w:val="28"/>
          <w:shd w:val="clear" w:color="auto" w:fill="FFFFFF"/>
        </w:rPr>
        <w:t xml:space="preserve">На территориях первого и второго этапов строительства ОЭЗ ППТ </w:t>
      </w:r>
      <w:r w:rsidRPr="00CF10FB">
        <w:rPr>
          <w:szCs w:val="28"/>
          <w:shd w:val="clear" w:color="auto" w:fill="FFFFFF"/>
        </w:rPr>
        <w:lastRenderedPageBreak/>
        <w:t xml:space="preserve">«Тольятти» созданы объекты инженерной инфраструктуры и транспортной сети, работают 11 производств резидентов. Всего </w:t>
      </w:r>
      <w:r w:rsidR="00803B29">
        <w:rPr>
          <w:szCs w:val="28"/>
          <w:shd w:val="clear" w:color="auto" w:fill="FFFFFF"/>
        </w:rPr>
        <w:t xml:space="preserve">29 </w:t>
      </w:r>
      <w:r w:rsidRPr="00CF10FB">
        <w:rPr>
          <w:szCs w:val="28"/>
          <w:shd w:val="clear" w:color="auto" w:fill="FFFFFF"/>
        </w:rPr>
        <w:t>резидентами ОЭЗ ППТ «Тольятти» </w:t>
      </w:r>
      <w:r w:rsidR="00803B29">
        <w:rPr>
          <w:szCs w:val="28"/>
          <w:shd w:val="clear" w:color="auto" w:fill="FFFFFF"/>
        </w:rPr>
        <w:t>планируется</w:t>
      </w:r>
      <w:r w:rsidRPr="00CF10FB">
        <w:rPr>
          <w:szCs w:val="28"/>
          <w:shd w:val="clear" w:color="auto" w:fill="FFFFFF"/>
        </w:rPr>
        <w:t xml:space="preserve"> инвести</w:t>
      </w:r>
      <w:r w:rsidR="00803B29">
        <w:rPr>
          <w:szCs w:val="28"/>
          <w:shd w:val="clear" w:color="auto" w:fill="FFFFFF"/>
        </w:rPr>
        <w:t>ровать</w:t>
      </w:r>
      <w:r w:rsidRPr="00CF10FB">
        <w:rPr>
          <w:szCs w:val="28"/>
          <w:shd w:val="clear" w:color="auto" w:fill="FFFFFF"/>
        </w:rPr>
        <w:t xml:space="preserve"> 39,8 млрд. руб</w:t>
      </w:r>
      <w:r w:rsidR="00FE5CD9">
        <w:rPr>
          <w:szCs w:val="28"/>
          <w:shd w:val="clear" w:color="auto" w:fill="FFFFFF"/>
        </w:rPr>
        <w:t>лей</w:t>
      </w:r>
      <w:r w:rsidRPr="00CF10FB">
        <w:rPr>
          <w:szCs w:val="28"/>
          <w:shd w:val="clear" w:color="auto" w:fill="FFFFFF"/>
        </w:rPr>
        <w:t xml:space="preserve"> и планом созда</w:t>
      </w:r>
      <w:r w:rsidR="00803B29">
        <w:rPr>
          <w:szCs w:val="28"/>
          <w:shd w:val="clear" w:color="auto" w:fill="FFFFFF"/>
        </w:rPr>
        <w:t>ния 6,5 тыс. новых рабочих мест</w:t>
      </w:r>
      <w:r w:rsidRPr="00CF10FB">
        <w:rPr>
          <w:szCs w:val="28"/>
          <w:shd w:val="clear" w:color="auto" w:fill="FFFFFF"/>
        </w:rPr>
        <w:t>.</w:t>
      </w:r>
    </w:p>
    <w:p w14:paraId="7B734E6F" w14:textId="77777777" w:rsidR="00CF10FB" w:rsidRPr="00CF10FB" w:rsidRDefault="00CF10FB" w:rsidP="00CF10FB">
      <w:pPr>
        <w:pStyle w:val="aff0"/>
        <w:spacing w:line="276" w:lineRule="auto"/>
        <w:rPr>
          <w:szCs w:val="28"/>
          <w:shd w:val="clear" w:color="auto" w:fill="FFFFFF"/>
        </w:rPr>
      </w:pPr>
      <w:r w:rsidRPr="00CF10FB">
        <w:rPr>
          <w:szCs w:val="28"/>
          <w:shd w:val="clear" w:color="auto" w:fill="FFFFFF"/>
        </w:rPr>
        <w:t xml:space="preserve">В I квартале 2021 Самарский завод медицинских изделий ввел в эксплуатацию завод по производству одноразовых смотровых </w:t>
      </w:r>
      <w:proofErr w:type="spellStart"/>
      <w:r w:rsidRPr="00CF10FB">
        <w:rPr>
          <w:szCs w:val="28"/>
          <w:shd w:val="clear" w:color="auto" w:fill="FFFFFF"/>
        </w:rPr>
        <w:t>нитриловых</w:t>
      </w:r>
      <w:proofErr w:type="spellEnd"/>
      <w:r w:rsidRPr="00CF10FB">
        <w:rPr>
          <w:szCs w:val="28"/>
          <w:shd w:val="clear" w:color="auto" w:fill="FFFFFF"/>
        </w:rPr>
        <w:t xml:space="preserve"> перчаток в ОЭЗ ППТ «Тольятти» с общим объемом инвестиций 729 млн. рублей (мощность – 108 млн пар изделий в год). Завод стал крупнейшим производством профильных медицинских изделий в России. </w:t>
      </w:r>
    </w:p>
    <w:p w14:paraId="1194EE6A" w14:textId="77777777" w:rsidR="00CF10FB" w:rsidRPr="00CF10FB" w:rsidRDefault="00CF10FB" w:rsidP="00CF10FB">
      <w:pPr>
        <w:pStyle w:val="aff0"/>
        <w:spacing w:line="276" w:lineRule="auto"/>
        <w:rPr>
          <w:szCs w:val="28"/>
          <w:shd w:val="clear" w:color="auto" w:fill="FFFFFF"/>
        </w:rPr>
      </w:pPr>
      <w:r w:rsidRPr="00CF10FB">
        <w:rPr>
          <w:szCs w:val="28"/>
          <w:shd w:val="clear" w:color="auto" w:fill="FFFFFF"/>
        </w:rPr>
        <w:t xml:space="preserve">Кроме того, на территории ОЭЗ ППТ «Тольятти» открылся новый завод компании </w:t>
      </w:r>
      <w:proofErr w:type="spellStart"/>
      <w:r w:rsidRPr="00CF10FB">
        <w:rPr>
          <w:szCs w:val="28"/>
          <w:shd w:val="clear" w:color="auto" w:fill="FFFFFF"/>
        </w:rPr>
        <w:t>Faurecia</w:t>
      </w:r>
      <w:proofErr w:type="spellEnd"/>
      <w:r w:rsidRPr="00CF10FB">
        <w:rPr>
          <w:szCs w:val="28"/>
          <w:shd w:val="clear" w:color="auto" w:fill="FFFFFF"/>
        </w:rPr>
        <w:t xml:space="preserve"> по производству сварных каркасов автомобильных сидений с общим объемом инвестиций более 400 млн. рублей. В настоящее время продолжается строительство еще одного корпуса </w:t>
      </w:r>
      <w:proofErr w:type="spellStart"/>
      <w:r w:rsidRPr="00CF10FB">
        <w:rPr>
          <w:szCs w:val="28"/>
          <w:shd w:val="clear" w:color="auto" w:fill="FFFFFF"/>
        </w:rPr>
        <w:t>Faurecia</w:t>
      </w:r>
      <w:proofErr w:type="spellEnd"/>
      <w:r w:rsidRPr="00CF10FB">
        <w:rPr>
          <w:szCs w:val="28"/>
          <w:shd w:val="clear" w:color="auto" w:fill="FFFFFF"/>
        </w:rPr>
        <w:t xml:space="preserve">, где в конце 2021 года будут размещены пошив обивок и сборка готовых сидней. Третьим этапом станет запуск в 2022 году уникального производства полиуретановой пены для набивки сидней. В результате </w:t>
      </w:r>
      <w:proofErr w:type="spellStart"/>
      <w:r w:rsidRPr="00CF10FB">
        <w:rPr>
          <w:szCs w:val="28"/>
          <w:shd w:val="clear" w:color="auto" w:fill="FFFFFF"/>
        </w:rPr>
        <w:t>Faurecia</w:t>
      </w:r>
      <w:proofErr w:type="spellEnd"/>
      <w:r w:rsidRPr="00CF10FB">
        <w:rPr>
          <w:szCs w:val="28"/>
          <w:shd w:val="clear" w:color="auto" w:fill="FFFFFF"/>
        </w:rPr>
        <w:t xml:space="preserve"> Russia создаст в Тольятти более 1 тыс. новых рабочих мест.</w:t>
      </w:r>
    </w:p>
    <w:p w14:paraId="198B162D" w14:textId="77777777" w:rsidR="00CF10FB" w:rsidRPr="00CF10FB" w:rsidRDefault="00CF10FB" w:rsidP="00CF10FB">
      <w:pPr>
        <w:pStyle w:val="aff0"/>
        <w:spacing w:line="276" w:lineRule="auto"/>
        <w:rPr>
          <w:szCs w:val="28"/>
          <w:shd w:val="clear" w:color="auto" w:fill="FFFFFF"/>
        </w:rPr>
      </w:pPr>
      <w:r w:rsidRPr="00CF10FB">
        <w:rPr>
          <w:szCs w:val="28"/>
          <w:shd w:val="clear" w:color="auto" w:fill="FFFFFF"/>
        </w:rPr>
        <w:t>В июле 2021 года состоялся запуск второй линии производства лекарственных препаратов компании «Озон фарм», что позволит дополнительно производить 17 лекарственных наименований, большинство из которых относятся к жизненно важным препаратам, в т.ч. его для лечения больных коронавирусной инфекций. Общий объем инвестиций по проекту составил более 3 млрд. рублей, дополнительно создано 82 дополнительных рабочих места. </w:t>
      </w:r>
    </w:p>
    <w:p w14:paraId="07DE82A2" w14:textId="77777777" w:rsidR="00CF10FB" w:rsidRPr="00CF10FB" w:rsidRDefault="00CF10FB" w:rsidP="00CF10FB">
      <w:pPr>
        <w:pStyle w:val="aff0"/>
        <w:spacing w:line="276" w:lineRule="auto"/>
        <w:rPr>
          <w:szCs w:val="28"/>
          <w:shd w:val="clear" w:color="auto" w:fill="FFFFFF"/>
        </w:rPr>
      </w:pPr>
      <w:r w:rsidRPr="00CF10FB">
        <w:rPr>
          <w:szCs w:val="28"/>
          <w:shd w:val="clear" w:color="auto" w:fill="FFFFFF"/>
        </w:rPr>
        <w:t>До конца года компанией ООО «ММК-Производственно-Логистический Центр-Тольятти» планируется запуск в ОЭЗ ППТ «Тольятти» производственно-логистического центра для нужд автопромышленности (складская мощность — 150 тыс. тонн), планируемый объем инвестиций - 1,3 млрд. рублей. В результате реализации проекта планируется создание 88 дополнительных рабочих мест.</w:t>
      </w:r>
    </w:p>
    <w:p w14:paraId="7E4642DC" w14:textId="77777777" w:rsidR="00CF10FB" w:rsidRPr="00CF10FB" w:rsidRDefault="00CF10FB" w:rsidP="00CF10FB">
      <w:pPr>
        <w:pStyle w:val="aff0"/>
        <w:spacing w:line="276" w:lineRule="auto"/>
        <w:rPr>
          <w:szCs w:val="28"/>
          <w:shd w:val="clear" w:color="auto" w:fill="FFFFFF"/>
        </w:rPr>
      </w:pPr>
      <w:r w:rsidRPr="00CF10FB">
        <w:rPr>
          <w:szCs w:val="28"/>
          <w:shd w:val="clear" w:color="auto" w:fill="FFFFFF"/>
        </w:rPr>
        <w:t xml:space="preserve">В целях повышения привлекательности ОЭЗ ППТ «Тольятти» реализуются крупные инфраструктурные проекты: </w:t>
      </w:r>
      <w:bookmarkStart w:id="3" w:name="_Hlk85024089"/>
      <w:r w:rsidRPr="00CF10FB">
        <w:rPr>
          <w:szCs w:val="28"/>
          <w:shd w:val="clear" w:color="auto" w:fill="FFFFFF"/>
        </w:rPr>
        <w:t>подведение к ее границам железнодорожной ветки</w:t>
      </w:r>
      <w:bookmarkEnd w:id="3"/>
      <w:r w:rsidRPr="00CF10FB">
        <w:rPr>
          <w:szCs w:val="28"/>
          <w:shd w:val="clear" w:color="auto" w:fill="FFFFFF"/>
        </w:rPr>
        <w:t>, масштабная реконструкция автодороги Тольятти – Ягодное, строительство регионального индустриального парка.</w:t>
      </w:r>
    </w:p>
    <w:p w14:paraId="687FF319" w14:textId="77777777" w:rsidR="00CF10FB" w:rsidRDefault="00CF10FB" w:rsidP="00CF10FB">
      <w:pPr>
        <w:pStyle w:val="aff0"/>
        <w:spacing w:line="276" w:lineRule="auto"/>
        <w:rPr>
          <w:szCs w:val="28"/>
          <w:shd w:val="clear" w:color="auto" w:fill="FFFFFF"/>
        </w:rPr>
      </w:pPr>
      <w:r w:rsidRPr="00CF10FB">
        <w:rPr>
          <w:szCs w:val="28"/>
          <w:shd w:val="clear" w:color="auto" w:fill="FFFFFF"/>
        </w:rPr>
        <w:t xml:space="preserve">В 2021 году продолжается работа по строительству железной дороги для обеспечения деятельности ОЭЗ ППТ «Тольятти» в рамках концессионного соглашения Самарской области сферы транспортной инфраструктуры. Во втором полугодии 2021 года планируется начать эксплуатацию железнодорожных путей по временной схеме. </w:t>
      </w:r>
    </w:p>
    <w:p w14:paraId="0F9DE59E" w14:textId="77777777" w:rsidR="00CF10FB" w:rsidRPr="00CF10FB" w:rsidRDefault="00CF10FB" w:rsidP="00CF10FB">
      <w:pPr>
        <w:pStyle w:val="aff0"/>
        <w:spacing w:line="276" w:lineRule="auto"/>
        <w:rPr>
          <w:szCs w:val="28"/>
          <w:shd w:val="clear" w:color="auto" w:fill="FFFFFF"/>
        </w:rPr>
      </w:pPr>
      <w:r w:rsidRPr="00CF10FB">
        <w:rPr>
          <w:szCs w:val="28"/>
          <w:shd w:val="clear" w:color="auto" w:fill="FFFFFF"/>
        </w:rPr>
        <w:lastRenderedPageBreak/>
        <w:t xml:space="preserve">Продолжена работа по структурированию и подготовке к реализации масштабных инфраструктурных проектов, направленных на усиление связанности внутри </w:t>
      </w:r>
      <w:proofErr w:type="spellStart"/>
      <w:r w:rsidRPr="00CF10FB">
        <w:rPr>
          <w:szCs w:val="28"/>
          <w:shd w:val="clear" w:color="auto" w:fill="FFFFFF"/>
        </w:rPr>
        <w:t>Самарско</w:t>
      </w:r>
      <w:proofErr w:type="spellEnd"/>
      <w:r w:rsidRPr="00CF10FB">
        <w:rPr>
          <w:szCs w:val="28"/>
          <w:shd w:val="clear" w:color="auto" w:fill="FFFFFF"/>
        </w:rPr>
        <w:t xml:space="preserve"> - Тольяттинской агломерации и ее встраивание в международные транспортные коридоры. </w:t>
      </w:r>
    </w:p>
    <w:p w14:paraId="377EA894" w14:textId="75CCFCB7" w:rsidR="00CF10FB" w:rsidRPr="00CF10FB" w:rsidRDefault="00CF10FB" w:rsidP="00CF10FB">
      <w:pPr>
        <w:pStyle w:val="aff0"/>
        <w:spacing w:line="276" w:lineRule="auto"/>
        <w:rPr>
          <w:szCs w:val="28"/>
          <w:shd w:val="clear" w:color="auto" w:fill="FFFFFF"/>
        </w:rPr>
      </w:pPr>
      <w:r w:rsidRPr="00CF10FB">
        <w:rPr>
          <w:szCs w:val="28"/>
          <w:shd w:val="clear" w:color="auto" w:fill="FFFFFF"/>
        </w:rPr>
        <w:t xml:space="preserve">Несмотря на отсутствие реализуемых в городском округе Тольятти проектов </w:t>
      </w:r>
      <w:proofErr w:type="spellStart"/>
      <w:r w:rsidRPr="00CF10FB">
        <w:rPr>
          <w:szCs w:val="28"/>
          <w:shd w:val="clear" w:color="auto" w:fill="FFFFFF"/>
        </w:rPr>
        <w:t>муниципально</w:t>
      </w:r>
      <w:proofErr w:type="spellEnd"/>
      <w:r w:rsidRPr="00CF10FB">
        <w:rPr>
          <w:szCs w:val="28"/>
          <w:shd w:val="clear" w:color="auto" w:fill="FFFFFF"/>
        </w:rPr>
        <w:t xml:space="preserve"> - частного партнерства, вопросы возможности реализации таких проектов прорабатываются, проводятся консультации по обращениям потенциальных частных партнеров, рассматриваются поступающие предложения, оформленные в соответствии с требованиями Федерального закона от 13.07.2015 № 224-ФЗ «О государственно-частном партнерстве, </w:t>
      </w:r>
      <w:proofErr w:type="spellStart"/>
      <w:r w:rsidRPr="00CF10FB">
        <w:rPr>
          <w:szCs w:val="28"/>
          <w:shd w:val="clear" w:color="auto" w:fill="FFFFFF"/>
        </w:rPr>
        <w:t>муниципально</w:t>
      </w:r>
      <w:proofErr w:type="spellEnd"/>
      <w:r w:rsidR="00806DED">
        <w:rPr>
          <w:szCs w:val="28"/>
          <w:shd w:val="clear" w:color="auto" w:fill="FFFFFF"/>
        </w:rPr>
        <w:t xml:space="preserve"> </w:t>
      </w:r>
      <w:r w:rsidRPr="00CF10FB">
        <w:rPr>
          <w:szCs w:val="28"/>
          <w:shd w:val="clear" w:color="auto" w:fill="FFFFFF"/>
        </w:rPr>
        <w:t>-</w:t>
      </w:r>
      <w:r w:rsidR="00806DED">
        <w:rPr>
          <w:szCs w:val="28"/>
          <w:shd w:val="clear" w:color="auto" w:fill="FFFFFF"/>
        </w:rPr>
        <w:t xml:space="preserve"> </w:t>
      </w:r>
      <w:r w:rsidRPr="00CF10FB">
        <w:rPr>
          <w:szCs w:val="28"/>
          <w:shd w:val="clear" w:color="auto" w:fill="FFFFFF"/>
        </w:rPr>
        <w:t xml:space="preserve">частном партнерстве в Российской Федерации и о внесении изменений в отдельные законодательные акты Российской Федерации». </w:t>
      </w:r>
    </w:p>
    <w:p w14:paraId="111608DD" w14:textId="77777777" w:rsidR="00CF10FB" w:rsidRPr="00CF10FB" w:rsidRDefault="00CF10FB" w:rsidP="00CF10FB">
      <w:pPr>
        <w:pStyle w:val="aff0"/>
        <w:spacing w:line="276" w:lineRule="auto"/>
        <w:rPr>
          <w:szCs w:val="28"/>
          <w:shd w:val="clear" w:color="auto" w:fill="FFFFFF"/>
        </w:rPr>
      </w:pPr>
      <w:r w:rsidRPr="00CF10FB">
        <w:rPr>
          <w:szCs w:val="28"/>
          <w:shd w:val="clear" w:color="auto" w:fill="FFFFFF"/>
        </w:rPr>
        <w:t>В настоящее время взаимодействие администрации городского округа Тольятти с частными инвесторами по реализации инвестиционных проектов осуществляется в рамках 3-х концессионных соглашений, заключенных в соответствии с Федеральным законом РФ от 21.07.2005 № 115-ФЗ «О концессионных соглашениях».</w:t>
      </w:r>
    </w:p>
    <w:p w14:paraId="155ECA9F" w14:textId="77777777" w:rsidR="00CF10FB" w:rsidRPr="00CF10FB" w:rsidRDefault="00CF10FB" w:rsidP="00CF10FB">
      <w:pPr>
        <w:pStyle w:val="aff0"/>
        <w:spacing w:line="276" w:lineRule="auto"/>
        <w:rPr>
          <w:szCs w:val="28"/>
          <w:shd w:val="clear" w:color="auto" w:fill="FFFFFF"/>
        </w:rPr>
      </w:pPr>
      <w:r w:rsidRPr="00CF10FB">
        <w:rPr>
          <w:szCs w:val="28"/>
          <w:shd w:val="clear" w:color="auto" w:fill="FFFFFF"/>
        </w:rPr>
        <w:t>Два из трех вышеуказанных концессионных соглашений предусматривают создание объектов образования (общеобразовательной школы и детского сада) путем реконструкции существующих зданий, находящихся в муниципальной собственности:</w:t>
      </w:r>
    </w:p>
    <w:p w14:paraId="70900269" w14:textId="77777777" w:rsidR="00CF10FB" w:rsidRPr="00CF10FB" w:rsidRDefault="00CF10FB" w:rsidP="00CF10FB">
      <w:pPr>
        <w:pStyle w:val="aff0"/>
        <w:spacing w:line="276" w:lineRule="auto"/>
        <w:rPr>
          <w:szCs w:val="28"/>
          <w:shd w:val="clear" w:color="auto" w:fill="FFFFFF"/>
        </w:rPr>
      </w:pPr>
      <w:r w:rsidRPr="00CF10FB">
        <w:rPr>
          <w:szCs w:val="28"/>
          <w:shd w:val="clear" w:color="auto" w:fill="FFFFFF"/>
        </w:rPr>
        <w:t xml:space="preserve">- концессионное соглашение от 15.08.2016 № 843-дг/1 (концессионер – АНОО СОШ «Сота»), предметом которого является создание объекта образования мощностью не менее 100 учебных мест путем реконструкции комплекса зданий, расположенных по адресу: г. Тольятти, Центральный район, </w:t>
      </w:r>
      <w:proofErr w:type="spellStart"/>
      <w:r w:rsidRPr="00CF10FB">
        <w:rPr>
          <w:szCs w:val="28"/>
          <w:shd w:val="clear" w:color="auto" w:fill="FFFFFF"/>
        </w:rPr>
        <w:t>мкрн</w:t>
      </w:r>
      <w:proofErr w:type="spellEnd"/>
      <w:r w:rsidRPr="00CF10FB">
        <w:rPr>
          <w:szCs w:val="28"/>
          <w:shd w:val="clear" w:color="auto" w:fill="FFFFFF"/>
        </w:rPr>
        <w:t xml:space="preserve">. Портовый, ул. </w:t>
      </w:r>
      <w:proofErr w:type="spellStart"/>
      <w:r w:rsidRPr="00CF10FB">
        <w:rPr>
          <w:szCs w:val="28"/>
          <w:shd w:val="clear" w:color="auto" w:fill="FFFFFF"/>
        </w:rPr>
        <w:t>Комзина</w:t>
      </w:r>
      <w:proofErr w:type="spellEnd"/>
      <w:r w:rsidRPr="00CF10FB">
        <w:rPr>
          <w:szCs w:val="28"/>
          <w:shd w:val="clear" w:color="auto" w:fill="FFFFFF"/>
        </w:rPr>
        <w:t>, 2а и последующее осуществление образовательной деятельности по общеобразовательным программам. Срок действия соглашения – 34 года;</w:t>
      </w:r>
    </w:p>
    <w:p w14:paraId="5FB96F60" w14:textId="77777777" w:rsidR="00CF10FB" w:rsidRPr="00CF10FB" w:rsidRDefault="00CF10FB" w:rsidP="00CF10FB">
      <w:pPr>
        <w:pStyle w:val="aff0"/>
        <w:spacing w:line="276" w:lineRule="auto"/>
        <w:rPr>
          <w:szCs w:val="28"/>
          <w:shd w:val="clear" w:color="auto" w:fill="FFFFFF"/>
        </w:rPr>
      </w:pPr>
      <w:r w:rsidRPr="00CF10FB">
        <w:rPr>
          <w:szCs w:val="28"/>
          <w:shd w:val="clear" w:color="auto" w:fill="FFFFFF"/>
        </w:rPr>
        <w:t>- концессионное соглашение от 10.03.2017 № 452-дг/1 (концессионер – ООО «Альтернатива»), предметом которого является создание объекта образования путем реконструкции здания, расположенного по адресу: г. Тольятти, Автозаводский район, б-р Кулибина, д. 22, и последующее осуществление в указанном здании образовательной деятельности по программам дошкольного образования, присмотру и уходу не менее чем за 140 воспитанниками. Срок действия соглашения – 31 год.</w:t>
      </w:r>
    </w:p>
    <w:p w14:paraId="67F2B22E" w14:textId="77777777" w:rsidR="00CF10FB" w:rsidRPr="00CF10FB" w:rsidRDefault="00CF10FB" w:rsidP="00CF10FB">
      <w:pPr>
        <w:pStyle w:val="aff0"/>
        <w:spacing w:line="276" w:lineRule="auto"/>
        <w:rPr>
          <w:szCs w:val="28"/>
          <w:shd w:val="clear" w:color="auto" w:fill="FFFFFF"/>
        </w:rPr>
      </w:pPr>
      <w:r w:rsidRPr="00CF10FB">
        <w:rPr>
          <w:szCs w:val="28"/>
          <w:shd w:val="clear" w:color="auto" w:fill="FFFFFF"/>
        </w:rPr>
        <w:t xml:space="preserve">Третье концессионное соглашение, от 27.12.2019 № 1224-дг/1 (концессионер – ДМОО «Футбольный клуб «Импульс»»), предусматривает создание спортивно-тренировочного комплекса площадью 8987+/-899 </w:t>
      </w:r>
      <w:proofErr w:type="spellStart"/>
      <w:r w:rsidRPr="00CF10FB">
        <w:rPr>
          <w:szCs w:val="28"/>
          <w:shd w:val="clear" w:color="auto" w:fill="FFFFFF"/>
        </w:rPr>
        <w:t>кв.м</w:t>
      </w:r>
      <w:proofErr w:type="spellEnd"/>
      <w:r w:rsidRPr="00CF10FB">
        <w:rPr>
          <w:szCs w:val="28"/>
          <w:shd w:val="clear" w:color="auto" w:fill="FFFFFF"/>
        </w:rPr>
        <w:t xml:space="preserve">. </w:t>
      </w:r>
      <w:r w:rsidRPr="00CF10FB">
        <w:rPr>
          <w:szCs w:val="28"/>
          <w:shd w:val="clear" w:color="auto" w:fill="FFFFFF"/>
        </w:rPr>
        <w:lastRenderedPageBreak/>
        <w:t>на земельном участке с кадастровым номером 63:09:0101163:9575, расположенном по адресу: Российская Федерация, Самарская область, городской округ Тольятти, г. Тольятти, Ленинский проспект, земельный участок № 42А, с последующим осуществлением деятельности в области физической культуры и спорта. Срок действия соглашения – 46 лет.</w:t>
      </w:r>
    </w:p>
    <w:p w14:paraId="64AA75A9" w14:textId="77777777" w:rsidR="00CF10FB" w:rsidRPr="00CF10FB" w:rsidRDefault="00CF10FB" w:rsidP="00CF10FB">
      <w:pPr>
        <w:pStyle w:val="aff0"/>
        <w:spacing w:line="276" w:lineRule="auto"/>
        <w:rPr>
          <w:szCs w:val="28"/>
          <w:shd w:val="clear" w:color="auto" w:fill="FFFFFF"/>
        </w:rPr>
      </w:pPr>
      <w:r w:rsidRPr="00CF10FB">
        <w:rPr>
          <w:szCs w:val="28"/>
          <w:shd w:val="clear" w:color="auto" w:fill="FFFFFF"/>
        </w:rPr>
        <w:t>Кроме того, рассматриваются поступающие в администрацию городского округа Тольятти обращения лиц, заинтересованных в передаче в концессию объектов муниципальной собственности для дальнейшей реализации инвестиционных проектов.</w:t>
      </w:r>
    </w:p>
    <w:p w14:paraId="7A70C442" w14:textId="77777777" w:rsidR="00CF10FB" w:rsidRPr="00CF10FB" w:rsidRDefault="00CF10FB" w:rsidP="00CF10FB">
      <w:pPr>
        <w:pStyle w:val="aff0"/>
        <w:spacing w:line="276" w:lineRule="auto"/>
        <w:rPr>
          <w:szCs w:val="28"/>
          <w:shd w:val="clear" w:color="auto" w:fill="FFFFFF"/>
        </w:rPr>
      </w:pPr>
      <w:r w:rsidRPr="00CF10FB">
        <w:rPr>
          <w:szCs w:val="28"/>
          <w:shd w:val="clear" w:color="auto" w:fill="FFFFFF"/>
        </w:rPr>
        <w:t>В рамках созданной рабочей группы продолжена работа по формированию перечня мер стимулирования деятельности в сфере промышленности на территории городского округа Тольятти и дальнейшей работы по реализации права на осуществление в городском округе мер стимулирования деятельности в сфере промышленности.</w:t>
      </w:r>
    </w:p>
    <w:p w14:paraId="0C50467A" w14:textId="77777777" w:rsidR="00803B29" w:rsidRPr="00CF10FB" w:rsidRDefault="00803B29" w:rsidP="00803B29">
      <w:pPr>
        <w:pStyle w:val="aff0"/>
        <w:spacing w:line="276" w:lineRule="auto"/>
        <w:rPr>
          <w:szCs w:val="28"/>
          <w:shd w:val="clear" w:color="auto" w:fill="FFFFFF"/>
        </w:rPr>
      </w:pPr>
      <w:r w:rsidRPr="00CF10FB">
        <w:rPr>
          <w:szCs w:val="28"/>
          <w:shd w:val="clear" w:color="auto" w:fill="FFFFFF"/>
        </w:rPr>
        <w:t xml:space="preserve">В январе-июне 2021 года относительно аналогичного периода прошлого года увеличились бюджетные инвестиции </w:t>
      </w:r>
      <w:r>
        <w:rPr>
          <w:szCs w:val="28"/>
          <w:shd w:val="clear" w:color="auto" w:fill="FFFFFF"/>
        </w:rPr>
        <w:t xml:space="preserve">- </w:t>
      </w:r>
      <w:r w:rsidRPr="00CF10FB">
        <w:rPr>
          <w:szCs w:val="28"/>
          <w:shd w:val="clear" w:color="auto" w:fill="FFFFFF"/>
        </w:rPr>
        <w:t xml:space="preserve">на 19,9% (до 1174,2 млн. рублей, в том числе из федерального бюджета – в 2,9 раза (до 450,9 млн. рублей), из местного бюджета – в 1,9 раза (до 62,1 млн. рублей). При этом снизились инвестиции из средств областного бюджета на 16,2% до 661,2 млн. рублей. </w:t>
      </w:r>
    </w:p>
    <w:p w14:paraId="789141D6" w14:textId="3CB14224" w:rsidR="00CF10FB" w:rsidRPr="00CF10FB" w:rsidRDefault="00CF10FB" w:rsidP="00CF10FB">
      <w:pPr>
        <w:pStyle w:val="aff0"/>
        <w:spacing w:line="276" w:lineRule="auto"/>
        <w:rPr>
          <w:szCs w:val="28"/>
          <w:shd w:val="clear" w:color="auto" w:fill="FFFFFF"/>
        </w:rPr>
      </w:pPr>
      <w:r w:rsidRPr="00CF10FB">
        <w:rPr>
          <w:szCs w:val="28"/>
          <w:shd w:val="clear" w:color="auto" w:fill="FFFFFF"/>
        </w:rPr>
        <w:t>К концу 2021 года ожидается рост бюджетных инвестиций до 3,6 млрд. руб</w:t>
      </w:r>
      <w:r w:rsidR="00E916A1">
        <w:rPr>
          <w:szCs w:val="28"/>
          <w:shd w:val="clear" w:color="auto" w:fill="FFFFFF"/>
        </w:rPr>
        <w:t>лей</w:t>
      </w:r>
      <w:r w:rsidRPr="00CF10FB">
        <w:rPr>
          <w:szCs w:val="28"/>
          <w:shd w:val="clear" w:color="auto" w:fill="FFFFFF"/>
        </w:rPr>
        <w:t xml:space="preserve">, в </w:t>
      </w:r>
      <w:r w:rsidR="00E916A1">
        <w:rPr>
          <w:szCs w:val="28"/>
          <w:shd w:val="clear" w:color="auto" w:fill="FFFFFF"/>
        </w:rPr>
        <w:t>том числе</w:t>
      </w:r>
      <w:r w:rsidRPr="00CF10FB">
        <w:rPr>
          <w:szCs w:val="28"/>
          <w:shd w:val="clear" w:color="auto" w:fill="FFFFFF"/>
        </w:rPr>
        <w:t xml:space="preserve"> за счет реализации следующих инвестиционных проектов: </w:t>
      </w:r>
    </w:p>
    <w:p w14:paraId="77979E62" w14:textId="57CE120D" w:rsidR="00CF10FB" w:rsidRPr="00CF10FB" w:rsidRDefault="00CF10FB" w:rsidP="00CF10FB">
      <w:pPr>
        <w:pStyle w:val="aff0"/>
        <w:spacing w:line="276" w:lineRule="auto"/>
        <w:rPr>
          <w:szCs w:val="28"/>
          <w:shd w:val="clear" w:color="auto" w:fill="FFFFFF"/>
        </w:rPr>
      </w:pPr>
      <w:r w:rsidRPr="00CF10FB">
        <w:rPr>
          <w:szCs w:val="28"/>
          <w:shd w:val="clear" w:color="auto" w:fill="FFFFFF"/>
        </w:rPr>
        <w:t>- завершение строительства детского сада ЛДС-2 на 150 мест в составе 2 этапа в 14а квартале Автозаводского района с общей стоимостью проекта 161,0 млн. руб</w:t>
      </w:r>
      <w:r w:rsidR="00B23793">
        <w:rPr>
          <w:szCs w:val="28"/>
          <w:shd w:val="clear" w:color="auto" w:fill="FFFFFF"/>
        </w:rPr>
        <w:t>лей</w:t>
      </w:r>
      <w:r w:rsidRPr="00CF10FB">
        <w:rPr>
          <w:szCs w:val="28"/>
          <w:shd w:val="clear" w:color="auto" w:fill="FFFFFF"/>
        </w:rPr>
        <w:t xml:space="preserve"> (планируемый ввод в эксплуатацию – декабрь 2021 год);</w:t>
      </w:r>
    </w:p>
    <w:p w14:paraId="0EA40852" w14:textId="77777777" w:rsidR="00CF10FB" w:rsidRPr="00CF10FB" w:rsidRDefault="00CF10FB" w:rsidP="00CF10FB">
      <w:pPr>
        <w:pStyle w:val="aff0"/>
        <w:spacing w:line="276" w:lineRule="auto"/>
        <w:rPr>
          <w:szCs w:val="28"/>
          <w:shd w:val="clear" w:color="auto" w:fill="FFFFFF"/>
        </w:rPr>
      </w:pPr>
      <w:r w:rsidRPr="00CF10FB">
        <w:rPr>
          <w:szCs w:val="28"/>
          <w:shd w:val="clear" w:color="auto" w:fill="FFFFFF"/>
        </w:rPr>
        <w:t xml:space="preserve">-  проектирование детского сада </w:t>
      </w:r>
      <w:proofErr w:type="spellStart"/>
      <w:r w:rsidRPr="00CF10FB">
        <w:rPr>
          <w:szCs w:val="28"/>
          <w:shd w:val="clear" w:color="auto" w:fill="FFFFFF"/>
        </w:rPr>
        <w:t>мкр</w:t>
      </w:r>
      <w:proofErr w:type="spellEnd"/>
      <w:r w:rsidRPr="00CF10FB">
        <w:rPr>
          <w:szCs w:val="28"/>
          <w:shd w:val="clear" w:color="auto" w:fill="FFFFFF"/>
        </w:rPr>
        <w:t>. «Калина» на 350 мест и детского сада ЛДС-1 в составе 1 этапа в 14а квартале Автозаводского района;</w:t>
      </w:r>
    </w:p>
    <w:p w14:paraId="45DFE8DD" w14:textId="77777777" w:rsidR="00CF10FB" w:rsidRPr="00CF10FB" w:rsidRDefault="00CF10FB" w:rsidP="00CF10FB">
      <w:pPr>
        <w:pStyle w:val="aff0"/>
        <w:spacing w:line="276" w:lineRule="auto"/>
        <w:rPr>
          <w:szCs w:val="28"/>
          <w:shd w:val="clear" w:color="auto" w:fill="FFFFFF"/>
        </w:rPr>
      </w:pPr>
      <w:r w:rsidRPr="00CF10FB">
        <w:rPr>
          <w:szCs w:val="28"/>
          <w:shd w:val="clear" w:color="auto" w:fill="FFFFFF"/>
        </w:rPr>
        <w:t>- проектирование детского сада ЛДС-1 на 150 мест в 14а квартале Автозаводского района;</w:t>
      </w:r>
    </w:p>
    <w:p w14:paraId="39F52D2B" w14:textId="77777777" w:rsidR="00CF10FB" w:rsidRPr="00CF10FB" w:rsidRDefault="00CF10FB" w:rsidP="00CF10FB">
      <w:pPr>
        <w:pStyle w:val="aff0"/>
        <w:spacing w:line="276" w:lineRule="auto"/>
        <w:rPr>
          <w:szCs w:val="28"/>
          <w:shd w:val="clear" w:color="auto" w:fill="FFFFFF"/>
        </w:rPr>
      </w:pPr>
      <w:r w:rsidRPr="00CF10FB">
        <w:rPr>
          <w:szCs w:val="28"/>
          <w:shd w:val="clear" w:color="auto" w:fill="FFFFFF"/>
        </w:rPr>
        <w:t>- строительство 1 этапа общеобразовательной школы на 1600 мест, расположенной в 20 квартале Автозаводского района;</w:t>
      </w:r>
    </w:p>
    <w:p w14:paraId="6404DFA9" w14:textId="77777777" w:rsidR="00CF10FB" w:rsidRPr="00CF10FB" w:rsidRDefault="00CF10FB" w:rsidP="00CF10FB">
      <w:pPr>
        <w:pStyle w:val="aff0"/>
        <w:spacing w:line="276" w:lineRule="auto"/>
        <w:rPr>
          <w:szCs w:val="28"/>
          <w:shd w:val="clear" w:color="auto" w:fill="FFFFFF"/>
        </w:rPr>
      </w:pPr>
      <w:r w:rsidRPr="00A656AB">
        <w:rPr>
          <w:szCs w:val="28"/>
          <w:shd w:val="clear" w:color="auto" w:fill="FFFFFF"/>
        </w:rPr>
        <w:t>- завершение строительства легкоатлетического манежа около стадиона «Торпедо»;</w:t>
      </w:r>
    </w:p>
    <w:p w14:paraId="2A0538ED" w14:textId="77777777" w:rsidR="00CF10FB" w:rsidRPr="00CF10FB" w:rsidRDefault="00CF10FB" w:rsidP="00CF10FB">
      <w:pPr>
        <w:pStyle w:val="aff0"/>
        <w:spacing w:line="276" w:lineRule="auto"/>
        <w:rPr>
          <w:szCs w:val="28"/>
          <w:shd w:val="clear" w:color="auto" w:fill="FFFFFF"/>
        </w:rPr>
      </w:pPr>
      <w:r w:rsidRPr="00CF10FB">
        <w:rPr>
          <w:szCs w:val="28"/>
          <w:shd w:val="clear" w:color="auto" w:fill="FFFFFF"/>
        </w:rPr>
        <w:t>- устройство спортивной площадки с покрытием искусственная трава 56х28 м на территории МБУ Школа № 32 (б-р Буденного, 4);</w:t>
      </w:r>
    </w:p>
    <w:p w14:paraId="2565B078" w14:textId="77777777" w:rsidR="00CF10FB" w:rsidRPr="00CF10FB" w:rsidRDefault="00CF10FB" w:rsidP="00CF10FB">
      <w:pPr>
        <w:pStyle w:val="aff0"/>
        <w:spacing w:line="276" w:lineRule="auto"/>
        <w:rPr>
          <w:szCs w:val="28"/>
          <w:shd w:val="clear" w:color="auto" w:fill="FFFFFF"/>
        </w:rPr>
      </w:pPr>
      <w:r w:rsidRPr="00CF10FB">
        <w:rPr>
          <w:szCs w:val="28"/>
          <w:shd w:val="clear" w:color="auto" w:fill="FFFFFF"/>
        </w:rPr>
        <w:t>- продолжение строительства физкультурно-спортивного комплекс (площадка «Певческое поле»);</w:t>
      </w:r>
    </w:p>
    <w:p w14:paraId="492FB34D" w14:textId="77777777" w:rsidR="00CF10FB" w:rsidRPr="00CF10FB" w:rsidRDefault="00CF10FB" w:rsidP="00CF10FB">
      <w:pPr>
        <w:pStyle w:val="aff0"/>
        <w:spacing w:line="276" w:lineRule="auto"/>
        <w:rPr>
          <w:szCs w:val="28"/>
          <w:shd w:val="clear" w:color="auto" w:fill="FFFFFF"/>
        </w:rPr>
      </w:pPr>
      <w:r w:rsidRPr="00CF10FB">
        <w:rPr>
          <w:szCs w:val="28"/>
          <w:shd w:val="clear" w:color="auto" w:fill="FFFFFF"/>
        </w:rPr>
        <w:t xml:space="preserve">- проектирование физкультурно-оздоровительного комплекса по </w:t>
      </w:r>
      <w:r w:rsidRPr="00CF10FB">
        <w:rPr>
          <w:szCs w:val="28"/>
          <w:shd w:val="clear" w:color="auto" w:fill="FFFFFF"/>
        </w:rPr>
        <w:lastRenderedPageBreak/>
        <w:t>адресу: г. Тольятти, Комсомольский район, ул. Гидротехническая, 36;</w:t>
      </w:r>
    </w:p>
    <w:p w14:paraId="45FE644B" w14:textId="77777777" w:rsidR="00CF10FB" w:rsidRPr="00CF10FB" w:rsidRDefault="00CF10FB" w:rsidP="00CF10FB">
      <w:pPr>
        <w:pStyle w:val="aff0"/>
        <w:spacing w:line="276" w:lineRule="auto"/>
        <w:rPr>
          <w:szCs w:val="28"/>
          <w:shd w:val="clear" w:color="auto" w:fill="FFFFFF"/>
        </w:rPr>
      </w:pPr>
      <w:r w:rsidRPr="00CF10FB">
        <w:rPr>
          <w:szCs w:val="28"/>
          <w:shd w:val="clear" w:color="auto" w:fill="FFFFFF"/>
        </w:rPr>
        <w:t>- разработка проектно-сметной документации на капитальный ремонт футбольного поля спортивного комплекса «Спутник»;</w:t>
      </w:r>
    </w:p>
    <w:p w14:paraId="4B5A6A7C" w14:textId="77777777" w:rsidR="00CF10FB" w:rsidRPr="00CF10FB" w:rsidRDefault="00CF10FB" w:rsidP="00CF10FB">
      <w:pPr>
        <w:pStyle w:val="aff0"/>
        <w:spacing w:line="276" w:lineRule="auto"/>
        <w:rPr>
          <w:szCs w:val="28"/>
          <w:shd w:val="clear" w:color="auto" w:fill="FFFFFF"/>
        </w:rPr>
      </w:pPr>
      <w:r w:rsidRPr="00CF10FB">
        <w:rPr>
          <w:szCs w:val="28"/>
          <w:shd w:val="clear" w:color="auto" w:fill="FFFFFF"/>
        </w:rPr>
        <w:t>- разработка проектно-сметной документации на капитальный ремонт спортивного комплекса по адресу: ул. Матросова, 5а.</w:t>
      </w:r>
    </w:p>
    <w:p w14:paraId="66B3FDB2" w14:textId="77777777" w:rsidR="00CF10FB" w:rsidRPr="00CF10FB" w:rsidRDefault="00CF10FB" w:rsidP="00CF10FB">
      <w:pPr>
        <w:pStyle w:val="aff0"/>
        <w:spacing w:line="276" w:lineRule="auto"/>
        <w:rPr>
          <w:szCs w:val="28"/>
          <w:shd w:val="clear" w:color="auto" w:fill="FFFFFF"/>
        </w:rPr>
      </w:pPr>
      <w:r w:rsidRPr="00CF10FB">
        <w:rPr>
          <w:szCs w:val="28"/>
          <w:shd w:val="clear" w:color="auto" w:fill="FFFFFF"/>
        </w:rPr>
        <w:t>Таким образом, на основании представленных оценочных данных ведущих промышленных предприятий города, с учетом плановых объемов инвестиций в основной капитал всех резидентов ТОСЭР «Тольятти» и резидентов ОЭЗ ППТ «Тольятти», а также плановых сумм бюджетных инвестиций до конца 2021 года сумма инвестиций в основной капитал на 2021 год скорректирована в сторону увеличения и оценочно составит 56 695,1 млн. рублей, что на 16,3% больше, чем в 2020 году (на 10,1% в сопоставимых ценах), в том числе по внебюджетным инвестициям - рост на 16,7% к 2020 году.</w:t>
      </w:r>
    </w:p>
    <w:p w14:paraId="235A0169" w14:textId="41E4FA57" w:rsidR="00CF10FB" w:rsidRPr="00CF10FB" w:rsidRDefault="00CF10FB" w:rsidP="00BA4068">
      <w:pPr>
        <w:pStyle w:val="aff0"/>
        <w:spacing w:line="276" w:lineRule="auto"/>
        <w:jc w:val="center"/>
        <w:rPr>
          <w:szCs w:val="28"/>
          <w:shd w:val="clear" w:color="auto" w:fill="FFFFFF"/>
        </w:rPr>
      </w:pPr>
      <w:r w:rsidRPr="00CF10FB">
        <w:rPr>
          <w:szCs w:val="28"/>
          <w:shd w:val="clear" w:color="auto" w:fill="FFFFFF"/>
        </w:rPr>
        <w:t>Ожидаемое выполнение прогнозных показателей по разделу</w:t>
      </w:r>
    </w:p>
    <w:p w14:paraId="4EF4DAB5" w14:textId="6CDDFDE8" w:rsidR="00CF10FB" w:rsidRDefault="00CF10FB" w:rsidP="00BA4068">
      <w:pPr>
        <w:pStyle w:val="aff0"/>
        <w:spacing w:line="276" w:lineRule="auto"/>
        <w:jc w:val="center"/>
        <w:rPr>
          <w:szCs w:val="28"/>
          <w:shd w:val="clear" w:color="auto" w:fill="FFFFFF"/>
        </w:rPr>
      </w:pPr>
      <w:r w:rsidRPr="00CF10FB">
        <w:rPr>
          <w:szCs w:val="28"/>
          <w:shd w:val="clear" w:color="auto" w:fill="FFFFFF"/>
        </w:rPr>
        <w:t>«Инвестиции в основной капитал» на 2021 год</w:t>
      </w:r>
    </w:p>
    <w:tbl>
      <w:tblPr>
        <w:tblW w:w="9323" w:type="dxa"/>
        <w:jc w:val="center"/>
        <w:tblLayout w:type="fixed"/>
        <w:tblLook w:val="0000" w:firstRow="0" w:lastRow="0" w:firstColumn="0" w:lastColumn="0" w:noHBand="0" w:noVBand="0"/>
      </w:tblPr>
      <w:tblGrid>
        <w:gridCol w:w="3671"/>
        <w:gridCol w:w="1417"/>
        <w:gridCol w:w="1418"/>
        <w:gridCol w:w="1417"/>
        <w:gridCol w:w="1400"/>
      </w:tblGrid>
      <w:tr w:rsidR="00CF10FB" w:rsidRPr="00CF10FB" w14:paraId="5A6D4A9D" w14:textId="77777777" w:rsidTr="00E916A1">
        <w:trPr>
          <w:tblHeader/>
          <w:jc w:val="center"/>
        </w:trPr>
        <w:tc>
          <w:tcPr>
            <w:tcW w:w="3671" w:type="dxa"/>
            <w:vMerge w:val="restart"/>
            <w:tcBorders>
              <w:top w:val="single" w:sz="4" w:space="0" w:color="000000"/>
              <w:left w:val="single" w:sz="4" w:space="0" w:color="000000"/>
              <w:bottom w:val="single" w:sz="4" w:space="0" w:color="000000"/>
            </w:tcBorders>
            <w:vAlign w:val="center"/>
          </w:tcPr>
          <w:p w14:paraId="2277291F" w14:textId="77777777" w:rsidR="00CF10FB" w:rsidRPr="00CF10FB" w:rsidRDefault="00CF10FB" w:rsidP="00CF10FB">
            <w:pPr>
              <w:pStyle w:val="aff0"/>
              <w:spacing w:line="276" w:lineRule="auto"/>
              <w:rPr>
                <w:szCs w:val="28"/>
                <w:shd w:val="clear" w:color="auto" w:fill="FFFFFF"/>
              </w:rPr>
            </w:pPr>
            <w:r w:rsidRPr="00CF10FB">
              <w:rPr>
                <w:szCs w:val="28"/>
                <w:shd w:val="clear" w:color="auto" w:fill="FFFFFF"/>
              </w:rPr>
              <w:t>Показатели</w:t>
            </w:r>
          </w:p>
        </w:tc>
        <w:tc>
          <w:tcPr>
            <w:tcW w:w="1417" w:type="dxa"/>
            <w:vMerge w:val="restart"/>
            <w:tcBorders>
              <w:top w:val="single" w:sz="4" w:space="0" w:color="000000"/>
              <w:left w:val="single" w:sz="4" w:space="0" w:color="000000"/>
              <w:bottom w:val="single" w:sz="4" w:space="0" w:color="000000"/>
            </w:tcBorders>
            <w:vAlign w:val="center"/>
          </w:tcPr>
          <w:p w14:paraId="50715C28" w14:textId="77777777" w:rsidR="00CF10FB" w:rsidRPr="00CF10FB" w:rsidRDefault="00CF10FB" w:rsidP="00E916A1">
            <w:pPr>
              <w:pStyle w:val="aff0"/>
              <w:spacing w:line="276" w:lineRule="auto"/>
              <w:ind w:firstLine="0"/>
              <w:jc w:val="center"/>
              <w:rPr>
                <w:szCs w:val="28"/>
                <w:shd w:val="clear" w:color="auto" w:fill="FFFFFF"/>
              </w:rPr>
            </w:pPr>
            <w:r w:rsidRPr="00CF10FB">
              <w:rPr>
                <w:szCs w:val="28"/>
                <w:shd w:val="clear" w:color="auto" w:fill="FFFFFF"/>
              </w:rPr>
              <w:t>Ед. изм.</w:t>
            </w:r>
          </w:p>
        </w:tc>
        <w:tc>
          <w:tcPr>
            <w:tcW w:w="2835" w:type="dxa"/>
            <w:gridSpan w:val="2"/>
            <w:tcBorders>
              <w:top w:val="single" w:sz="4" w:space="0" w:color="000000"/>
              <w:left w:val="single" w:sz="4" w:space="0" w:color="000000"/>
              <w:bottom w:val="single" w:sz="4" w:space="0" w:color="000000"/>
            </w:tcBorders>
            <w:vAlign w:val="center"/>
          </w:tcPr>
          <w:p w14:paraId="27E958D4" w14:textId="77777777" w:rsidR="00CF10FB" w:rsidRPr="00CF10FB" w:rsidRDefault="00CF10FB" w:rsidP="00E916A1">
            <w:pPr>
              <w:pStyle w:val="aff0"/>
              <w:spacing w:line="276" w:lineRule="auto"/>
              <w:ind w:firstLine="0"/>
              <w:jc w:val="center"/>
              <w:rPr>
                <w:szCs w:val="28"/>
                <w:shd w:val="clear" w:color="auto" w:fill="FFFFFF"/>
              </w:rPr>
            </w:pPr>
            <w:r w:rsidRPr="00CF10FB">
              <w:rPr>
                <w:szCs w:val="28"/>
                <w:shd w:val="clear" w:color="auto" w:fill="FFFFFF"/>
              </w:rPr>
              <w:t>Прогноз на 2021 год</w:t>
            </w:r>
          </w:p>
        </w:tc>
        <w:tc>
          <w:tcPr>
            <w:tcW w:w="1400" w:type="dxa"/>
            <w:vMerge w:val="restart"/>
            <w:tcBorders>
              <w:top w:val="single" w:sz="4" w:space="0" w:color="000000"/>
              <w:left w:val="single" w:sz="4" w:space="0" w:color="000000"/>
              <w:bottom w:val="single" w:sz="4" w:space="0" w:color="000000"/>
              <w:right w:val="single" w:sz="4" w:space="0" w:color="000000"/>
            </w:tcBorders>
            <w:vAlign w:val="center"/>
          </w:tcPr>
          <w:p w14:paraId="3E017EE1" w14:textId="77777777" w:rsidR="00CF10FB" w:rsidRPr="00CF10FB" w:rsidRDefault="00CF10FB" w:rsidP="00A9639F">
            <w:pPr>
              <w:pStyle w:val="aff0"/>
              <w:spacing w:line="276" w:lineRule="auto"/>
              <w:ind w:firstLine="0"/>
              <w:jc w:val="center"/>
              <w:rPr>
                <w:szCs w:val="28"/>
                <w:shd w:val="clear" w:color="auto" w:fill="FFFFFF"/>
              </w:rPr>
            </w:pPr>
            <w:r w:rsidRPr="00CF10FB">
              <w:rPr>
                <w:szCs w:val="28"/>
                <w:shd w:val="clear" w:color="auto" w:fill="FFFFFF"/>
              </w:rPr>
              <w:t>2021 год (оценка)</w:t>
            </w:r>
          </w:p>
        </w:tc>
      </w:tr>
      <w:tr w:rsidR="00CF10FB" w:rsidRPr="00CF10FB" w14:paraId="7CF90DE1" w14:textId="77777777" w:rsidTr="00E916A1">
        <w:trPr>
          <w:trHeight w:val="249"/>
          <w:tblHeader/>
          <w:jc w:val="center"/>
        </w:trPr>
        <w:tc>
          <w:tcPr>
            <w:tcW w:w="3671" w:type="dxa"/>
            <w:vMerge/>
            <w:tcBorders>
              <w:top w:val="single" w:sz="4" w:space="0" w:color="000000"/>
              <w:left w:val="single" w:sz="4" w:space="0" w:color="000000"/>
              <w:bottom w:val="single" w:sz="4" w:space="0" w:color="000000"/>
            </w:tcBorders>
          </w:tcPr>
          <w:p w14:paraId="2DD450D0" w14:textId="77777777" w:rsidR="00CF10FB" w:rsidRPr="00CF10FB" w:rsidRDefault="00CF10FB" w:rsidP="00CF10FB">
            <w:pPr>
              <w:pStyle w:val="aff0"/>
              <w:spacing w:line="276" w:lineRule="auto"/>
              <w:rPr>
                <w:szCs w:val="28"/>
                <w:shd w:val="clear" w:color="auto" w:fill="FFFFFF"/>
              </w:rPr>
            </w:pPr>
          </w:p>
        </w:tc>
        <w:tc>
          <w:tcPr>
            <w:tcW w:w="1417" w:type="dxa"/>
            <w:vMerge/>
            <w:tcBorders>
              <w:top w:val="single" w:sz="4" w:space="0" w:color="000000"/>
              <w:left w:val="single" w:sz="4" w:space="0" w:color="000000"/>
              <w:bottom w:val="single" w:sz="4" w:space="0" w:color="000000"/>
            </w:tcBorders>
          </w:tcPr>
          <w:p w14:paraId="452D04FE" w14:textId="77777777" w:rsidR="00CF10FB" w:rsidRPr="00CF10FB" w:rsidRDefault="00CF10FB" w:rsidP="00CF10FB">
            <w:pPr>
              <w:pStyle w:val="aff0"/>
              <w:spacing w:line="276" w:lineRule="auto"/>
              <w:rPr>
                <w:szCs w:val="28"/>
                <w:shd w:val="clear" w:color="auto" w:fill="FFFFFF"/>
              </w:rPr>
            </w:pPr>
          </w:p>
        </w:tc>
        <w:tc>
          <w:tcPr>
            <w:tcW w:w="1418" w:type="dxa"/>
            <w:tcBorders>
              <w:top w:val="single" w:sz="4" w:space="0" w:color="000000"/>
              <w:left w:val="single" w:sz="4" w:space="0" w:color="000000"/>
              <w:bottom w:val="single" w:sz="4" w:space="0" w:color="000000"/>
            </w:tcBorders>
            <w:vAlign w:val="center"/>
          </w:tcPr>
          <w:p w14:paraId="6B255E69" w14:textId="45476142" w:rsidR="00CF10FB" w:rsidRPr="00CF10FB" w:rsidRDefault="00CF10FB" w:rsidP="00A9639F">
            <w:pPr>
              <w:pStyle w:val="aff0"/>
              <w:spacing w:line="276" w:lineRule="auto"/>
              <w:ind w:hanging="1"/>
              <w:jc w:val="center"/>
              <w:rPr>
                <w:szCs w:val="28"/>
                <w:shd w:val="clear" w:color="auto" w:fill="FFFFFF"/>
              </w:rPr>
            </w:pPr>
            <w:r w:rsidRPr="00CF10FB">
              <w:rPr>
                <w:szCs w:val="28"/>
                <w:shd w:val="clear" w:color="auto" w:fill="FFFFFF"/>
              </w:rPr>
              <w:t>1 вариант</w:t>
            </w:r>
          </w:p>
          <w:p w14:paraId="13A3CFB1" w14:textId="77777777" w:rsidR="00CF10FB" w:rsidRPr="00CF10FB" w:rsidRDefault="00CF10FB" w:rsidP="00A9639F">
            <w:pPr>
              <w:pStyle w:val="aff0"/>
              <w:spacing w:line="276" w:lineRule="auto"/>
              <w:ind w:hanging="1"/>
              <w:jc w:val="center"/>
              <w:rPr>
                <w:szCs w:val="28"/>
                <w:shd w:val="clear" w:color="auto" w:fill="FFFFFF"/>
              </w:rPr>
            </w:pPr>
          </w:p>
        </w:tc>
        <w:tc>
          <w:tcPr>
            <w:tcW w:w="1417" w:type="dxa"/>
            <w:tcBorders>
              <w:top w:val="single" w:sz="4" w:space="0" w:color="000000"/>
              <w:left w:val="single" w:sz="4" w:space="0" w:color="000000"/>
              <w:bottom w:val="single" w:sz="4" w:space="0" w:color="000000"/>
            </w:tcBorders>
            <w:vAlign w:val="center"/>
          </w:tcPr>
          <w:p w14:paraId="0E63825C" w14:textId="77777777" w:rsidR="00CF10FB" w:rsidRPr="00CF10FB" w:rsidRDefault="00CF10FB" w:rsidP="00A9639F">
            <w:pPr>
              <w:pStyle w:val="aff0"/>
              <w:spacing w:line="276" w:lineRule="auto"/>
              <w:ind w:hanging="109"/>
              <w:jc w:val="center"/>
              <w:rPr>
                <w:szCs w:val="28"/>
                <w:shd w:val="clear" w:color="auto" w:fill="FFFFFF"/>
              </w:rPr>
            </w:pPr>
            <w:r w:rsidRPr="00CF10FB">
              <w:rPr>
                <w:szCs w:val="28"/>
                <w:shd w:val="clear" w:color="auto" w:fill="FFFFFF"/>
              </w:rPr>
              <w:t>2 вариант</w:t>
            </w:r>
          </w:p>
          <w:p w14:paraId="1A8CBAB9" w14:textId="77777777" w:rsidR="00CF10FB" w:rsidRPr="00CF10FB" w:rsidRDefault="00CF10FB" w:rsidP="00A9639F">
            <w:pPr>
              <w:pStyle w:val="aff0"/>
              <w:spacing w:line="276" w:lineRule="auto"/>
              <w:ind w:hanging="109"/>
              <w:jc w:val="center"/>
              <w:rPr>
                <w:szCs w:val="28"/>
                <w:shd w:val="clear" w:color="auto" w:fill="FFFFFF"/>
              </w:rPr>
            </w:pPr>
          </w:p>
        </w:tc>
        <w:tc>
          <w:tcPr>
            <w:tcW w:w="1400" w:type="dxa"/>
            <w:vMerge/>
            <w:tcBorders>
              <w:top w:val="single" w:sz="4" w:space="0" w:color="000000"/>
              <w:left w:val="single" w:sz="4" w:space="0" w:color="000000"/>
              <w:bottom w:val="single" w:sz="4" w:space="0" w:color="000000"/>
              <w:right w:val="single" w:sz="4" w:space="0" w:color="000000"/>
            </w:tcBorders>
          </w:tcPr>
          <w:p w14:paraId="23E400A2" w14:textId="77777777" w:rsidR="00CF10FB" w:rsidRPr="00CF10FB" w:rsidRDefault="00CF10FB" w:rsidP="00CF10FB">
            <w:pPr>
              <w:pStyle w:val="aff0"/>
              <w:spacing w:line="276" w:lineRule="auto"/>
              <w:rPr>
                <w:szCs w:val="28"/>
                <w:shd w:val="clear" w:color="auto" w:fill="FFFFFF"/>
              </w:rPr>
            </w:pPr>
          </w:p>
        </w:tc>
      </w:tr>
      <w:tr w:rsidR="00CF10FB" w:rsidRPr="00CF10FB" w14:paraId="2F40CA56" w14:textId="77777777" w:rsidTr="00E916A1">
        <w:trPr>
          <w:jc w:val="center"/>
        </w:trPr>
        <w:tc>
          <w:tcPr>
            <w:tcW w:w="3671" w:type="dxa"/>
            <w:tcBorders>
              <w:top w:val="single" w:sz="4" w:space="0" w:color="000000"/>
              <w:left w:val="single" w:sz="4" w:space="0" w:color="000000"/>
              <w:bottom w:val="single" w:sz="4" w:space="0" w:color="000000"/>
            </w:tcBorders>
          </w:tcPr>
          <w:p w14:paraId="7996786E" w14:textId="77777777" w:rsidR="00CF10FB" w:rsidRPr="00CF10FB" w:rsidRDefault="00CF10FB" w:rsidP="00FC6B9D">
            <w:pPr>
              <w:pStyle w:val="aff0"/>
              <w:spacing w:line="240" w:lineRule="auto"/>
              <w:ind w:firstLine="0"/>
              <w:jc w:val="left"/>
              <w:rPr>
                <w:szCs w:val="28"/>
                <w:shd w:val="clear" w:color="auto" w:fill="FFFFFF"/>
              </w:rPr>
            </w:pPr>
            <w:r w:rsidRPr="00CF10FB">
              <w:rPr>
                <w:szCs w:val="28"/>
                <w:shd w:val="clear" w:color="auto" w:fill="FFFFFF"/>
              </w:rPr>
              <w:t xml:space="preserve">Объем инвестиций в основной капитал организаций за счет всех источников финансирования </w:t>
            </w:r>
          </w:p>
        </w:tc>
        <w:tc>
          <w:tcPr>
            <w:tcW w:w="1417" w:type="dxa"/>
            <w:tcBorders>
              <w:top w:val="single" w:sz="4" w:space="0" w:color="000000"/>
              <w:left w:val="single" w:sz="4" w:space="0" w:color="000000"/>
              <w:bottom w:val="single" w:sz="4" w:space="0" w:color="000000"/>
            </w:tcBorders>
            <w:vAlign w:val="center"/>
          </w:tcPr>
          <w:p w14:paraId="1C97125E" w14:textId="77777777" w:rsidR="00CF10FB" w:rsidRPr="00CF10FB" w:rsidRDefault="00CF10FB" w:rsidP="00E916A1">
            <w:pPr>
              <w:pStyle w:val="aff0"/>
              <w:spacing w:line="276" w:lineRule="auto"/>
              <w:ind w:firstLine="0"/>
              <w:jc w:val="center"/>
              <w:rPr>
                <w:szCs w:val="28"/>
                <w:shd w:val="clear" w:color="auto" w:fill="FFFFFF"/>
              </w:rPr>
            </w:pPr>
            <w:r w:rsidRPr="00CF10FB">
              <w:rPr>
                <w:szCs w:val="28"/>
                <w:shd w:val="clear" w:color="auto" w:fill="FFFFFF"/>
              </w:rPr>
              <w:t>млн. рублей</w:t>
            </w:r>
          </w:p>
        </w:tc>
        <w:tc>
          <w:tcPr>
            <w:tcW w:w="1418" w:type="dxa"/>
            <w:tcBorders>
              <w:top w:val="single" w:sz="4" w:space="0" w:color="000000"/>
              <w:left w:val="single" w:sz="4" w:space="0" w:color="000000"/>
              <w:bottom w:val="single" w:sz="4" w:space="0" w:color="000000"/>
            </w:tcBorders>
            <w:vAlign w:val="center"/>
          </w:tcPr>
          <w:p w14:paraId="6AA8641B" w14:textId="77777777" w:rsidR="00CF10FB" w:rsidRPr="00CF10FB" w:rsidRDefault="00CF10FB" w:rsidP="00E916A1">
            <w:pPr>
              <w:pStyle w:val="aff0"/>
              <w:spacing w:line="276" w:lineRule="auto"/>
              <w:ind w:firstLine="0"/>
              <w:jc w:val="center"/>
              <w:rPr>
                <w:szCs w:val="28"/>
                <w:shd w:val="clear" w:color="auto" w:fill="FFFFFF"/>
              </w:rPr>
            </w:pPr>
            <w:r w:rsidRPr="00CF10FB">
              <w:rPr>
                <w:szCs w:val="28"/>
                <w:shd w:val="clear" w:color="auto" w:fill="FFFFFF"/>
              </w:rPr>
              <w:t>40 393,7</w:t>
            </w:r>
          </w:p>
        </w:tc>
        <w:tc>
          <w:tcPr>
            <w:tcW w:w="1417" w:type="dxa"/>
            <w:tcBorders>
              <w:top w:val="single" w:sz="4" w:space="0" w:color="000000"/>
              <w:left w:val="single" w:sz="4" w:space="0" w:color="000000"/>
              <w:bottom w:val="single" w:sz="4" w:space="0" w:color="000000"/>
            </w:tcBorders>
            <w:vAlign w:val="center"/>
          </w:tcPr>
          <w:p w14:paraId="59155658" w14:textId="77777777" w:rsidR="00CF10FB" w:rsidRPr="00CF10FB" w:rsidRDefault="00CF10FB" w:rsidP="00E916A1">
            <w:pPr>
              <w:pStyle w:val="aff0"/>
              <w:spacing w:line="276" w:lineRule="auto"/>
              <w:ind w:firstLine="0"/>
              <w:jc w:val="center"/>
              <w:rPr>
                <w:szCs w:val="28"/>
                <w:shd w:val="clear" w:color="auto" w:fill="FFFFFF"/>
              </w:rPr>
            </w:pPr>
            <w:r w:rsidRPr="00CF10FB">
              <w:rPr>
                <w:szCs w:val="28"/>
                <w:shd w:val="clear" w:color="auto" w:fill="FFFFFF"/>
              </w:rPr>
              <w:t>42 573,8</w:t>
            </w:r>
          </w:p>
        </w:tc>
        <w:tc>
          <w:tcPr>
            <w:tcW w:w="1400" w:type="dxa"/>
            <w:tcBorders>
              <w:top w:val="single" w:sz="4" w:space="0" w:color="000000"/>
              <w:left w:val="single" w:sz="4" w:space="0" w:color="000000"/>
              <w:bottom w:val="single" w:sz="4" w:space="0" w:color="000000"/>
              <w:right w:val="single" w:sz="4" w:space="0" w:color="000000"/>
            </w:tcBorders>
            <w:vAlign w:val="center"/>
          </w:tcPr>
          <w:p w14:paraId="229E5572" w14:textId="77777777" w:rsidR="00CF10FB" w:rsidRPr="00CF10FB" w:rsidRDefault="00CF10FB" w:rsidP="00E916A1">
            <w:pPr>
              <w:pStyle w:val="aff0"/>
              <w:spacing w:line="276" w:lineRule="auto"/>
              <w:ind w:firstLine="0"/>
              <w:jc w:val="center"/>
              <w:rPr>
                <w:szCs w:val="28"/>
                <w:shd w:val="clear" w:color="auto" w:fill="FFFFFF"/>
              </w:rPr>
            </w:pPr>
            <w:r w:rsidRPr="00CF10FB">
              <w:rPr>
                <w:szCs w:val="28"/>
                <w:shd w:val="clear" w:color="auto" w:fill="FFFFFF"/>
              </w:rPr>
              <w:t>56 695,1</w:t>
            </w:r>
          </w:p>
        </w:tc>
      </w:tr>
      <w:tr w:rsidR="00CF10FB" w:rsidRPr="00CF10FB" w14:paraId="74B9E277" w14:textId="77777777" w:rsidTr="00E916A1">
        <w:trPr>
          <w:jc w:val="center"/>
        </w:trPr>
        <w:tc>
          <w:tcPr>
            <w:tcW w:w="3671" w:type="dxa"/>
            <w:tcBorders>
              <w:top w:val="single" w:sz="4" w:space="0" w:color="000000"/>
              <w:left w:val="single" w:sz="4" w:space="0" w:color="000000"/>
              <w:bottom w:val="single" w:sz="4" w:space="0" w:color="000000"/>
            </w:tcBorders>
          </w:tcPr>
          <w:p w14:paraId="639F0980" w14:textId="77777777" w:rsidR="00CF10FB" w:rsidRPr="00CF10FB" w:rsidRDefault="00CF10FB" w:rsidP="00FC6B9D">
            <w:pPr>
              <w:pStyle w:val="aff0"/>
              <w:spacing w:line="240" w:lineRule="auto"/>
              <w:ind w:firstLine="0"/>
              <w:jc w:val="left"/>
              <w:rPr>
                <w:szCs w:val="28"/>
                <w:shd w:val="clear" w:color="auto" w:fill="FFFFFF"/>
              </w:rPr>
            </w:pPr>
            <w:r w:rsidRPr="00CF10FB">
              <w:rPr>
                <w:szCs w:val="28"/>
                <w:shd w:val="clear" w:color="auto" w:fill="FFFFFF"/>
              </w:rPr>
              <w:t>Индекс физического объема инвестиций в основной капитал</w:t>
            </w:r>
          </w:p>
        </w:tc>
        <w:tc>
          <w:tcPr>
            <w:tcW w:w="1417" w:type="dxa"/>
            <w:tcBorders>
              <w:top w:val="single" w:sz="4" w:space="0" w:color="000000"/>
              <w:left w:val="single" w:sz="4" w:space="0" w:color="000000"/>
              <w:bottom w:val="single" w:sz="4" w:space="0" w:color="000000"/>
            </w:tcBorders>
            <w:vAlign w:val="center"/>
          </w:tcPr>
          <w:p w14:paraId="673C5F8B" w14:textId="77777777" w:rsidR="00CF10FB" w:rsidRPr="00CF10FB" w:rsidRDefault="00CF10FB" w:rsidP="00E916A1">
            <w:pPr>
              <w:pStyle w:val="aff0"/>
              <w:spacing w:line="276" w:lineRule="auto"/>
              <w:ind w:firstLine="0"/>
              <w:jc w:val="center"/>
              <w:rPr>
                <w:szCs w:val="28"/>
                <w:shd w:val="clear" w:color="auto" w:fill="FFFFFF"/>
              </w:rPr>
            </w:pPr>
            <w:r w:rsidRPr="00CF10FB">
              <w:rPr>
                <w:szCs w:val="28"/>
                <w:shd w:val="clear" w:color="auto" w:fill="FFFFFF"/>
              </w:rPr>
              <w:t>%</w:t>
            </w:r>
          </w:p>
        </w:tc>
        <w:tc>
          <w:tcPr>
            <w:tcW w:w="1418" w:type="dxa"/>
            <w:tcBorders>
              <w:top w:val="single" w:sz="4" w:space="0" w:color="000000"/>
              <w:left w:val="single" w:sz="4" w:space="0" w:color="000000"/>
              <w:bottom w:val="single" w:sz="4" w:space="0" w:color="000000"/>
            </w:tcBorders>
            <w:vAlign w:val="center"/>
          </w:tcPr>
          <w:p w14:paraId="122A54DB" w14:textId="69E911B7" w:rsidR="00CF10FB" w:rsidRPr="00CF10FB" w:rsidRDefault="00CF10FB" w:rsidP="00E916A1">
            <w:pPr>
              <w:pStyle w:val="aff0"/>
              <w:spacing w:line="276" w:lineRule="auto"/>
              <w:ind w:firstLine="0"/>
              <w:jc w:val="center"/>
              <w:rPr>
                <w:szCs w:val="28"/>
                <w:shd w:val="clear" w:color="auto" w:fill="FFFFFF"/>
              </w:rPr>
            </w:pPr>
            <w:r w:rsidRPr="00CF10FB">
              <w:rPr>
                <w:szCs w:val="28"/>
                <w:shd w:val="clear" w:color="auto" w:fill="FFFFFF"/>
              </w:rPr>
              <w:t>95,5</w:t>
            </w:r>
          </w:p>
        </w:tc>
        <w:tc>
          <w:tcPr>
            <w:tcW w:w="1417" w:type="dxa"/>
            <w:tcBorders>
              <w:top w:val="single" w:sz="4" w:space="0" w:color="000000"/>
              <w:left w:val="single" w:sz="4" w:space="0" w:color="000000"/>
              <w:bottom w:val="single" w:sz="4" w:space="0" w:color="000000"/>
            </w:tcBorders>
            <w:vAlign w:val="center"/>
          </w:tcPr>
          <w:p w14:paraId="7D06049C" w14:textId="2D597678" w:rsidR="00CF10FB" w:rsidRPr="00CF10FB" w:rsidRDefault="00CF10FB" w:rsidP="00E916A1">
            <w:pPr>
              <w:pStyle w:val="aff0"/>
              <w:spacing w:line="276" w:lineRule="auto"/>
              <w:ind w:firstLine="0"/>
              <w:jc w:val="center"/>
              <w:rPr>
                <w:szCs w:val="28"/>
                <w:shd w:val="clear" w:color="auto" w:fill="FFFFFF"/>
              </w:rPr>
            </w:pPr>
            <w:r w:rsidRPr="00CF10FB">
              <w:rPr>
                <w:szCs w:val="28"/>
                <w:shd w:val="clear" w:color="auto" w:fill="FFFFFF"/>
              </w:rPr>
              <w:t>101,0</w:t>
            </w:r>
          </w:p>
        </w:tc>
        <w:tc>
          <w:tcPr>
            <w:tcW w:w="1400" w:type="dxa"/>
            <w:tcBorders>
              <w:top w:val="single" w:sz="4" w:space="0" w:color="000000"/>
              <w:left w:val="single" w:sz="4" w:space="0" w:color="000000"/>
              <w:bottom w:val="single" w:sz="4" w:space="0" w:color="000000"/>
              <w:right w:val="single" w:sz="4" w:space="0" w:color="000000"/>
            </w:tcBorders>
            <w:vAlign w:val="center"/>
          </w:tcPr>
          <w:p w14:paraId="6AEBD792" w14:textId="5C229D07" w:rsidR="00CF10FB" w:rsidRPr="00CF10FB" w:rsidRDefault="00CF10FB" w:rsidP="00E916A1">
            <w:pPr>
              <w:pStyle w:val="aff0"/>
              <w:spacing w:line="276" w:lineRule="auto"/>
              <w:ind w:firstLine="0"/>
              <w:jc w:val="center"/>
              <w:rPr>
                <w:szCs w:val="28"/>
                <w:shd w:val="clear" w:color="auto" w:fill="FFFFFF"/>
              </w:rPr>
            </w:pPr>
            <w:r w:rsidRPr="00CF10FB">
              <w:rPr>
                <w:szCs w:val="28"/>
                <w:shd w:val="clear" w:color="auto" w:fill="FFFFFF"/>
              </w:rPr>
              <w:t>110,1</w:t>
            </w:r>
          </w:p>
        </w:tc>
      </w:tr>
      <w:tr w:rsidR="00CF10FB" w:rsidRPr="00CF10FB" w14:paraId="0E49EF72" w14:textId="77777777" w:rsidTr="00E916A1">
        <w:trPr>
          <w:jc w:val="center"/>
        </w:trPr>
        <w:tc>
          <w:tcPr>
            <w:tcW w:w="3671" w:type="dxa"/>
            <w:tcBorders>
              <w:top w:val="single" w:sz="4" w:space="0" w:color="000000"/>
              <w:left w:val="single" w:sz="4" w:space="0" w:color="000000"/>
              <w:bottom w:val="single" w:sz="4" w:space="0" w:color="000000"/>
            </w:tcBorders>
          </w:tcPr>
          <w:p w14:paraId="1A31D4C3" w14:textId="77777777" w:rsidR="00CF10FB" w:rsidRPr="00CF10FB" w:rsidRDefault="00CF10FB" w:rsidP="00FC6B9D">
            <w:pPr>
              <w:pStyle w:val="aff0"/>
              <w:spacing w:line="240" w:lineRule="auto"/>
              <w:ind w:firstLine="0"/>
              <w:jc w:val="left"/>
              <w:rPr>
                <w:szCs w:val="28"/>
                <w:shd w:val="clear" w:color="auto" w:fill="FFFFFF"/>
              </w:rPr>
            </w:pPr>
            <w:r w:rsidRPr="00CF10FB">
              <w:rPr>
                <w:szCs w:val="28"/>
                <w:shd w:val="clear" w:color="auto" w:fill="FFFFFF"/>
              </w:rPr>
              <w:t xml:space="preserve">Инвестиции за счет собственных средств </w:t>
            </w:r>
          </w:p>
        </w:tc>
        <w:tc>
          <w:tcPr>
            <w:tcW w:w="1417" w:type="dxa"/>
            <w:tcBorders>
              <w:top w:val="single" w:sz="4" w:space="0" w:color="000000"/>
              <w:left w:val="single" w:sz="4" w:space="0" w:color="000000"/>
              <w:bottom w:val="single" w:sz="4" w:space="0" w:color="000000"/>
            </w:tcBorders>
          </w:tcPr>
          <w:p w14:paraId="04BBF51D" w14:textId="77777777" w:rsidR="00CF10FB" w:rsidRPr="00CF10FB" w:rsidRDefault="00CF10FB" w:rsidP="00E916A1">
            <w:pPr>
              <w:pStyle w:val="aff0"/>
              <w:spacing w:line="276" w:lineRule="auto"/>
              <w:ind w:firstLine="0"/>
              <w:jc w:val="center"/>
              <w:rPr>
                <w:szCs w:val="28"/>
                <w:shd w:val="clear" w:color="auto" w:fill="FFFFFF"/>
              </w:rPr>
            </w:pPr>
            <w:r w:rsidRPr="00CF10FB">
              <w:rPr>
                <w:szCs w:val="28"/>
                <w:shd w:val="clear" w:color="auto" w:fill="FFFFFF"/>
              </w:rPr>
              <w:t>млн. рублей</w:t>
            </w:r>
          </w:p>
        </w:tc>
        <w:tc>
          <w:tcPr>
            <w:tcW w:w="1418" w:type="dxa"/>
            <w:tcBorders>
              <w:top w:val="single" w:sz="4" w:space="0" w:color="000000"/>
              <w:left w:val="single" w:sz="4" w:space="0" w:color="000000"/>
              <w:bottom w:val="single" w:sz="4" w:space="0" w:color="000000"/>
            </w:tcBorders>
            <w:vAlign w:val="center"/>
          </w:tcPr>
          <w:p w14:paraId="39B71CD2" w14:textId="77777777" w:rsidR="00CF10FB" w:rsidRPr="00CF10FB" w:rsidRDefault="00CF10FB" w:rsidP="00E916A1">
            <w:pPr>
              <w:pStyle w:val="aff0"/>
              <w:spacing w:line="276" w:lineRule="auto"/>
              <w:ind w:firstLine="0"/>
              <w:jc w:val="center"/>
              <w:rPr>
                <w:szCs w:val="28"/>
                <w:shd w:val="clear" w:color="auto" w:fill="FFFFFF"/>
              </w:rPr>
            </w:pPr>
            <w:r w:rsidRPr="00CF10FB">
              <w:rPr>
                <w:szCs w:val="28"/>
                <w:shd w:val="clear" w:color="auto" w:fill="FFFFFF"/>
              </w:rPr>
              <w:t>19 252,2</w:t>
            </w:r>
          </w:p>
        </w:tc>
        <w:tc>
          <w:tcPr>
            <w:tcW w:w="1417" w:type="dxa"/>
            <w:tcBorders>
              <w:top w:val="single" w:sz="4" w:space="0" w:color="000000"/>
              <w:left w:val="single" w:sz="4" w:space="0" w:color="000000"/>
              <w:bottom w:val="single" w:sz="4" w:space="0" w:color="000000"/>
            </w:tcBorders>
            <w:vAlign w:val="center"/>
          </w:tcPr>
          <w:p w14:paraId="40D98279" w14:textId="77777777" w:rsidR="00CF10FB" w:rsidRPr="00CF10FB" w:rsidRDefault="00CF10FB" w:rsidP="00E916A1">
            <w:pPr>
              <w:pStyle w:val="aff0"/>
              <w:spacing w:line="276" w:lineRule="auto"/>
              <w:ind w:firstLine="0"/>
              <w:jc w:val="center"/>
              <w:rPr>
                <w:szCs w:val="28"/>
                <w:shd w:val="clear" w:color="auto" w:fill="FFFFFF"/>
              </w:rPr>
            </w:pPr>
            <w:r w:rsidRPr="00CF10FB">
              <w:rPr>
                <w:szCs w:val="28"/>
                <w:shd w:val="clear" w:color="auto" w:fill="FFFFFF"/>
              </w:rPr>
              <w:t>20 810,1</w:t>
            </w:r>
          </w:p>
        </w:tc>
        <w:tc>
          <w:tcPr>
            <w:tcW w:w="1400" w:type="dxa"/>
            <w:tcBorders>
              <w:top w:val="single" w:sz="4" w:space="0" w:color="000000"/>
              <w:left w:val="single" w:sz="4" w:space="0" w:color="000000"/>
              <w:bottom w:val="single" w:sz="4" w:space="0" w:color="000000"/>
              <w:right w:val="single" w:sz="4" w:space="0" w:color="000000"/>
            </w:tcBorders>
            <w:vAlign w:val="center"/>
          </w:tcPr>
          <w:p w14:paraId="736F4228" w14:textId="77777777" w:rsidR="00CF10FB" w:rsidRPr="00CF10FB" w:rsidRDefault="00CF10FB" w:rsidP="00E916A1">
            <w:pPr>
              <w:pStyle w:val="aff0"/>
              <w:spacing w:line="276" w:lineRule="auto"/>
              <w:ind w:firstLine="0"/>
              <w:jc w:val="center"/>
              <w:rPr>
                <w:szCs w:val="28"/>
                <w:shd w:val="clear" w:color="auto" w:fill="FFFFFF"/>
              </w:rPr>
            </w:pPr>
            <w:r w:rsidRPr="00CF10FB">
              <w:rPr>
                <w:szCs w:val="28"/>
                <w:shd w:val="clear" w:color="auto" w:fill="FFFFFF"/>
              </w:rPr>
              <w:t>30 218,5</w:t>
            </w:r>
          </w:p>
        </w:tc>
      </w:tr>
      <w:tr w:rsidR="00CF10FB" w:rsidRPr="00CF10FB" w14:paraId="60E37E9E" w14:textId="77777777" w:rsidTr="00E916A1">
        <w:trPr>
          <w:jc w:val="center"/>
        </w:trPr>
        <w:tc>
          <w:tcPr>
            <w:tcW w:w="3671" w:type="dxa"/>
            <w:tcBorders>
              <w:top w:val="single" w:sz="4" w:space="0" w:color="000000"/>
              <w:left w:val="single" w:sz="4" w:space="0" w:color="000000"/>
              <w:bottom w:val="single" w:sz="4" w:space="0" w:color="000000"/>
            </w:tcBorders>
          </w:tcPr>
          <w:p w14:paraId="4573A614" w14:textId="77777777" w:rsidR="00CF10FB" w:rsidRPr="00CF10FB" w:rsidRDefault="00CF10FB" w:rsidP="00FC6B9D">
            <w:pPr>
              <w:pStyle w:val="aff0"/>
              <w:spacing w:line="240" w:lineRule="auto"/>
              <w:ind w:firstLine="0"/>
              <w:jc w:val="left"/>
              <w:rPr>
                <w:szCs w:val="28"/>
                <w:shd w:val="clear" w:color="auto" w:fill="FFFFFF"/>
              </w:rPr>
            </w:pPr>
            <w:r w:rsidRPr="00CF10FB">
              <w:rPr>
                <w:szCs w:val="28"/>
                <w:shd w:val="clear" w:color="auto" w:fill="FFFFFF"/>
              </w:rPr>
              <w:t>Инвестиции за счет привлеченных средств</w:t>
            </w:r>
          </w:p>
        </w:tc>
        <w:tc>
          <w:tcPr>
            <w:tcW w:w="1417" w:type="dxa"/>
            <w:tcBorders>
              <w:top w:val="single" w:sz="4" w:space="0" w:color="000000"/>
              <w:left w:val="single" w:sz="4" w:space="0" w:color="000000"/>
              <w:bottom w:val="single" w:sz="4" w:space="0" w:color="000000"/>
            </w:tcBorders>
          </w:tcPr>
          <w:p w14:paraId="00B739EA" w14:textId="77777777" w:rsidR="00CF10FB" w:rsidRPr="00CF10FB" w:rsidRDefault="00CF10FB" w:rsidP="00A9639F">
            <w:pPr>
              <w:pStyle w:val="aff0"/>
              <w:spacing w:line="276" w:lineRule="auto"/>
              <w:ind w:firstLine="0"/>
              <w:jc w:val="center"/>
              <w:rPr>
                <w:szCs w:val="28"/>
                <w:shd w:val="clear" w:color="auto" w:fill="FFFFFF"/>
              </w:rPr>
            </w:pPr>
            <w:r w:rsidRPr="00CF10FB">
              <w:rPr>
                <w:szCs w:val="28"/>
                <w:shd w:val="clear" w:color="auto" w:fill="FFFFFF"/>
              </w:rPr>
              <w:t>млн. рублей</w:t>
            </w:r>
          </w:p>
        </w:tc>
        <w:tc>
          <w:tcPr>
            <w:tcW w:w="1418" w:type="dxa"/>
            <w:tcBorders>
              <w:top w:val="single" w:sz="4" w:space="0" w:color="000000"/>
              <w:left w:val="single" w:sz="4" w:space="0" w:color="000000"/>
              <w:bottom w:val="single" w:sz="4" w:space="0" w:color="000000"/>
            </w:tcBorders>
            <w:vAlign w:val="center"/>
          </w:tcPr>
          <w:p w14:paraId="10358806" w14:textId="77777777" w:rsidR="00CF10FB" w:rsidRPr="00CF10FB" w:rsidRDefault="00CF10FB" w:rsidP="00E916A1">
            <w:pPr>
              <w:pStyle w:val="aff0"/>
              <w:spacing w:line="276" w:lineRule="auto"/>
              <w:ind w:firstLine="0"/>
              <w:jc w:val="center"/>
              <w:rPr>
                <w:szCs w:val="28"/>
                <w:shd w:val="clear" w:color="auto" w:fill="FFFFFF"/>
              </w:rPr>
            </w:pPr>
            <w:r w:rsidRPr="00CF10FB">
              <w:rPr>
                <w:szCs w:val="28"/>
                <w:shd w:val="clear" w:color="auto" w:fill="FFFFFF"/>
              </w:rPr>
              <w:t>21 141,5</w:t>
            </w:r>
          </w:p>
        </w:tc>
        <w:tc>
          <w:tcPr>
            <w:tcW w:w="1417" w:type="dxa"/>
            <w:tcBorders>
              <w:top w:val="single" w:sz="4" w:space="0" w:color="000000"/>
              <w:left w:val="single" w:sz="4" w:space="0" w:color="000000"/>
              <w:bottom w:val="single" w:sz="4" w:space="0" w:color="000000"/>
            </w:tcBorders>
            <w:vAlign w:val="center"/>
          </w:tcPr>
          <w:p w14:paraId="70B002A1" w14:textId="77777777" w:rsidR="00CF10FB" w:rsidRPr="00CF10FB" w:rsidRDefault="00CF10FB" w:rsidP="00E916A1">
            <w:pPr>
              <w:pStyle w:val="aff0"/>
              <w:spacing w:line="276" w:lineRule="auto"/>
              <w:ind w:firstLine="0"/>
              <w:jc w:val="center"/>
              <w:rPr>
                <w:szCs w:val="28"/>
                <w:shd w:val="clear" w:color="auto" w:fill="FFFFFF"/>
              </w:rPr>
            </w:pPr>
            <w:r w:rsidRPr="00CF10FB">
              <w:rPr>
                <w:szCs w:val="28"/>
                <w:shd w:val="clear" w:color="auto" w:fill="FFFFFF"/>
              </w:rPr>
              <w:t>21 763,7</w:t>
            </w:r>
          </w:p>
        </w:tc>
        <w:tc>
          <w:tcPr>
            <w:tcW w:w="1400" w:type="dxa"/>
            <w:tcBorders>
              <w:top w:val="single" w:sz="4" w:space="0" w:color="000000"/>
              <w:left w:val="single" w:sz="4" w:space="0" w:color="000000"/>
              <w:bottom w:val="single" w:sz="4" w:space="0" w:color="000000"/>
              <w:right w:val="single" w:sz="4" w:space="0" w:color="000000"/>
            </w:tcBorders>
            <w:vAlign w:val="center"/>
          </w:tcPr>
          <w:p w14:paraId="2B61C586" w14:textId="77777777" w:rsidR="00CF10FB" w:rsidRPr="00CF10FB" w:rsidRDefault="00CF10FB" w:rsidP="00E916A1">
            <w:pPr>
              <w:pStyle w:val="aff0"/>
              <w:spacing w:line="276" w:lineRule="auto"/>
              <w:ind w:firstLine="0"/>
              <w:jc w:val="center"/>
              <w:rPr>
                <w:szCs w:val="28"/>
                <w:shd w:val="clear" w:color="auto" w:fill="FFFFFF"/>
              </w:rPr>
            </w:pPr>
            <w:r w:rsidRPr="00CF10FB">
              <w:rPr>
                <w:szCs w:val="28"/>
                <w:shd w:val="clear" w:color="auto" w:fill="FFFFFF"/>
              </w:rPr>
              <w:t>26 476,6</w:t>
            </w:r>
          </w:p>
        </w:tc>
      </w:tr>
      <w:tr w:rsidR="00CF10FB" w:rsidRPr="00CF10FB" w14:paraId="70C68A61" w14:textId="77777777" w:rsidTr="00E916A1">
        <w:trPr>
          <w:jc w:val="center"/>
        </w:trPr>
        <w:tc>
          <w:tcPr>
            <w:tcW w:w="3671" w:type="dxa"/>
            <w:tcBorders>
              <w:top w:val="single" w:sz="4" w:space="0" w:color="000000"/>
              <w:left w:val="single" w:sz="4" w:space="0" w:color="000000"/>
              <w:bottom w:val="single" w:sz="4" w:space="0" w:color="000000"/>
            </w:tcBorders>
          </w:tcPr>
          <w:p w14:paraId="127D648B" w14:textId="77777777" w:rsidR="00CF10FB" w:rsidRPr="00CF10FB" w:rsidRDefault="00CF10FB" w:rsidP="00FC6B9D">
            <w:pPr>
              <w:pStyle w:val="aff0"/>
              <w:spacing w:line="240" w:lineRule="auto"/>
              <w:ind w:firstLine="0"/>
              <w:jc w:val="left"/>
              <w:rPr>
                <w:szCs w:val="28"/>
                <w:shd w:val="clear" w:color="auto" w:fill="FFFFFF"/>
              </w:rPr>
            </w:pPr>
            <w:r w:rsidRPr="00CF10FB">
              <w:rPr>
                <w:szCs w:val="28"/>
                <w:shd w:val="clear" w:color="auto" w:fill="FFFFFF"/>
              </w:rPr>
              <w:t>Инвестиции за счет средств федерального бюджета</w:t>
            </w:r>
          </w:p>
        </w:tc>
        <w:tc>
          <w:tcPr>
            <w:tcW w:w="1417" w:type="dxa"/>
            <w:tcBorders>
              <w:top w:val="single" w:sz="4" w:space="0" w:color="000000"/>
              <w:left w:val="single" w:sz="4" w:space="0" w:color="000000"/>
              <w:bottom w:val="single" w:sz="4" w:space="0" w:color="000000"/>
            </w:tcBorders>
          </w:tcPr>
          <w:p w14:paraId="6F86E69C" w14:textId="77777777" w:rsidR="00CF10FB" w:rsidRPr="00CF10FB" w:rsidRDefault="00CF10FB" w:rsidP="00A9639F">
            <w:pPr>
              <w:pStyle w:val="aff0"/>
              <w:spacing w:line="276" w:lineRule="auto"/>
              <w:ind w:firstLine="0"/>
              <w:jc w:val="center"/>
              <w:rPr>
                <w:szCs w:val="28"/>
                <w:shd w:val="clear" w:color="auto" w:fill="FFFFFF"/>
              </w:rPr>
            </w:pPr>
            <w:r w:rsidRPr="00CF10FB">
              <w:rPr>
                <w:szCs w:val="28"/>
                <w:shd w:val="clear" w:color="auto" w:fill="FFFFFF"/>
              </w:rPr>
              <w:t>млн. рублей</w:t>
            </w:r>
          </w:p>
        </w:tc>
        <w:tc>
          <w:tcPr>
            <w:tcW w:w="1418" w:type="dxa"/>
            <w:tcBorders>
              <w:top w:val="single" w:sz="4" w:space="0" w:color="000000"/>
              <w:left w:val="single" w:sz="4" w:space="0" w:color="000000"/>
              <w:bottom w:val="single" w:sz="4" w:space="0" w:color="000000"/>
            </w:tcBorders>
            <w:vAlign w:val="center"/>
          </w:tcPr>
          <w:p w14:paraId="2549DEC4" w14:textId="77777777" w:rsidR="00CF10FB" w:rsidRPr="00CF10FB" w:rsidRDefault="00CF10FB" w:rsidP="00E916A1">
            <w:pPr>
              <w:pStyle w:val="aff0"/>
              <w:spacing w:line="276" w:lineRule="auto"/>
              <w:ind w:firstLine="0"/>
              <w:jc w:val="center"/>
              <w:rPr>
                <w:szCs w:val="28"/>
                <w:shd w:val="clear" w:color="auto" w:fill="FFFFFF"/>
              </w:rPr>
            </w:pPr>
            <w:r w:rsidRPr="00CF10FB">
              <w:rPr>
                <w:szCs w:val="28"/>
                <w:shd w:val="clear" w:color="auto" w:fill="FFFFFF"/>
              </w:rPr>
              <w:t>451,0</w:t>
            </w:r>
          </w:p>
        </w:tc>
        <w:tc>
          <w:tcPr>
            <w:tcW w:w="1417" w:type="dxa"/>
            <w:tcBorders>
              <w:top w:val="single" w:sz="4" w:space="0" w:color="000000"/>
              <w:left w:val="single" w:sz="4" w:space="0" w:color="000000"/>
              <w:bottom w:val="single" w:sz="4" w:space="0" w:color="000000"/>
            </w:tcBorders>
            <w:vAlign w:val="center"/>
          </w:tcPr>
          <w:p w14:paraId="1DF3D4DB" w14:textId="77777777" w:rsidR="00CF10FB" w:rsidRPr="00CF10FB" w:rsidRDefault="00CF10FB" w:rsidP="00E916A1">
            <w:pPr>
              <w:pStyle w:val="aff0"/>
              <w:spacing w:line="276" w:lineRule="auto"/>
              <w:ind w:firstLine="0"/>
              <w:jc w:val="center"/>
              <w:rPr>
                <w:szCs w:val="28"/>
                <w:shd w:val="clear" w:color="auto" w:fill="FFFFFF"/>
              </w:rPr>
            </w:pPr>
            <w:r w:rsidRPr="00CF10FB">
              <w:rPr>
                <w:szCs w:val="28"/>
                <w:shd w:val="clear" w:color="auto" w:fill="FFFFFF"/>
              </w:rPr>
              <w:t>790,6</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98C42" w14:textId="77777777" w:rsidR="00CF10FB" w:rsidRPr="00CF10FB" w:rsidRDefault="00CF10FB" w:rsidP="00E916A1">
            <w:pPr>
              <w:pStyle w:val="aff0"/>
              <w:spacing w:line="276" w:lineRule="auto"/>
              <w:ind w:firstLine="0"/>
              <w:jc w:val="center"/>
              <w:rPr>
                <w:szCs w:val="28"/>
                <w:shd w:val="clear" w:color="auto" w:fill="FFFFFF"/>
              </w:rPr>
            </w:pPr>
            <w:r w:rsidRPr="00CF10FB">
              <w:rPr>
                <w:szCs w:val="28"/>
                <w:shd w:val="clear" w:color="auto" w:fill="FFFFFF"/>
              </w:rPr>
              <w:t>1 389,9</w:t>
            </w:r>
          </w:p>
        </w:tc>
      </w:tr>
      <w:tr w:rsidR="00CF10FB" w:rsidRPr="00CF10FB" w14:paraId="77143DD6" w14:textId="77777777" w:rsidTr="00E916A1">
        <w:trPr>
          <w:jc w:val="center"/>
        </w:trPr>
        <w:tc>
          <w:tcPr>
            <w:tcW w:w="3671" w:type="dxa"/>
            <w:tcBorders>
              <w:top w:val="single" w:sz="4" w:space="0" w:color="000000"/>
              <w:left w:val="single" w:sz="4" w:space="0" w:color="000000"/>
              <w:bottom w:val="single" w:sz="4" w:space="0" w:color="000000"/>
            </w:tcBorders>
          </w:tcPr>
          <w:p w14:paraId="0BB7933E" w14:textId="77777777" w:rsidR="00CF10FB" w:rsidRPr="00CF10FB" w:rsidRDefault="00CF10FB" w:rsidP="00FC6B9D">
            <w:pPr>
              <w:pStyle w:val="aff0"/>
              <w:spacing w:line="240" w:lineRule="auto"/>
              <w:ind w:firstLine="0"/>
              <w:jc w:val="left"/>
              <w:rPr>
                <w:szCs w:val="28"/>
                <w:shd w:val="clear" w:color="auto" w:fill="FFFFFF"/>
              </w:rPr>
            </w:pPr>
            <w:r w:rsidRPr="00CF10FB">
              <w:rPr>
                <w:szCs w:val="28"/>
                <w:shd w:val="clear" w:color="auto" w:fill="FFFFFF"/>
              </w:rPr>
              <w:t>Инвестиции за счет средств областного бюджета</w:t>
            </w:r>
          </w:p>
        </w:tc>
        <w:tc>
          <w:tcPr>
            <w:tcW w:w="1417" w:type="dxa"/>
            <w:tcBorders>
              <w:top w:val="single" w:sz="4" w:space="0" w:color="000000"/>
              <w:left w:val="single" w:sz="4" w:space="0" w:color="000000"/>
              <w:bottom w:val="single" w:sz="4" w:space="0" w:color="000000"/>
            </w:tcBorders>
          </w:tcPr>
          <w:p w14:paraId="1C98697F" w14:textId="77777777" w:rsidR="00CF10FB" w:rsidRPr="00CF10FB" w:rsidRDefault="00CF10FB" w:rsidP="00A9639F">
            <w:pPr>
              <w:pStyle w:val="aff0"/>
              <w:spacing w:line="276" w:lineRule="auto"/>
              <w:ind w:firstLine="0"/>
              <w:jc w:val="center"/>
              <w:rPr>
                <w:szCs w:val="28"/>
                <w:shd w:val="clear" w:color="auto" w:fill="FFFFFF"/>
              </w:rPr>
            </w:pPr>
            <w:r w:rsidRPr="00CF10FB">
              <w:rPr>
                <w:szCs w:val="28"/>
                <w:shd w:val="clear" w:color="auto" w:fill="FFFFFF"/>
              </w:rPr>
              <w:t>млн. рублей</w:t>
            </w:r>
          </w:p>
        </w:tc>
        <w:tc>
          <w:tcPr>
            <w:tcW w:w="1418" w:type="dxa"/>
            <w:tcBorders>
              <w:top w:val="single" w:sz="4" w:space="0" w:color="000000"/>
              <w:left w:val="single" w:sz="4" w:space="0" w:color="000000"/>
              <w:bottom w:val="single" w:sz="4" w:space="0" w:color="000000"/>
            </w:tcBorders>
            <w:vAlign w:val="center"/>
          </w:tcPr>
          <w:p w14:paraId="1E13FAEA" w14:textId="77777777" w:rsidR="00CF10FB" w:rsidRPr="00CF10FB" w:rsidRDefault="00CF10FB" w:rsidP="00E916A1">
            <w:pPr>
              <w:pStyle w:val="aff0"/>
              <w:spacing w:line="276" w:lineRule="auto"/>
              <w:ind w:firstLine="0"/>
              <w:jc w:val="center"/>
              <w:rPr>
                <w:szCs w:val="28"/>
                <w:shd w:val="clear" w:color="auto" w:fill="FFFFFF"/>
              </w:rPr>
            </w:pPr>
            <w:r w:rsidRPr="00CF10FB">
              <w:rPr>
                <w:szCs w:val="28"/>
                <w:shd w:val="clear" w:color="auto" w:fill="FFFFFF"/>
              </w:rPr>
              <w:t>1 711,0</w:t>
            </w:r>
          </w:p>
        </w:tc>
        <w:tc>
          <w:tcPr>
            <w:tcW w:w="1417" w:type="dxa"/>
            <w:tcBorders>
              <w:top w:val="single" w:sz="4" w:space="0" w:color="000000"/>
              <w:left w:val="single" w:sz="4" w:space="0" w:color="000000"/>
              <w:bottom w:val="single" w:sz="4" w:space="0" w:color="000000"/>
            </w:tcBorders>
            <w:vAlign w:val="center"/>
          </w:tcPr>
          <w:p w14:paraId="7F8DAB4F" w14:textId="77777777" w:rsidR="00CF10FB" w:rsidRPr="00CF10FB" w:rsidRDefault="00CF10FB" w:rsidP="00E916A1">
            <w:pPr>
              <w:pStyle w:val="aff0"/>
              <w:spacing w:line="276" w:lineRule="auto"/>
              <w:ind w:firstLine="0"/>
              <w:jc w:val="center"/>
              <w:rPr>
                <w:szCs w:val="28"/>
                <w:shd w:val="clear" w:color="auto" w:fill="FFFFFF"/>
              </w:rPr>
            </w:pPr>
            <w:r w:rsidRPr="00CF10FB">
              <w:rPr>
                <w:szCs w:val="28"/>
                <w:shd w:val="clear" w:color="auto" w:fill="FFFFFF"/>
              </w:rPr>
              <w:t>1 825,2</w:t>
            </w:r>
          </w:p>
        </w:tc>
        <w:tc>
          <w:tcPr>
            <w:tcW w:w="1400" w:type="dxa"/>
            <w:tcBorders>
              <w:top w:val="single" w:sz="4" w:space="0" w:color="000000"/>
              <w:left w:val="single" w:sz="4" w:space="0" w:color="000000"/>
              <w:bottom w:val="single" w:sz="4" w:space="0" w:color="000000"/>
              <w:right w:val="single" w:sz="4" w:space="0" w:color="000000"/>
            </w:tcBorders>
            <w:vAlign w:val="center"/>
          </w:tcPr>
          <w:p w14:paraId="78F200C3" w14:textId="77777777" w:rsidR="00CF10FB" w:rsidRPr="00CF10FB" w:rsidRDefault="00CF10FB" w:rsidP="00E916A1">
            <w:pPr>
              <w:pStyle w:val="aff0"/>
              <w:spacing w:line="276" w:lineRule="auto"/>
              <w:ind w:firstLine="0"/>
              <w:jc w:val="center"/>
              <w:rPr>
                <w:szCs w:val="28"/>
                <w:shd w:val="clear" w:color="auto" w:fill="FFFFFF"/>
              </w:rPr>
            </w:pPr>
            <w:r w:rsidRPr="00CF10FB">
              <w:rPr>
                <w:szCs w:val="28"/>
                <w:shd w:val="clear" w:color="auto" w:fill="FFFFFF"/>
              </w:rPr>
              <w:t>1 947,3</w:t>
            </w:r>
          </w:p>
        </w:tc>
      </w:tr>
      <w:tr w:rsidR="00CF10FB" w:rsidRPr="00CF10FB" w14:paraId="3613AE7B" w14:textId="77777777" w:rsidTr="00E916A1">
        <w:trPr>
          <w:jc w:val="center"/>
        </w:trPr>
        <w:tc>
          <w:tcPr>
            <w:tcW w:w="3671" w:type="dxa"/>
            <w:tcBorders>
              <w:top w:val="single" w:sz="4" w:space="0" w:color="000000"/>
              <w:left w:val="single" w:sz="4" w:space="0" w:color="000000"/>
              <w:bottom w:val="single" w:sz="4" w:space="0" w:color="000000"/>
            </w:tcBorders>
          </w:tcPr>
          <w:p w14:paraId="5E952477" w14:textId="77777777" w:rsidR="00CF10FB" w:rsidRPr="00CF10FB" w:rsidRDefault="00CF10FB" w:rsidP="00FC6B9D">
            <w:pPr>
              <w:pStyle w:val="aff0"/>
              <w:spacing w:line="240" w:lineRule="auto"/>
              <w:ind w:firstLine="0"/>
              <w:jc w:val="left"/>
              <w:rPr>
                <w:szCs w:val="28"/>
                <w:shd w:val="clear" w:color="auto" w:fill="FFFFFF"/>
              </w:rPr>
            </w:pPr>
            <w:r w:rsidRPr="00CF10FB">
              <w:rPr>
                <w:szCs w:val="28"/>
                <w:shd w:val="clear" w:color="auto" w:fill="FFFFFF"/>
              </w:rPr>
              <w:t>Инвестиции за счет средств бюджета городского округа</w:t>
            </w:r>
          </w:p>
        </w:tc>
        <w:tc>
          <w:tcPr>
            <w:tcW w:w="1417" w:type="dxa"/>
            <w:tcBorders>
              <w:top w:val="single" w:sz="4" w:space="0" w:color="000000"/>
              <w:left w:val="single" w:sz="4" w:space="0" w:color="000000"/>
              <w:bottom w:val="single" w:sz="4" w:space="0" w:color="000000"/>
            </w:tcBorders>
          </w:tcPr>
          <w:p w14:paraId="1AA4CE76" w14:textId="77777777" w:rsidR="00CF10FB" w:rsidRPr="00CF10FB" w:rsidRDefault="00CF10FB" w:rsidP="00A9639F">
            <w:pPr>
              <w:pStyle w:val="aff0"/>
              <w:spacing w:line="276" w:lineRule="auto"/>
              <w:ind w:firstLine="0"/>
              <w:jc w:val="center"/>
              <w:rPr>
                <w:szCs w:val="28"/>
                <w:shd w:val="clear" w:color="auto" w:fill="FFFFFF"/>
              </w:rPr>
            </w:pPr>
            <w:r w:rsidRPr="00CF10FB">
              <w:rPr>
                <w:szCs w:val="28"/>
                <w:shd w:val="clear" w:color="auto" w:fill="FFFFFF"/>
              </w:rPr>
              <w:t>млн. рублей</w:t>
            </w:r>
          </w:p>
        </w:tc>
        <w:tc>
          <w:tcPr>
            <w:tcW w:w="1418" w:type="dxa"/>
            <w:tcBorders>
              <w:top w:val="single" w:sz="4" w:space="0" w:color="000000"/>
              <w:left w:val="single" w:sz="4" w:space="0" w:color="000000"/>
              <w:bottom w:val="single" w:sz="4" w:space="0" w:color="000000"/>
            </w:tcBorders>
            <w:vAlign w:val="center"/>
          </w:tcPr>
          <w:p w14:paraId="3F91478E" w14:textId="77777777" w:rsidR="00CF10FB" w:rsidRPr="00CF10FB" w:rsidRDefault="00CF10FB" w:rsidP="00E916A1">
            <w:pPr>
              <w:pStyle w:val="aff0"/>
              <w:spacing w:line="276" w:lineRule="auto"/>
              <w:ind w:firstLine="0"/>
              <w:jc w:val="center"/>
              <w:rPr>
                <w:szCs w:val="28"/>
                <w:shd w:val="clear" w:color="auto" w:fill="FFFFFF"/>
              </w:rPr>
            </w:pPr>
            <w:r w:rsidRPr="00CF10FB">
              <w:rPr>
                <w:szCs w:val="28"/>
                <w:shd w:val="clear" w:color="auto" w:fill="FFFFFF"/>
              </w:rPr>
              <w:t>225,8</w:t>
            </w:r>
          </w:p>
        </w:tc>
        <w:tc>
          <w:tcPr>
            <w:tcW w:w="1417" w:type="dxa"/>
            <w:tcBorders>
              <w:top w:val="single" w:sz="4" w:space="0" w:color="000000"/>
              <w:left w:val="single" w:sz="4" w:space="0" w:color="000000"/>
              <w:bottom w:val="single" w:sz="4" w:space="0" w:color="000000"/>
            </w:tcBorders>
            <w:vAlign w:val="center"/>
          </w:tcPr>
          <w:p w14:paraId="4372DF63" w14:textId="77777777" w:rsidR="00CF10FB" w:rsidRPr="00CF10FB" w:rsidRDefault="00CF10FB" w:rsidP="00E916A1">
            <w:pPr>
              <w:pStyle w:val="aff0"/>
              <w:spacing w:line="276" w:lineRule="auto"/>
              <w:ind w:firstLine="0"/>
              <w:jc w:val="center"/>
              <w:rPr>
                <w:szCs w:val="28"/>
                <w:shd w:val="clear" w:color="auto" w:fill="FFFFFF"/>
              </w:rPr>
            </w:pPr>
            <w:r w:rsidRPr="00CF10FB">
              <w:rPr>
                <w:szCs w:val="28"/>
                <w:shd w:val="clear" w:color="auto" w:fill="FFFFFF"/>
              </w:rPr>
              <w:t>250,9</w:t>
            </w:r>
          </w:p>
        </w:tc>
        <w:tc>
          <w:tcPr>
            <w:tcW w:w="1400" w:type="dxa"/>
            <w:tcBorders>
              <w:top w:val="single" w:sz="4" w:space="0" w:color="000000"/>
              <w:left w:val="single" w:sz="4" w:space="0" w:color="000000"/>
              <w:bottom w:val="single" w:sz="4" w:space="0" w:color="000000"/>
              <w:right w:val="single" w:sz="4" w:space="0" w:color="000000"/>
            </w:tcBorders>
            <w:vAlign w:val="center"/>
          </w:tcPr>
          <w:p w14:paraId="28F0B9C6" w14:textId="77777777" w:rsidR="00CF10FB" w:rsidRPr="00CF10FB" w:rsidRDefault="00CF10FB" w:rsidP="00E916A1">
            <w:pPr>
              <w:pStyle w:val="aff0"/>
              <w:spacing w:line="276" w:lineRule="auto"/>
              <w:ind w:firstLine="0"/>
              <w:jc w:val="center"/>
              <w:rPr>
                <w:szCs w:val="28"/>
                <w:shd w:val="clear" w:color="auto" w:fill="FFFFFF"/>
              </w:rPr>
            </w:pPr>
            <w:r w:rsidRPr="00CF10FB">
              <w:rPr>
                <w:szCs w:val="28"/>
                <w:shd w:val="clear" w:color="auto" w:fill="FFFFFF"/>
              </w:rPr>
              <w:t>282,3</w:t>
            </w:r>
          </w:p>
        </w:tc>
      </w:tr>
    </w:tbl>
    <w:p w14:paraId="2C197E73" w14:textId="77777777" w:rsidR="00CF10FB" w:rsidRDefault="00CF10FB" w:rsidP="00CF10FB">
      <w:pPr>
        <w:pStyle w:val="aff0"/>
        <w:spacing w:line="276" w:lineRule="auto"/>
        <w:rPr>
          <w:szCs w:val="28"/>
          <w:shd w:val="clear" w:color="auto" w:fill="FFFFFF"/>
        </w:rPr>
      </w:pPr>
    </w:p>
    <w:p w14:paraId="6914CC7B" w14:textId="50C03F03" w:rsidR="00CF10FB" w:rsidRPr="00CF10FB" w:rsidRDefault="00CF10FB" w:rsidP="00CF10FB">
      <w:pPr>
        <w:pStyle w:val="aff0"/>
        <w:spacing w:line="276" w:lineRule="auto"/>
        <w:rPr>
          <w:szCs w:val="28"/>
          <w:shd w:val="clear" w:color="auto" w:fill="FFFFFF"/>
        </w:rPr>
      </w:pPr>
      <w:r w:rsidRPr="00CF10FB">
        <w:rPr>
          <w:szCs w:val="28"/>
          <w:shd w:val="clear" w:color="auto" w:fill="FFFFFF"/>
        </w:rPr>
        <w:t xml:space="preserve">Корректировка значения объемов инвестиций в основной капитал на 2021 год относительно прошлогоднего прогноза в сторону увеличения </w:t>
      </w:r>
      <w:r w:rsidRPr="00CF10FB">
        <w:rPr>
          <w:szCs w:val="28"/>
          <w:shd w:val="clear" w:color="auto" w:fill="FFFFFF"/>
        </w:rPr>
        <w:lastRenderedPageBreak/>
        <w:t>объясняется более высоким</w:t>
      </w:r>
      <w:r w:rsidR="00803B29">
        <w:rPr>
          <w:szCs w:val="28"/>
          <w:shd w:val="clear" w:color="auto" w:fill="FFFFFF"/>
        </w:rPr>
        <w:t>и</w:t>
      </w:r>
      <w:r w:rsidRPr="00CF10FB">
        <w:rPr>
          <w:szCs w:val="28"/>
          <w:shd w:val="clear" w:color="auto" w:fill="FFFFFF"/>
        </w:rPr>
        <w:t xml:space="preserve"> факт</w:t>
      </w:r>
      <w:r w:rsidR="00803B29">
        <w:rPr>
          <w:szCs w:val="28"/>
          <w:shd w:val="clear" w:color="auto" w:fill="FFFFFF"/>
        </w:rPr>
        <w:t>ическими значениями показателей за 2020 год</w:t>
      </w:r>
      <w:r w:rsidRPr="00CF10FB">
        <w:rPr>
          <w:szCs w:val="28"/>
          <w:shd w:val="clear" w:color="auto" w:fill="FFFFFF"/>
        </w:rPr>
        <w:t xml:space="preserve"> и </w:t>
      </w:r>
      <w:r w:rsidR="002E3A48">
        <w:rPr>
          <w:szCs w:val="28"/>
          <w:shd w:val="clear" w:color="auto" w:fill="FFFFFF"/>
          <w:lang w:val="en-US"/>
        </w:rPr>
        <w:t>I</w:t>
      </w:r>
      <w:r w:rsidRPr="00CF10FB">
        <w:rPr>
          <w:szCs w:val="28"/>
          <w:shd w:val="clear" w:color="auto" w:fill="FFFFFF"/>
        </w:rPr>
        <w:t xml:space="preserve"> полугоди</w:t>
      </w:r>
      <w:r w:rsidR="00803B29">
        <w:rPr>
          <w:szCs w:val="28"/>
          <w:shd w:val="clear" w:color="auto" w:fill="FFFFFF"/>
        </w:rPr>
        <w:t>е</w:t>
      </w:r>
      <w:r w:rsidRPr="00CF10FB">
        <w:rPr>
          <w:szCs w:val="28"/>
          <w:shd w:val="clear" w:color="auto" w:fill="FFFFFF"/>
        </w:rPr>
        <w:t xml:space="preserve"> 2021 года (по темпу роста инвестиций в основной капитал в </w:t>
      </w:r>
      <w:r w:rsidR="002E3A48">
        <w:rPr>
          <w:szCs w:val="28"/>
          <w:shd w:val="clear" w:color="auto" w:fill="FFFFFF"/>
          <w:lang w:val="en-US"/>
        </w:rPr>
        <w:t>I</w:t>
      </w:r>
      <w:r w:rsidRPr="00CF10FB">
        <w:rPr>
          <w:szCs w:val="28"/>
          <w:shd w:val="clear" w:color="auto" w:fill="FFFFFF"/>
        </w:rPr>
        <w:t xml:space="preserve"> полугодии 2021 года городской округ Тольятти занял 1 место среди городских округов Самарской области – 174,3%), а также оценочных данных крупных, средних и малых резидентов ОЭЗ ППТ «Тольятти»</w:t>
      </w:r>
      <w:r w:rsidR="00FC6B9D" w:rsidRPr="00FC6B9D">
        <w:rPr>
          <w:szCs w:val="28"/>
          <w:shd w:val="clear" w:color="auto" w:fill="FFFFFF"/>
        </w:rPr>
        <w:t xml:space="preserve"> </w:t>
      </w:r>
      <w:r w:rsidR="00FC6B9D">
        <w:rPr>
          <w:szCs w:val="28"/>
          <w:shd w:val="clear" w:color="auto" w:fill="FFFFFF"/>
        </w:rPr>
        <w:t>и</w:t>
      </w:r>
      <w:r w:rsidRPr="00CF10FB">
        <w:rPr>
          <w:szCs w:val="28"/>
          <w:shd w:val="clear" w:color="auto" w:fill="FFFFFF"/>
        </w:rPr>
        <w:t xml:space="preserve"> ТОСЭР «Тольятти».</w:t>
      </w:r>
    </w:p>
    <w:p w14:paraId="5DF56831" w14:textId="572CDEAA" w:rsidR="00CF10FB" w:rsidRPr="00CF10FB" w:rsidRDefault="00CF10FB" w:rsidP="00CF10FB">
      <w:pPr>
        <w:pStyle w:val="aff0"/>
        <w:spacing w:line="276" w:lineRule="auto"/>
        <w:rPr>
          <w:szCs w:val="28"/>
          <w:shd w:val="clear" w:color="auto" w:fill="FFFFFF"/>
        </w:rPr>
      </w:pPr>
      <w:r w:rsidRPr="00CF10FB">
        <w:rPr>
          <w:szCs w:val="28"/>
          <w:shd w:val="clear" w:color="auto" w:fill="FFFFFF"/>
        </w:rPr>
        <w:t>В связи с ростом производства и прибыли на крупных и средних предприятиях города в текущем году доля инвестиций, финансируемых за счет собственных средств, в общем объеме инвестиций в основной капитал</w:t>
      </w:r>
      <w:r w:rsidR="00021708">
        <w:rPr>
          <w:szCs w:val="28"/>
          <w:shd w:val="clear" w:color="auto" w:fill="FFFFFF"/>
        </w:rPr>
        <w:t>,</w:t>
      </w:r>
      <w:r w:rsidRPr="00CF10FB">
        <w:rPr>
          <w:szCs w:val="28"/>
          <w:shd w:val="clear" w:color="auto" w:fill="FFFFFF"/>
        </w:rPr>
        <w:t xml:space="preserve"> выше доли привлеченных инвестиций.</w:t>
      </w:r>
    </w:p>
    <w:p w14:paraId="2AAB1404" w14:textId="392BFCCC" w:rsidR="00CF10FB" w:rsidRPr="00CF10FB" w:rsidRDefault="00CF10FB" w:rsidP="00CF10FB">
      <w:pPr>
        <w:pStyle w:val="aff0"/>
        <w:spacing w:line="276" w:lineRule="auto"/>
        <w:rPr>
          <w:szCs w:val="28"/>
          <w:shd w:val="clear" w:color="auto" w:fill="FFFFFF"/>
        </w:rPr>
      </w:pPr>
      <w:r w:rsidRPr="00CF10FB">
        <w:rPr>
          <w:szCs w:val="28"/>
          <w:shd w:val="clear" w:color="auto" w:fill="FFFFFF"/>
        </w:rPr>
        <w:t xml:space="preserve">На основании фактически сложившихся значений бюджетных инвестиций за 2020 год и </w:t>
      </w:r>
      <w:r w:rsidR="00B81A11">
        <w:rPr>
          <w:szCs w:val="28"/>
          <w:shd w:val="clear" w:color="auto" w:fill="FFFFFF"/>
          <w:lang w:val="en-US"/>
        </w:rPr>
        <w:t>I</w:t>
      </w:r>
      <w:r w:rsidRPr="00CF10FB">
        <w:rPr>
          <w:szCs w:val="28"/>
          <w:shd w:val="clear" w:color="auto" w:fill="FFFFFF"/>
        </w:rPr>
        <w:t xml:space="preserve"> полугодие 2021 года, а также плановых сумм бюджетных инвестиций, скорректирована оценка 2021 года в сторону увеличения относительно прошлогоднего прогноза.</w:t>
      </w:r>
    </w:p>
    <w:p w14:paraId="002BACBB" w14:textId="77777777" w:rsidR="00CF10FB" w:rsidRPr="00CF10FB" w:rsidRDefault="00CF10FB" w:rsidP="00CF10FB">
      <w:pPr>
        <w:pStyle w:val="aff0"/>
        <w:spacing w:line="276" w:lineRule="auto"/>
        <w:rPr>
          <w:szCs w:val="28"/>
          <w:shd w:val="clear" w:color="auto" w:fill="FFFFFF"/>
        </w:rPr>
      </w:pPr>
      <w:r w:rsidRPr="00CF10FB">
        <w:rPr>
          <w:szCs w:val="28"/>
          <w:shd w:val="clear" w:color="auto" w:fill="FFFFFF"/>
        </w:rPr>
        <w:t>Несмотря на увеличение инвестиционной деятельности объем строительных работ по крупным и средним предприятиям на территории городского округа Тольятти в январе-июне 2021 года снизился на 6,4% относительно января-июня предыдущего года и составил 1 835,4 млн. рублей.</w:t>
      </w:r>
    </w:p>
    <w:p w14:paraId="37221D12" w14:textId="4AFB27A2" w:rsidR="002D7AB3" w:rsidRDefault="002D7AB3" w:rsidP="002D7AB3">
      <w:pPr>
        <w:pStyle w:val="aff0"/>
        <w:spacing w:line="276" w:lineRule="auto"/>
        <w:rPr>
          <w:szCs w:val="28"/>
          <w:shd w:val="clear" w:color="auto" w:fill="FFFFFF"/>
        </w:rPr>
      </w:pPr>
      <w:r w:rsidRPr="00C62BD5">
        <w:rPr>
          <w:szCs w:val="28"/>
          <w:shd w:val="clear" w:color="auto" w:fill="FFFFFF"/>
        </w:rPr>
        <w:t xml:space="preserve">В </w:t>
      </w:r>
      <w:r>
        <w:rPr>
          <w:szCs w:val="28"/>
          <w:shd w:val="clear" w:color="auto" w:fill="FFFFFF"/>
        </w:rPr>
        <w:t xml:space="preserve">январе – июне 2021 года организациями всех форм собственности, а также населением за счет собственных и заемных средств, введено в действие 100 зданий жилого назначения. Общая площадь зданий в отчетном периоде составила 84,9 тыс. кв. м. По сравнению с </w:t>
      </w:r>
      <w:r w:rsidR="00B81A11">
        <w:rPr>
          <w:szCs w:val="28"/>
          <w:shd w:val="clear" w:color="auto" w:fill="FFFFFF"/>
          <w:lang w:val="en-US"/>
        </w:rPr>
        <w:t>I</w:t>
      </w:r>
      <w:r>
        <w:rPr>
          <w:szCs w:val="28"/>
          <w:shd w:val="clear" w:color="auto" w:fill="FFFFFF"/>
        </w:rPr>
        <w:t xml:space="preserve"> полугодием 2020 года количество введенных зданий сократилось на 8 домов, а их общая площадь – на 46,7 тыс. кв. м.</w:t>
      </w:r>
    </w:p>
    <w:p w14:paraId="32C21DEC" w14:textId="5749F534" w:rsidR="002D7AB3" w:rsidRDefault="002D7AB3" w:rsidP="002D7AB3">
      <w:pPr>
        <w:pStyle w:val="aff0"/>
        <w:spacing w:line="276" w:lineRule="auto"/>
        <w:rPr>
          <w:szCs w:val="28"/>
          <w:shd w:val="clear" w:color="auto" w:fill="FFFFFF"/>
        </w:rPr>
      </w:pPr>
      <w:r>
        <w:rPr>
          <w:szCs w:val="28"/>
          <w:shd w:val="clear" w:color="auto" w:fill="FFFFFF"/>
        </w:rPr>
        <w:t xml:space="preserve">В </w:t>
      </w:r>
      <w:r w:rsidR="002E3A48">
        <w:rPr>
          <w:szCs w:val="28"/>
          <w:shd w:val="clear" w:color="auto" w:fill="FFFFFF"/>
          <w:lang w:val="en-US"/>
        </w:rPr>
        <w:t>I</w:t>
      </w:r>
      <w:r>
        <w:rPr>
          <w:szCs w:val="28"/>
          <w:shd w:val="clear" w:color="auto" w:fill="FFFFFF"/>
        </w:rPr>
        <w:t xml:space="preserve"> полугодии 2021 года в </w:t>
      </w:r>
      <w:r w:rsidRPr="00C62BD5">
        <w:rPr>
          <w:szCs w:val="28"/>
          <w:shd w:val="clear" w:color="auto" w:fill="FFFFFF"/>
        </w:rPr>
        <w:t xml:space="preserve">городском округе Тольятти </w:t>
      </w:r>
      <w:r>
        <w:rPr>
          <w:szCs w:val="28"/>
          <w:shd w:val="clear" w:color="auto" w:fill="FFFFFF"/>
        </w:rPr>
        <w:t>введено в действие 63,4 тыс. кв. м общей площади жилых домов (квартир), что почти в 2 раза выше аналогичн</w:t>
      </w:r>
      <w:r w:rsidR="00021708">
        <w:rPr>
          <w:szCs w:val="28"/>
          <w:shd w:val="clear" w:color="auto" w:fill="FFFFFF"/>
        </w:rPr>
        <w:t>ого</w:t>
      </w:r>
      <w:r>
        <w:rPr>
          <w:szCs w:val="28"/>
          <w:shd w:val="clear" w:color="auto" w:fill="FFFFFF"/>
        </w:rPr>
        <w:t xml:space="preserve"> период</w:t>
      </w:r>
      <w:r w:rsidR="00021708">
        <w:rPr>
          <w:szCs w:val="28"/>
          <w:shd w:val="clear" w:color="auto" w:fill="FFFFFF"/>
        </w:rPr>
        <w:t>а</w:t>
      </w:r>
      <w:r>
        <w:rPr>
          <w:szCs w:val="28"/>
          <w:shd w:val="clear" w:color="auto" w:fill="FFFFFF"/>
        </w:rPr>
        <w:t xml:space="preserve"> 2020 года. </w:t>
      </w:r>
    </w:p>
    <w:p w14:paraId="5594965F" w14:textId="1EFDBBF4" w:rsidR="00EB3D7D" w:rsidRDefault="00EB3D7D" w:rsidP="002D7AB3">
      <w:pPr>
        <w:pStyle w:val="aff0"/>
        <w:spacing w:line="276" w:lineRule="auto"/>
        <w:rPr>
          <w:szCs w:val="28"/>
          <w:shd w:val="clear" w:color="auto" w:fill="FFFFFF"/>
        </w:rPr>
      </w:pPr>
      <w:r>
        <w:rPr>
          <w:rFonts w:eastAsiaTheme="minorEastAsia"/>
          <w:szCs w:val="28"/>
          <w:lang w:eastAsia="ru-RU"/>
        </w:rPr>
        <w:t xml:space="preserve">В рейтинге городских округов Самарской области городской округ Тольятти занял 7 место из 10 в расчете показателя на 1000 населения (91,4 кв. м). </w:t>
      </w:r>
      <w:r w:rsidRPr="00482B2E">
        <w:rPr>
          <w:rFonts w:eastAsiaTheme="minorEastAsia"/>
          <w:szCs w:val="28"/>
          <w:lang w:eastAsia="ru-RU"/>
        </w:rPr>
        <w:t xml:space="preserve">В рейтинге </w:t>
      </w:r>
      <w:r>
        <w:rPr>
          <w:rFonts w:eastAsiaTheme="minorEastAsia"/>
          <w:szCs w:val="28"/>
          <w:lang w:eastAsia="ru-RU"/>
        </w:rPr>
        <w:t xml:space="preserve">15 </w:t>
      </w:r>
      <w:r w:rsidRPr="00482B2E">
        <w:rPr>
          <w:rFonts w:eastAsiaTheme="minorEastAsia"/>
          <w:szCs w:val="28"/>
          <w:lang w:eastAsia="ru-RU"/>
        </w:rPr>
        <w:t xml:space="preserve">городов Приволжского федерального округа </w:t>
      </w:r>
      <w:r>
        <w:rPr>
          <w:rFonts w:eastAsiaTheme="minorEastAsia"/>
          <w:szCs w:val="28"/>
          <w:lang w:eastAsia="ru-RU"/>
        </w:rPr>
        <w:t xml:space="preserve">городской округ </w:t>
      </w:r>
      <w:r w:rsidRPr="00482B2E">
        <w:rPr>
          <w:rFonts w:eastAsiaTheme="minorEastAsia"/>
          <w:szCs w:val="28"/>
          <w:lang w:eastAsia="ru-RU"/>
        </w:rPr>
        <w:t xml:space="preserve">Тольятти занял </w:t>
      </w:r>
      <w:r>
        <w:rPr>
          <w:rFonts w:eastAsiaTheme="minorEastAsia"/>
          <w:szCs w:val="28"/>
          <w:lang w:eastAsia="ru-RU"/>
        </w:rPr>
        <w:t>1</w:t>
      </w:r>
      <w:r w:rsidRPr="00482B2E">
        <w:rPr>
          <w:rFonts w:eastAsiaTheme="minorEastAsia"/>
          <w:szCs w:val="28"/>
          <w:lang w:eastAsia="ru-RU"/>
        </w:rPr>
        <w:t>4 место</w:t>
      </w:r>
      <w:r>
        <w:rPr>
          <w:rFonts w:eastAsiaTheme="minorEastAsia"/>
          <w:szCs w:val="28"/>
          <w:lang w:eastAsia="ru-RU"/>
        </w:rPr>
        <w:t xml:space="preserve"> (г.о. Самара на 3 месте -</w:t>
      </w:r>
      <w:r w:rsidR="00803B29">
        <w:rPr>
          <w:rFonts w:eastAsiaTheme="minorEastAsia"/>
          <w:szCs w:val="28"/>
          <w:lang w:eastAsia="ru-RU"/>
        </w:rPr>
        <w:t xml:space="preserve"> </w:t>
      </w:r>
      <w:r>
        <w:rPr>
          <w:rFonts w:eastAsiaTheme="minorEastAsia"/>
          <w:szCs w:val="28"/>
          <w:lang w:eastAsia="ru-RU"/>
        </w:rPr>
        <w:t>365,1 тыс. кв. м.).</w:t>
      </w:r>
    </w:p>
    <w:p w14:paraId="5C02AD2A" w14:textId="5ACDD603" w:rsidR="002D7AB3" w:rsidRDefault="002D7AB3" w:rsidP="002D7AB3">
      <w:pPr>
        <w:pStyle w:val="aff0"/>
        <w:spacing w:line="276" w:lineRule="auto"/>
        <w:rPr>
          <w:szCs w:val="28"/>
          <w:shd w:val="clear" w:color="auto" w:fill="FFFFFF"/>
        </w:rPr>
      </w:pPr>
      <w:r>
        <w:rPr>
          <w:szCs w:val="28"/>
          <w:shd w:val="clear" w:color="auto" w:fill="FFFFFF"/>
        </w:rPr>
        <w:t>Из общего объема строительств</w:t>
      </w:r>
      <w:r w:rsidR="00EB3D7D">
        <w:rPr>
          <w:szCs w:val="28"/>
          <w:shd w:val="clear" w:color="auto" w:fill="FFFFFF"/>
        </w:rPr>
        <w:t>а</w:t>
      </w:r>
      <w:r>
        <w:rPr>
          <w:szCs w:val="28"/>
          <w:shd w:val="clear" w:color="auto" w:fill="FFFFFF"/>
        </w:rPr>
        <w:t xml:space="preserve"> организациями построено 7 жилых домов на 856 квартир (в январе – июне 2020 года введено в эксплуатацию 2 жилых дома на 198 квартир).</w:t>
      </w:r>
    </w:p>
    <w:p w14:paraId="32611F6E" w14:textId="7D5558F7" w:rsidR="00D307B9" w:rsidRDefault="00AD43CC" w:rsidP="00D307B9">
      <w:pPr>
        <w:pStyle w:val="aff0"/>
        <w:spacing w:line="276" w:lineRule="auto"/>
        <w:rPr>
          <w:szCs w:val="28"/>
          <w:shd w:val="clear" w:color="auto" w:fill="FFFFFF"/>
        </w:rPr>
      </w:pPr>
      <w:r w:rsidRPr="00DC6890">
        <w:rPr>
          <w:szCs w:val="28"/>
          <w:shd w:val="clear" w:color="auto" w:fill="FFFFFF"/>
        </w:rPr>
        <w:t>По данным</w:t>
      </w:r>
      <w:r w:rsidRPr="00F8172A">
        <w:rPr>
          <w:szCs w:val="28"/>
          <w:shd w:val="clear" w:color="auto" w:fill="FFFFFF"/>
        </w:rPr>
        <w:t xml:space="preserve"> </w:t>
      </w:r>
      <w:proofErr w:type="spellStart"/>
      <w:r w:rsidRPr="00F8172A">
        <w:rPr>
          <w:szCs w:val="28"/>
          <w:shd w:val="clear" w:color="auto" w:fill="FFFFFF"/>
        </w:rPr>
        <w:t>Самарастата</w:t>
      </w:r>
      <w:proofErr w:type="spellEnd"/>
      <w:r w:rsidRPr="00F8172A">
        <w:rPr>
          <w:szCs w:val="28"/>
          <w:shd w:val="clear" w:color="auto" w:fill="FFFFFF"/>
        </w:rPr>
        <w:t>, с</w:t>
      </w:r>
      <w:r w:rsidR="00D307B9" w:rsidRPr="00F8172A">
        <w:rPr>
          <w:szCs w:val="28"/>
          <w:shd w:val="clear" w:color="auto" w:fill="FFFFFF"/>
        </w:rPr>
        <w:t>редняя стоимость строительства 1 кв. м общей площади жилых домов (без построенных населением) по Самарской области составила 48 294 рубля (в 2020 году – 3</w:t>
      </w:r>
      <w:r w:rsidR="00F8172A" w:rsidRPr="00F8172A">
        <w:rPr>
          <w:szCs w:val="28"/>
          <w:shd w:val="clear" w:color="auto" w:fill="FFFFFF"/>
        </w:rPr>
        <w:t>3 951</w:t>
      </w:r>
      <w:r w:rsidR="00D307B9" w:rsidRPr="00F8172A">
        <w:rPr>
          <w:szCs w:val="28"/>
          <w:shd w:val="clear" w:color="auto" w:fill="FFFFFF"/>
        </w:rPr>
        <w:t xml:space="preserve"> рубля), по городскому округу Тольятти – 40 957 рублей (в 2020 году – 4</w:t>
      </w:r>
      <w:r w:rsidR="00F8172A" w:rsidRPr="00F8172A">
        <w:rPr>
          <w:szCs w:val="28"/>
          <w:shd w:val="clear" w:color="auto" w:fill="FFFFFF"/>
        </w:rPr>
        <w:t>0 389</w:t>
      </w:r>
      <w:r w:rsidR="00D307B9" w:rsidRPr="00F8172A">
        <w:rPr>
          <w:szCs w:val="28"/>
          <w:shd w:val="clear" w:color="auto" w:fill="FFFFFF"/>
        </w:rPr>
        <w:t xml:space="preserve"> рубля).</w:t>
      </w:r>
      <w:r w:rsidR="00D307B9">
        <w:rPr>
          <w:szCs w:val="28"/>
          <w:shd w:val="clear" w:color="auto" w:fill="FFFFFF"/>
        </w:rPr>
        <w:t xml:space="preserve"> Средняя </w:t>
      </w:r>
      <w:r w:rsidR="00D307B9">
        <w:rPr>
          <w:szCs w:val="28"/>
          <w:shd w:val="clear" w:color="auto" w:fill="FFFFFF"/>
        </w:rPr>
        <w:lastRenderedPageBreak/>
        <w:t>стоимость строительства 1 кв. м общей площади отдельно стоящих жилых домов квартирного типа без пристроек, надстроек и встроенных помещений (без стоимости строительства индивидуальных жилых домов, построенных населением) по Самарской области составила 35 373 рубля.</w:t>
      </w:r>
    </w:p>
    <w:p w14:paraId="6DBA1A91" w14:textId="5D7D8130" w:rsidR="002D7AB3" w:rsidRPr="00C62BD5" w:rsidRDefault="002D7AB3" w:rsidP="002D7AB3">
      <w:pPr>
        <w:pStyle w:val="aff0"/>
        <w:spacing w:line="276" w:lineRule="auto"/>
        <w:rPr>
          <w:szCs w:val="28"/>
          <w:shd w:val="clear" w:color="auto" w:fill="FFFFFF"/>
        </w:rPr>
      </w:pPr>
      <w:r>
        <w:rPr>
          <w:szCs w:val="28"/>
          <w:shd w:val="clear" w:color="auto" w:fill="FFFFFF"/>
        </w:rPr>
        <w:t xml:space="preserve">Населением города за свой счет и с помощью кредитов в отчетном периоде построено 23 индивидуальных жилых дома на 3,6 тыс. кв. м общей площади. По сравнению с </w:t>
      </w:r>
      <w:r w:rsidR="00B81A11">
        <w:rPr>
          <w:szCs w:val="28"/>
          <w:shd w:val="clear" w:color="auto" w:fill="FFFFFF"/>
          <w:lang w:val="en-US"/>
        </w:rPr>
        <w:t>I</w:t>
      </w:r>
      <w:r>
        <w:rPr>
          <w:szCs w:val="28"/>
          <w:shd w:val="clear" w:color="auto" w:fill="FFFFFF"/>
        </w:rPr>
        <w:t xml:space="preserve"> полугодием 2020 года наблюдается уменьшение ввода в действие индивидуальных жилых домов (на 54,5%). </w:t>
      </w:r>
    </w:p>
    <w:p w14:paraId="4510BE58" w14:textId="4D852E21" w:rsidR="005D5A55" w:rsidRDefault="005D5A55" w:rsidP="005D5A55">
      <w:pPr>
        <w:widowControl w:val="0"/>
        <w:spacing w:line="276" w:lineRule="auto"/>
        <w:rPr>
          <w:sz w:val="28"/>
          <w:szCs w:val="28"/>
          <w:shd w:val="clear" w:color="auto" w:fill="FFFFFF"/>
        </w:rPr>
      </w:pPr>
      <w:r w:rsidRPr="00C62BD5">
        <w:rPr>
          <w:sz w:val="28"/>
          <w:szCs w:val="28"/>
          <w:shd w:val="clear" w:color="auto" w:fill="FFFFFF"/>
        </w:rPr>
        <w:t>В соответствии с соглашением между министерством строительства Самарской области и администрацией городского округа Тольятти об установлении планового задания по вводу жилья для городского округа Тольятти на 2021-2030 годы (далее по разделу – Соглашение), плановое значение показателя по объему введенных жилых домов (квартир) в городском округе Тольятти в 2021 году составляет 175,8 тыс. кв. м общей площади жилья, что почти в 2,2 раза выше факта 2020 года.</w:t>
      </w:r>
    </w:p>
    <w:p w14:paraId="2E630E63" w14:textId="4A79831A" w:rsidR="005D5A55" w:rsidRDefault="00330778" w:rsidP="005D5A55">
      <w:pPr>
        <w:widowControl w:val="0"/>
        <w:spacing w:line="276" w:lineRule="auto"/>
        <w:rPr>
          <w:sz w:val="28"/>
          <w:szCs w:val="28"/>
          <w:shd w:val="clear" w:color="auto" w:fill="FFFFFF"/>
        </w:rPr>
      </w:pPr>
      <w:r>
        <w:rPr>
          <w:sz w:val="28"/>
          <w:szCs w:val="28"/>
          <w:shd w:val="clear" w:color="auto" w:fill="FFFFFF"/>
        </w:rPr>
        <w:t>В связи с ожидаемым невыполнением установленного в Соглашении планового значения показателя</w:t>
      </w:r>
      <w:r w:rsidR="006D46A4">
        <w:rPr>
          <w:sz w:val="28"/>
          <w:szCs w:val="28"/>
          <w:shd w:val="clear" w:color="auto" w:fill="FFFFFF"/>
        </w:rPr>
        <w:t xml:space="preserve"> на 2021 год</w:t>
      </w:r>
      <w:r>
        <w:rPr>
          <w:sz w:val="28"/>
          <w:szCs w:val="28"/>
          <w:shd w:val="clear" w:color="auto" w:fill="FFFFFF"/>
        </w:rPr>
        <w:t>, а</w:t>
      </w:r>
      <w:r w:rsidR="005D5A55">
        <w:rPr>
          <w:sz w:val="28"/>
          <w:szCs w:val="28"/>
          <w:shd w:val="clear" w:color="auto" w:fill="FFFFFF"/>
        </w:rPr>
        <w:t xml:space="preserve">дминистрация городского округа Тольятти обратилась в министерство строительства Самарской области с просьбой о снижении </w:t>
      </w:r>
      <w:r w:rsidR="005D5A55" w:rsidRPr="00C62BD5">
        <w:rPr>
          <w:sz w:val="28"/>
          <w:szCs w:val="28"/>
          <w:shd w:val="clear" w:color="auto" w:fill="FFFFFF"/>
        </w:rPr>
        <w:t>планового задания по вводу жилья для городского округа Тольятти на 2021</w:t>
      </w:r>
      <w:r w:rsidR="005D5A55">
        <w:rPr>
          <w:sz w:val="28"/>
          <w:szCs w:val="28"/>
          <w:shd w:val="clear" w:color="auto" w:fill="FFFFFF"/>
        </w:rPr>
        <w:t xml:space="preserve"> год до 13</w:t>
      </w:r>
      <w:r w:rsidR="00A03CE7">
        <w:rPr>
          <w:sz w:val="28"/>
          <w:szCs w:val="28"/>
          <w:shd w:val="clear" w:color="auto" w:fill="FFFFFF"/>
        </w:rPr>
        <w:t>7</w:t>
      </w:r>
      <w:r w:rsidR="005D5A55">
        <w:rPr>
          <w:sz w:val="28"/>
          <w:szCs w:val="28"/>
          <w:shd w:val="clear" w:color="auto" w:fill="FFFFFF"/>
        </w:rPr>
        <w:t>,1 тыс. кв. м.</w:t>
      </w:r>
      <w:r w:rsidR="00AD43CC">
        <w:rPr>
          <w:sz w:val="28"/>
          <w:szCs w:val="28"/>
          <w:shd w:val="clear" w:color="auto" w:fill="FFFFFF"/>
        </w:rPr>
        <w:t xml:space="preserve"> (принято в качестве оценочного значения показателя на 2021 год</w:t>
      </w:r>
      <w:r w:rsidR="00EB3D7D">
        <w:rPr>
          <w:sz w:val="28"/>
          <w:szCs w:val="28"/>
          <w:shd w:val="clear" w:color="auto" w:fill="FFFFFF"/>
        </w:rPr>
        <w:t>)</w:t>
      </w:r>
      <w:r w:rsidR="00AD43CC">
        <w:rPr>
          <w:sz w:val="28"/>
          <w:szCs w:val="28"/>
          <w:shd w:val="clear" w:color="auto" w:fill="FFFFFF"/>
        </w:rPr>
        <w:t>.</w:t>
      </w:r>
    </w:p>
    <w:p w14:paraId="260D1AC9" w14:textId="77777777" w:rsidR="00562DC3" w:rsidRDefault="00562DC3" w:rsidP="005D5A55">
      <w:pPr>
        <w:spacing w:line="276" w:lineRule="auto"/>
        <w:ind w:firstLine="0"/>
        <w:jc w:val="center"/>
        <w:rPr>
          <w:rFonts w:eastAsia="Calibri"/>
          <w:sz w:val="28"/>
          <w:szCs w:val="28"/>
          <w:lang w:eastAsia="ar-SA"/>
        </w:rPr>
      </w:pPr>
    </w:p>
    <w:p w14:paraId="0B7EED7B" w14:textId="3D594DDE" w:rsidR="005D5A55" w:rsidRPr="005E37BF" w:rsidRDefault="005D5A55" w:rsidP="005D5A55">
      <w:pPr>
        <w:spacing w:line="276" w:lineRule="auto"/>
        <w:ind w:firstLine="0"/>
        <w:jc w:val="center"/>
        <w:rPr>
          <w:rFonts w:eastAsia="Calibri"/>
          <w:sz w:val="28"/>
          <w:szCs w:val="28"/>
          <w:lang w:eastAsia="ar-SA"/>
        </w:rPr>
      </w:pPr>
      <w:r w:rsidRPr="005E37BF">
        <w:rPr>
          <w:rFonts w:eastAsia="Calibri"/>
          <w:sz w:val="28"/>
          <w:szCs w:val="28"/>
          <w:lang w:eastAsia="ar-SA"/>
        </w:rPr>
        <w:t>Ожидаемое выполнение прогнозных показателей по разделу</w:t>
      </w:r>
    </w:p>
    <w:p w14:paraId="1F694ECB" w14:textId="77777777" w:rsidR="005D5A55" w:rsidRPr="005E37BF" w:rsidRDefault="005D5A55" w:rsidP="005D5A55">
      <w:pPr>
        <w:spacing w:line="276" w:lineRule="auto"/>
        <w:ind w:firstLine="0"/>
        <w:jc w:val="center"/>
        <w:rPr>
          <w:rFonts w:eastAsia="Calibri"/>
          <w:sz w:val="28"/>
          <w:szCs w:val="28"/>
          <w:lang w:eastAsia="ar-SA"/>
        </w:rPr>
      </w:pPr>
      <w:r w:rsidRPr="005E37BF">
        <w:rPr>
          <w:rFonts w:eastAsia="Calibri"/>
          <w:sz w:val="28"/>
          <w:szCs w:val="28"/>
          <w:lang w:eastAsia="ar-SA"/>
        </w:rPr>
        <w:t>«Жилищное строительство» на 2021 год</w:t>
      </w:r>
    </w:p>
    <w:tbl>
      <w:tblPr>
        <w:tblW w:w="9588" w:type="dxa"/>
        <w:tblInd w:w="108" w:type="dxa"/>
        <w:tblLayout w:type="fixed"/>
        <w:tblLook w:val="0000" w:firstRow="0" w:lastRow="0" w:firstColumn="0" w:lastColumn="0" w:noHBand="0" w:noVBand="0"/>
      </w:tblPr>
      <w:tblGrid>
        <w:gridCol w:w="3174"/>
        <w:gridCol w:w="1247"/>
        <w:gridCol w:w="1735"/>
        <w:gridCol w:w="1697"/>
        <w:gridCol w:w="1735"/>
      </w:tblGrid>
      <w:tr w:rsidR="005D5A55" w:rsidRPr="005E37BF" w14:paraId="79419B7F" w14:textId="77777777" w:rsidTr="00147A4E">
        <w:trPr>
          <w:cantSplit/>
          <w:trHeight w:val="211"/>
        </w:trPr>
        <w:tc>
          <w:tcPr>
            <w:tcW w:w="3174" w:type="dxa"/>
            <w:vMerge w:val="restart"/>
            <w:tcBorders>
              <w:top w:val="single" w:sz="4" w:space="0" w:color="000000"/>
              <w:left w:val="single" w:sz="4" w:space="0" w:color="000000"/>
              <w:bottom w:val="single" w:sz="4" w:space="0" w:color="000000"/>
            </w:tcBorders>
            <w:vAlign w:val="center"/>
          </w:tcPr>
          <w:p w14:paraId="7CC8A46A" w14:textId="77777777" w:rsidR="005D5A55" w:rsidRPr="005E37BF" w:rsidRDefault="005D5A55" w:rsidP="00147A4E">
            <w:pPr>
              <w:ind w:firstLine="0"/>
              <w:jc w:val="center"/>
              <w:rPr>
                <w:rFonts w:eastAsia="Calibri"/>
                <w:sz w:val="28"/>
                <w:szCs w:val="28"/>
                <w:lang w:eastAsia="ar-SA"/>
              </w:rPr>
            </w:pPr>
            <w:r w:rsidRPr="005E37BF">
              <w:rPr>
                <w:rFonts w:eastAsia="Calibri"/>
                <w:sz w:val="28"/>
                <w:szCs w:val="28"/>
                <w:lang w:eastAsia="ar-SA"/>
              </w:rPr>
              <w:t>Показатели</w:t>
            </w:r>
          </w:p>
        </w:tc>
        <w:tc>
          <w:tcPr>
            <w:tcW w:w="1247" w:type="dxa"/>
            <w:vMerge w:val="restart"/>
            <w:tcBorders>
              <w:top w:val="single" w:sz="4" w:space="0" w:color="000000"/>
              <w:left w:val="single" w:sz="4" w:space="0" w:color="000000"/>
              <w:bottom w:val="single" w:sz="4" w:space="0" w:color="000000"/>
            </w:tcBorders>
            <w:vAlign w:val="center"/>
          </w:tcPr>
          <w:p w14:paraId="38588087" w14:textId="77777777" w:rsidR="005D5A55" w:rsidRPr="005E37BF" w:rsidRDefault="005D5A55" w:rsidP="00147A4E">
            <w:pPr>
              <w:ind w:firstLine="0"/>
              <w:jc w:val="center"/>
              <w:rPr>
                <w:rFonts w:eastAsia="Calibri"/>
                <w:sz w:val="28"/>
                <w:szCs w:val="28"/>
                <w:lang w:eastAsia="ar-SA"/>
              </w:rPr>
            </w:pPr>
            <w:r w:rsidRPr="005E37BF">
              <w:rPr>
                <w:rFonts w:eastAsia="Calibri"/>
                <w:sz w:val="28"/>
                <w:szCs w:val="28"/>
                <w:lang w:eastAsia="ar-SA"/>
              </w:rPr>
              <w:t>Ед. изм.</w:t>
            </w:r>
          </w:p>
        </w:tc>
        <w:tc>
          <w:tcPr>
            <w:tcW w:w="3432" w:type="dxa"/>
            <w:gridSpan w:val="2"/>
            <w:tcBorders>
              <w:top w:val="single" w:sz="4" w:space="0" w:color="000000"/>
              <w:left w:val="single" w:sz="4" w:space="0" w:color="000000"/>
              <w:bottom w:val="single" w:sz="4" w:space="0" w:color="000000"/>
            </w:tcBorders>
          </w:tcPr>
          <w:p w14:paraId="36478500" w14:textId="77777777" w:rsidR="005D5A55" w:rsidRPr="005E37BF" w:rsidRDefault="005D5A55" w:rsidP="00147A4E">
            <w:pPr>
              <w:ind w:firstLine="0"/>
              <w:jc w:val="center"/>
              <w:rPr>
                <w:rFonts w:eastAsia="Calibri"/>
                <w:sz w:val="28"/>
                <w:szCs w:val="28"/>
                <w:lang w:eastAsia="ar-SA"/>
              </w:rPr>
            </w:pPr>
            <w:r w:rsidRPr="005E37BF">
              <w:rPr>
                <w:rFonts w:eastAsia="Calibri"/>
                <w:sz w:val="28"/>
                <w:szCs w:val="28"/>
                <w:lang w:eastAsia="ar-SA"/>
              </w:rPr>
              <w:t>Прогноз на 2021 год</w:t>
            </w:r>
          </w:p>
        </w:tc>
        <w:tc>
          <w:tcPr>
            <w:tcW w:w="1735" w:type="dxa"/>
            <w:vMerge w:val="restart"/>
            <w:tcBorders>
              <w:top w:val="single" w:sz="4" w:space="0" w:color="000000"/>
              <w:left w:val="single" w:sz="4" w:space="0" w:color="000000"/>
              <w:bottom w:val="single" w:sz="4" w:space="0" w:color="000000"/>
              <w:right w:val="single" w:sz="4" w:space="0" w:color="000000"/>
            </w:tcBorders>
          </w:tcPr>
          <w:p w14:paraId="70C60F30" w14:textId="77777777" w:rsidR="005D5A55" w:rsidRPr="005E37BF" w:rsidRDefault="005D5A55" w:rsidP="00147A4E">
            <w:pPr>
              <w:ind w:firstLine="0"/>
              <w:jc w:val="center"/>
              <w:rPr>
                <w:rFonts w:eastAsia="Calibri"/>
                <w:sz w:val="28"/>
                <w:szCs w:val="28"/>
                <w:lang w:eastAsia="ar-SA"/>
              </w:rPr>
            </w:pPr>
            <w:r w:rsidRPr="005E37BF">
              <w:rPr>
                <w:rFonts w:eastAsia="Calibri"/>
                <w:sz w:val="28"/>
                <w:szCs w:val="28"/>
                <w:lang w:eastAsia="ar-SA"/>
              </w:rPr>
              <w:t>2021 год (оценка)</w:t>
            </w:r>
          </w:p>
        </w:tc>
      </w:tr>
      <w:tr w:rsidR="005D5A55" w:rsidRPr="005E37BF" w14:paraId="3958E3B2" w14:textId="77777777" w:rsidTr="00147A4E">
        <w:trPr>
          <w:trHeight w:val="105"/>
        </w:trPr>
        <w:tc>
          <w:tcPr>
            <w:tcW w:w="3174" w:type="dxa"/>
            <w:vMerge/>
            <w:tcBorders>
              <w:top w:val="single" w:sz="4" w:space="0" w:color="000000"/>
              <w:left w:val="single" w:sz="4" w:space="0" w:color="000000"/>
              <w:bottom w:val="single" w:sz="4" w:space="0" w:color="auto"/>
            </w:tcBorders>
          </w:tcPr>
          <w:p w14:paraId="64F7491A" w14:textId="77777777" w:rsidR="005D5A55" w:rsidRPr="005E37BF" w:rsidRDefault="005D5A55" w:rsidP="00147A4E">
            <w:pPr>
              <w:snapToGrid w:val="0"/>
              <w:ind w:firstLine="0"/>
              <w:rPr>
                <w:rFonts w:eastAsia="Calibri"/>
                <w:sz w:val="28"/>
                <w:szCs w:val="28"/>
                <w:lang w:eastAsia="ar-SA"/>
              </w:rPr>
            </w:pPr>
          </w:p>
        </w:tc>
        <w:tc>
          <w:tcPr>
            <w:tcW w:w="1247" w:type="dxa"/>
            <w:vMerge/>
            <w:tcBorders>
              <w:top w:val="single" w:sz="4" w:space="0" w:color="000000"/>
              <w:left w:val="single" w:sz="4" w:space="0" w:color="000000"/>
              <w:bottom w:val="single" w:sz="4" w:space="0" w:color="auto"/>
            </w:tcBorders>
          </w:tcPr>
          <w:p w14:paraId="7DBC4EEC" w14:textId="77777777" w:rsidR="005D5A55" w:rsidRPr="005E37BF" w:rsidRDefault="005D5A55" w:rsidP="00147A4E">
            <w:pPr>
              <w:snapToGrid w:val="0"/>
              <w:ind w:firstLine="0"/>
              <w:rPr>
                <w:rFonts w:eastAsia="Calibri"/>
                <w:sz w:val="28"/>
                <w:szCs w:val="28"/>
                <w:lang w:eastAsia="ar-SA"/>
              </w:rPr>
            </w:pPr>
          </w:p>
        </w:tc>
        <w:tc>
          <w:tcPr>
            <w:tcW w:w="1735" w:type="dxa"/>
            <w:tcBorders>
              <w:left w:val="single" w:sz="4" w:space="0" w:color="000000"/>
              <w:bottom w:val="single" w:sz="4" w:space="0" w:color="auto"/>
            </w:tcBorders>
          </w:tcPr>
          <w:p w14:paraId="3C2CA3D4" w14:textId="77777777" w:rsidR="005D5A55" w:rsidRPr="005E37BF" w:rsidRDefault="005D5A55" w:rsidP="00147A4E">
            <w:pPr>
              <w:ind w:firstLine="0"/>
              <w:jc w:val="center"/>
              <w:rPr>
                <w:rFonts w:eastAsia="Calibri"/>
                <w:sz w:val="28"/>
                <w:szCs w:val="28"/>
                <w:lang w:eastAsia="ar-SA"/>
              </w:rPr>
            </w:pPr>
            <w:r w:rsidRPr="005E37BF">
              <w:rPr>
                <w:rFonts w:eastAsia="Calibri"/>
                <w:sz w:val="28"/>
                <w:szCs w:val="28"/>
                <w:lang w:eastAsia="ar-SA"/>
              </w:rPr>
              <w:t>1 вариант</w:t>
            </w:r>
          </w:p>
        </w:tc>
        <w:tc>
          <w:tcPr>
            <w:tcW w:w="1697" w:type="dxa"/>
            <w:tcBorders>
              <w:left w:val="single" w:sz="4" w:space="0" w:color="000000"/>
              <w:bottom w:val="single" w:sz="4" w:space="0" w:color="auto"/>
            </w:tcBorders>
          </w:tcPr>
          <w:p w14:paraId="1795CBAB" w14:textId="77777777" w:rsidR="005D5A55" w:rsidRPr="005E37BF" w:rsidRDefault="005D5A55" w:rsidP="00147A4E">
            <w:pPr>
              <w:ind w:firstLine="0"/>
              <w:jc w:val="center"/>
              <w:rPr>
                <w:rFonts w:eastAsia="Calibri"/>
                <w:sz w:val="28"/>
                <w:szCs w:val="28"/>
                <w:lang w:eastAsia="ar-SA"/>
              </w:rPr>
            </w:pPr>
            <w:r w:rsidRPr="005E37BF">
              <w:rPr>
                <w:rFonts w:eastAsia="Calibri"/>
                <w:sz w:val="28"/>
                <w:szCs w:val="28"/>
                <w:lang w:eastAsia="ar-SA"/>
              </w:rPr>
              <w:t>2 вариант</w:t>
            </w:r>
          </w:p>
        </w:tc>
        <w:tc>
          <w:tcPr>
            <w:tcW w:w="1735" w:type="dxa"/>
            <w:vMerge/>
            <w:tcBorders>
              <w:top w:val="single" w:sz="4" w:space="0" w:color="000000"/>
              <w:left w:val="single" w:sz="4" w:space="0" w:color="000000"/>
              <w:bottom w:val="single" w:sz="4" w:space="0" w:color="auto"/>
              <w:right w:val="single" w:sz="4" w:space="0" w:color="000000"/>
            </w:tcBorders>
          </w:tcPr>
          <w:p w14:paraId="68B315D1" w14:textId="77777777" w:rsidR="005D5A55" w:rsidRPr="005E37BF" w:rsidRDefault="005D5A55" w:rsidP="00147A4E">
            <w:pPr>
              <w:snapToGrid w:val="0"/>
              <w:ind w:firstLine="0"/>
              <w:rPr>
                <w:rFonts w:eastAsia="Calibri"/>
                <w:sz w:val="28"/>
                <w:szCs w:val="28"/>
                <w:lang w:eastAsia="ar-SA"/>
              </w:rPr>
            </w:pPr>
          </w:p>
        </w:tc>
      </w:tr>
      <w:tr w:rsidR="005D5A55" w:rsidRPr="008253D3" w14:paraId="1C7FF6A7" w14:textId="77777777" w:rsidTr="00147A4E">
        <w:trPr>
          <w:trHeight w:val="885"/>
        </w:trPr>
        <w:tc>
          <w:tcPr>
            <w:tcW w:w="3174" w:type="dxa"/>
            <w:tcBorders>
              <w:top w:val="single" w:sz="4" w:space="0" w:color="auto"/>
              <w:left w:val="single" w:sz="4" w:space="0" w:color="auto"/>
              <w:bottom w:val="single" w:sz="4" w:space="0" w:color="auto"/>
              <w:right w:val="single" w:sz="4" w:space="0" w:color="auto"/>
            </w:tcBorders>
          </w:tcPr>
          <w:p w14:paraId="2223E54E" w14:textId="77777777" w:rsidR="005D5A55" w:rsidRPr="005E37BF" w:rsidRDefault="005D5A55" w:rsidP="00147A4E">
            <w:pPr>
              <w:ind w:firstLine="0"/>
              <w:rPr>
                <w:rFonts w:eastAsia="Calibri"/>
                <w:sz w:val="28"/>
                <w:szCs w:val="28"/>
                <w:lang w:eastAsia="ar-SA"/>
              </w:rPr>
            </w:pPr>
            <w:r w:rsidRPr="005E37BF">
              <w:rPr>
                <w:rFonts w:eastAsia="Calibri"/>
                <w:sz w:val="28"/>
                <w:szCs w:val="28"/>
                <w:lang w:eastAsia="ar-SA"/>
              </w:rPr>
              <w:t>Ввод в действие жилых домов (квартир) за счет всех источников финансирования</w:t>
            </w:r>
          </w:p>
        </w:tc>
        <w:tc>
          <w:tcPr>
            <w:tcW w:w="1247" w:type="dxa"/>
            <w:tcBorders>
              <w:top w:val="single" w:sz="4" w:space="0" w:color="auto"/>
              <w:left w:val="single" w:sz="4" w:space="0" w:color="auto"/>
              <w:bottom w:val="single" w:sz="4" w:space="0" w:color="auto"/>
              <w:right w:val="single" w:sz="4" w:space="0" w:color="auto"/>
            </w:tcBorders>
          </w:tcPr>
          <w:p w14:paraId="5620994E" w14:textId="77777777" w:rsidR="005D5A55" w:rsidRPr="005E37BF" w:rsidRDefault="005D5A55" w:rsidP="00147A4E">
            <w:pPr>
              <w:ind w:firstLine="0"/>
              <w:jc w:val="center"/>
              <w:rPr>
                <w:rFonts w:eastAsia="Calibri"/>
                <w:sz w:val="28"/>
                <w:szCs w:val="28"/>
                <w:lang w:eastAsia="ar-SA"/>
              </w:rPr>
            </w:pPr>
            <w:r w:rsidRPr="005E37BF">
              <w:rPr>
                <w:rFonts w:eastAsia="Calibri"/>
                <w:sz w:val="28"/>
                <w:szCs w:val="28"/>
                <w:lang w:eastAsia="ar-SA"/>
              </w:rPr>
              <w:t>тыс.</w:t>
            </w:r>
            <w:r>
              <w:rPr>
                <w:rFonts w:eastAsia="Calibri"/>
                <w:sz w:val="28"/>
                <w:szCs w:val="28"/>
                <w:lang w:eastAsia="ar-SA"/>
              </w:rPr>
              <w:t xml:space="preserve"> </w:t>
            </w:r>
            <w:r w:rsidRPr="005E37BF">
              <w:rPr>
                <w:rFonts w:eastAsia="Calibri"/>
                <w:sz w:val="28"/>
                <w:szCs w:val="28"/>
                <w:lang w:eastAsia="ar-SA"/>
              </w:rPr>
              <w:t>кв. метров</w:t>
            </w:r>
          </w:p>
        </w:tc>
        <w:tc>
          <w:tcPr>
            <w:tcW w:w="1735" w:type="dxa"/>
            <w:tcBorders>
              <w:top w:val="single" w:sz="4" w:space="0" w:color="auto"/>
              <w:left w:val="single" w:sz="4" w:space="0" w:color="auto"/>
              <w:bottom w:val="single" w:sz="4" w:space="0" w:color="auto"/>
              <w:right w:val="single" w:sz="4" w:space="0" w:color="auto"/>
            </w:tcBorders>
            <w:vAlign w:val="center"/>
          </w:tcPr>
          <w:p w14:paraId="3BA6397A" w14:textId="77777777" w:rsidR="005D5A55" w:rsidRPr="005E37BF" w:rsidRDefault="005D5A55" w:rsidP="00147A4E">
            <w:pPr>
              <w:ind w:firstLine="0"/>
              <w:jc w:val="center"/>
              <w:rPr>
                <w:rFonts w:eastAsia="Calibri"/>
                <w:sz w:val="28"/>
                <w:szCs w:val="28"/>
                <w:lang w:eastAsia="ar-SA"/>
              </w:rPr>
            </w:pPr>
            <w:r w:rsidRPr="005E37BF">
              <w:rPr>
                <w:rFonts w:eastAsia="Calibri"/>
                <w:sz w:val="28"/>
                <w:szCs w:val="28"/>
                <w:lang w:eastAsia="ar-SA"/>
              </w:rPr>
              <w:t>30,5</w:t>
            </w:r>
          </w:p>
        </w:tc>
        <w:tc>
          <w:tcPr>
            <w:tcW w:w="1697" w:type="dxa"/>
            <w:tcBorders>
              <w:top w:val="single" w:sz="4" w:space="0" w:color="auto"/>
              <w:left w:val="single" w:sz="4" w:space="0" w:color="auto"/>
              <w:bottom w:val="single" w:sz="4" w:space="0" w:color="auto"/>
              <w:right w:val="single" w:sz="4" w:space="0" w:color="auto"/>
            </w:tcBorders>
            <w:vAlign w:val="center"/>
          </w:tcPr>
          <w:p w14:paraId="72F7C5A0" w14:textId="77777777" w:rsidR="005D5A55" w:rsidRPr="005E37BF" w:rsidRDefault="005D5A55" w:rsidP="00147A4E">
            <w:pPr>
              <w:ind w:firstLine="0"/>
              <w:jc w:val="center"/>
              <w:rPr>
                <w:rFonts w:eastAsia="Calibri"/>
                <w:sz w:val="28"/>
                <w:szCs w:val="28"/>
                <w:lang w:eastAsia="ar-SA"/>
              </w:rPr>
            </w:pPr>
            <w:r w:rsidRPr="005E37BF">
              <w:rPr>
                <w:rFonts w:eastAsia="Calibri"/>
                <w:sz w:val="28"/>
                <w:szCs w:val="28"/>
                <w:lang w:eastAsia="ar-SA"/>
              </w:rPr>
              <w:t>104,0</w:t>
            </w:r>
          </w:p>
        </w:tc>
        <w:tc>
          <w:tcPr>
            <w:tcW w:w="1735" w:type="dxa"/>
            <w:tcBorders>
              <w:top w:val="single" w:sz="4" w:space="0" w:color="auto"/>
              <w:left w:val="single" w:sz="4" w:space="0" w:color="auto"/>
              <w:bottom w:val="single" w:sz="4" w:space="0" w:color="auto"/>
              <w:right w:val="single" w:sz="4" w:space="0" w:color="auto"/>
            </w:tcBorders>
            <w:vAlign w:val="center"/>
          </w:tcPr>
          <w:p w14:paraId="26656FD5" w14:textId="5963B7A8" w:rsidR="005D5A55" w:rsidRPr="005E37BF" w:rsidRDefault="005D5A55" w:rsidP="00A03CE7">
            <w:pPr>
              <w:ind w:firstLine="0"/>
              <w:jc w:val="center"/>
              <w:rPr>
                <w:rFonts w:eastAsia="Calibri"/>
                <w:sz w:val="28"/>
                <w:szCs w:val="28"/>
                <w:lang w:eastAsia="ar-SA"/>
              </w:rPr>
            </w:pPr>
            <w:r>
              <w:rPr>
                <w:rFonts w:eastAsia="Calibri"/>
                <w:sz w:val="28"/>
                <w:szCs w:val="28"/>
                <w:lang w:eastAsia="ar-SA"/>
              </w:rPr>
              <w:t>13</w:t>
            </w:r>
            <w:r w:rsidR="00A03CE7">
              <w:rPr>
                <w:rFonts w:eastAsia="Calibri"/>
                <w:sz w:val="28"/>
                <w:szCs w:val="28"/>
                <w:lang w:eastAsia="ar-SA"/>
              </w:rPr>
              <w:t>7</w:t>
            </w:r>
            <w:r>
              <w:rPr>
                <w:rFonts w:eastAsia="Calibri"/>
                <w:sz w:val="28"/>
                <w:szCs w:val="28"/>
                <w:lang w:eastAsia="ar-SA"/>
              </w:rPr>
              <w:t>,1</w:t>
            </w:r>
          </w:p>
        </w:tc>
      </w:tr>
    </w:tbl>
    <w:p w14:paraId="168D1487" w14:textId="77777777" w:rsidR="00562DC3" w:rsidRDefault="00562DC3" w:rsidP="00186BB0">
      <w:pPr>
        <w:pStyle w:val="2a"/>
        <w:spacing w:after="0" w:line="276" w:lineRule="auto"/>
        <w:rPr>
          <w:sz w:val="28"/>
          <w:szCs w:val="28"/>
          <w:shd w:val="clear" w:color="auto" w:fill="FFFFFF"/>
        </w:rPr>
      </w:pPr>
    </w:p>
    <w:p w14:paraId="3F6711B7" w14:textId="50D856F7" w:rsidR="00186BB0" w:rsidRDefault="005D5A55" w:rsidP="00186BB0">
      <w:pPr>
        <w:pStyle w:val="2a"/>
        <w:spacing w:after="0" w:line="276" w:lineRule="auto"/>
        <w:rPr>
          <w:color w:val="000000"/>
          <w:sz w:val="28"/>
          <w:szCs w:val="28"/>
          <w:lang w:eastAsia="ru-RU"/>
        </w:rPr>
      </w:pPr>
      <w:r w:rsidRPr="00186BB0">
        <w:rPr>
          <w:sz w:val="28"/>
          <w:szCs w:val="28"/>
          <w:shd w:val="clear" w:color="auto" w:fill="FFFFFF"/>
        </w:rPr>
        <w:t xml:space="preserve">При этом, уровень обеспеченности населения городского округа Тольятти жильем в 2021 году составит 23,7 кв. м на человека, что на 1,7% выше 2020 года (23,3 </w:t>
      </w:r>
      <w:proofErr w:type="spellStart"/>
      <w:proofErr w:type="gramStart"/>
      <w:r w:rsidRPr="00186BB0">
        <w:rPr>
          <w:sz w:val="28"/>
          <w:szCs w:val="28"/>
          <w:shd w:val="clear" w:color="auto" w:fill="FFFFFF"/>
        </w:rPr>
        <w:t>кв.м</w:t>
      </w:r>
      <w:proofErr w:type="spellEnd"/>
      <w:proofErr w:type="gramEnd"/>
      <w:r w:rsidRPr="00186BB0">
        <w:rPr>
          <w:sz w:val="28"/>
          <w:szCs w:val="28"/>
          <w:shd w:val="clear" w:color="auto" w:fill="FFFFFF"/>
        </w:rPr>
        <w:t>).</w:t>
      </w:r>
      <w:r w:rsidR="00AD43CC" w:rsidRPr="00186BB0">
        <w:rPr>
          <w:sz w:val="28"/>
          <w:szCs w:val="28"/>
          <w:shd w:val="clear" w:color="auto" w:fill="FFFFFF"/>
        </w:rPr>
        <w:t xml:space="preserve"> </w:t>
      </w:r>
      <w:r w:rsidR="00186BB0" w:rsidRPr="00186BB0">
        <w:rPr>
          <w:sz w:val="28"/>
          <w:szCs w:val="28"/>
          <w:shd w:val="clear" w:color="auto" w:fill="FFFFFF"/>
        </w:rPr>
        <w:t xml:space="preserve">Жилая площадь, приходящаяся в среднем на 1 человека, в Самарской области в соответствии с плановым заданием по вводу жилья в 2021 году составит 27,2 кв. метров.  </w:t>
      </w:r>
    </w:p>
    <w:p w14:paraId="483519EE" w14:textId="77777777" w:rsidR="005D5A55" w:rsidRPr="00FA44A8" w:rsidRDefault="005D5A55" w:rsidP="005D5A55">
      <w:pPr>
        <w:suppressAutoHyphens w:val="0"/>
        <w:autoSpaceDE w:val="0"/>
        <w:autoSpaceDN w:val="0"/>
        <w:adjustRightInd w:val="0"/>
        <w:spacing w:line="276" w:lineRule="auto"/>
        <w:rPr>
          <w:rFonts w:eastAsiaTheme="minorEastAsia"/>
          <w:sz w:val="28"/>
          <w:szCs w:val="28"/>
          <w:shd w:val="clear" w:color="auto" w:fill="FFFFFF"/>
          <w:lang w:eastAsia="ru-RU"/>
        </w:rPr>
      </w:pPr>
      <w:r w:rsidRPr="00FA44A8">
        <w:rPr>
          <w:rFonts w:eastAsiaTheme="minorEastAsia"/>
          <w:sz w:val="28"/>
          <w:szCs w:val="28"/>
          <w:shd w:val="clear" w:color="auto" w:fill="FFFFFF"/>
          <w:lang w:eastAsia="ru-RU"/>
        </w:rPr>
        <w:t>На объемы ввода жилья по-прежнему продолжают оказывать влияние следующие негативные факторы:</w:t>
      </w:r>
    </w:p>
    <w:p w14:paraId="3830970E" w14:textId="77777777" w:rsidR="005D5A55" w:rsidRPr="00FA44A8" w:rsidRDefault="005D5A55" w:rsidP="005D5A55">
      <w:pPr>
        <w:suppressAutoHyphens w:val="0"/>
        <w:autoSpaceDE w:val="0"/>
        <w:autoSpaceDN w:val="0"/>
        <w:adjustRightInd w:val="0"/>
        <w:spacing w:line="276" w:lineRule="auto"/>
        <w:rPr>
          <w:rFonts w:eastAsiaTheme="minorEastAsia"/>
          <w:sz w:val="28"/>
          <w:szCs w:val="28"/>
          <w:shd w:val="clear" w:color="auto" w:fill="FFFFFF"/>
          <w:lang w:eastAsia="ru-RU"/>
        </w:rPr>
      </w:pPr>
      <w:r w:rsidRPr="00FA44A8">
        <w:rPr>
          <w:rFonts w:eastAsiaTheme="minorEastAsia"/>
          <w:sz w:val="28"/>
          <w:szCs w:val="28"/>
          <w:shd w:val="clear" w:color="auto" w:fill="FFFFFF"/>
          <w:lang w:eastAsia="ru-RU"/>
        </w:rPr>
        <w:t>-  дефицит свободных финансовых средств у застройщиков;</w:t>
      </w:r>
    </w:p>
    <w:p w14:paraId="3B1FB486" w14:textId="77777777" w:rsidR="005D5A55" w:rsidRPr="00FA44A8" w:rsidRDefault="005D5A55" w:rsidP="005D5A55">
      <w:pPr>
        <w:suppressAutoHyphens w:val="0"/>
        <w:autoSpaceDE w:val="0"/>
        <w:autoSpaceDN w:val="0"/>
        <w:adjustRightInd w:val="0"/>
        <w:spacing w:line="276" w:lineRule="auto"/>
        <w:rPr>
          <w:rFonts w:eastAsiaTheme="minorEastAsia"/>
          <w:sz w:val="28"/>
          <w:szCs w:val="28"/>
          <w:shd w:val="clear" w:color="auto" w:fill="FFFFFF"/>
          <w:lang w:eastAsia="ru-RU"/>
        </w:rPr>
      </w:pPr>
      <w:r w:rsidRPr="00FA44A8">
        <w:rPr>
          <w:rFonts w:eastAsiaTheme="minorEastAsia"/>
          <w:sz w:val="28"/>
          <w:szCs w:val="28"/>
          <w:shd w:val="clear" w:color="auto" w:fill="FFFFFF"/>
          <w:lang w:eastAsia="ru-RU"/>
        </w:rPr>
        <w:lastRenderedPageBreak/>
        <w:t>- отсутствие полного пакета документов о получении разрешения на строительство;</w:t>
      </w:r>
    </w:p>
    <w:p w14:paraId="4A5D5A9C" w14:textId="77777777" w:rsidR="005D5A55" w:rsidRPr="00FA44A8" w:rsidRDefault="005D5A55" w:rsidP="005D5A55">
      <w:pPr>
        <w:suppressAutoHyphens w:val="0"/>
        <w:autoSpaceDE w:val="0"/>
        <w:autoSpaceDN w:val="0"/>
        <w:adjustRightInd w:val="0"/>
        <w:spacing w:line="276" w:lineRule="auto"/>
        <w:rPr>
          <w:rFonts w:eastAsiaTheme="minorEastAsia"/>
          <w:sz w:val="28"/>
          <w:szCs w:val="28"/>
          <w:shd w:val="clear" w:color="auto" w:fill="FFFFFF"/>
          <w:lang w:eastAsia="ru-RU"/>
        </w:rPr>
      </w:pPr>
      <w:r w:rsidRPr="00FA44A8">
        <w:rPr>
          <w:rFonts w:eastAsiaTheme="minorEastAsia"/>
          <w:sz w:val="28"/>
          <w:szCs w:val="28"/>
          <w:shd w:val="clear" w:color="auto" w:fill="FFFFFF"/>
          <w:lang w:eastAsia="ru-RU"/>
        </w:rPr>
        <w:t>- высокий уровень платы за подключение новых объектов строительства к инженерным сетям;</w:t>
      </w:r>
    </w:p>
    <w:p w14:paraId="7A69FC05" w14:textId="77777777" w:rsidR="005D5A55" w:rsidRPr="00FA44A8" w:rsidRDefault="005D5A55" w:rsidP="005D5A55">
      <w:pPr>
        <w:suppressAutoHyphens w:val="0"/>
        <w:autoSpaceDE w:val="0"/>
        <w:autoSpaceDN w:val="0"/>
        <w:adjustRightInd w:val="0"/>
        <w:spacing w:line="276" w:lineRule="auto"/>
        <w:rPr>
          <w:rFonts w:eastAsiaTheme="minorEastAsia"/>
          <w:sz w:val="28"/>
          <w:szCs w:val="28"/>
          <w:shd w:val="clear" w:color="auto" w:fill="FFFFFF"/>
          <w:lang w:eastAsia="ru-RU"/>
        </w:rPr>
      </w:pPr>
      <w:r w:rsidRPr="00FA44A8">
        <w:rPr>
          <w:rFonts w:eastAsiaTheme="minorEastAsia"/>
          <w:sz w:val="28"/>
          <w:szCs w:val="28"/>
          <w:shd w:val="clear" w:color="auto" w:fill="FFFFFF"/>
          <w:lang w:eastAsia="ru-RU"/>
        </w:rPr>
        <w:t>-  сложная и длительная процедура выделения земельных участков под жилищное строительство.</w:t>
      </w:r>
    </w:p>
    <w:p w14:paraId="4EF6347E" w14:textId="77777777" w:rsidR="005D5A55" w:rsidRPr="008A7CE7" w:rsidRDefault="005D5A55" w:rsidP="005D5A55">
      <w:pPr>
        <w:suppressAutoHyphens w:val="0"/>
        <w:autoSpaceDE w:val="0"/>
        <w:autoSpaceDN w:val="0"/>
        <w:adjustRightInd w:val="0"/>
        <w:spacing w:line="276" w:lineRule="auto"/>
        <w:rPr>
          <w:rFonts w:eastAsiaTheme="minorEastAsia"/>
          <w:sz w:val="28"/>
          <w:szCs w:val="28"/>
          <w:shd w:val="clear" w:color="auto" w:fill="FFFFFF"/>
          <w:lang w:eastAsia="ru-RU"/>
        </w:rPr>
      </w:pPr>
      <w:r w:rsidRPr="008A7CE7">
        <w:rPr>
          <w:rFonts w:eastAsiaTheme="minorEastAsia"/>
          <w:sz w:val="28"/>
          <w:szCs w:val="28"/>
          <w:shd w:val="clear" w:color="auto" w:fill="FFFFFF"/>
          <w:lang w:eastAsia="ru-RU"/>
        </w:rPr>
        <w:t>В целях достижения прогнозного значения осуществляется мониторинг объектов жилищного строительства и взаимодействие с министерством строительства Самарской области и Государственной инспекцией строительного надзора по проблемным объектам жилищного строительства.</w:t>
      </w:r>
    </w:p>
    <w:p w14:paraId="5648962C" w14:textId="77777777" w:rsidR="005D5A55" w:rsidRPr="003C1631" w:rsidRDefault="005D5A55" w:rsidP="005D5A55">
      <w:pPr>
        <w:suppressAutoHyphens w:val="0"/>
        <w:autoSpaceDE w:val="0"/>
        <w:autoSpaceDN w:val="0"/>
        <w:adjustRightInd w:val="0"/>
        <w:spacing w:line="276" w:lineRule="auto"/>
        <w:rPr>
          <w:rFonts w:eastAsiaTheme="minorEastAsia"/>
          <w:sz w:val="28"/>
          <w:szCs w:val="28"/>
          <w:shd w:val="clear" w:color="auto" w:fill="FFFFFF"/>
          <w:lang w:eastAsia="ru-RU"/>
        </w:rPr>
      </w:pPr>
      <w:r w:rsidRPr="003C1631">
        <w:rPr>
          <w:rFonts w:eastAsiaTheme="minorEastAsia"/>
          <w:sz w:val="28"/>
          <w:szCs w:val="28"/>
          <w:shd w:val="clear" w:color="auto" w:fill="FFFFFF"/>
          <w:lang w:eastAsia="ru-RU"/>
        </w:rPr>
        <w:t>Мониторинг строительства объектов капитального строительства, в том числе, проблемных объектов долевого строительства на территории городского округа Тольятти осуществляется путем непосредственного взаимодействия с застройщиками, инициативными группами граждан, органами прокуратуры, государственной инспекцией строительного надзора Самарской области, министерством строительства Самарской области.</w:t>
      </w:r>
    </w:p>
    <w:p w14:paraId="39B5EC01" w14:textId="77777777" w:rsidR="005D5A55" w:rsidRPr="008C2E25" w:rsidRDefault="005D5A55" w:rsidP="005D5A55">
      <w:pPr>
        <w:suppressAutoHyphens w:val="0"/>
        <w:autoSpaceDE w:val="0"/>
        <w:autoSpaceDN w:val="0"/>
        <w:adjustRightInd w:val="0"/>
        <w:spacing w:line="276" w:lineRule="auto"/>
        <w:rPr>
          <w:rFonts w:eastAsiaTheme="minorEastAsia"/>
          <w:sz w:val="28"/>
          <w:szCs w:val="28"/>
          <w:shd w:val="clear" w:color="auto" w:fill="FFFFFF"/>
          <w:lang w:eastAsia="ru-RU"/>
        </w:rPr>
      </w:pPr>
      <w:r w:rsidRPr="008C2E25">
        <w:rPr>
          <w:rFonts w:eastAsiaTheme="minorEastAsia"/>
          <w:sz w:val="28"/>
          <w:szCs w:val="28"/>
          <w:shd w:val="clear" w:color="auto" w:fill="FFFFFF"/>
          <w:lang w:eastAsia="ru-RU"/>
        </w:rPr>
        <w:t xml:space="preserve">В перечне проблемных объектов, для строительства которых привлекались денежные средства граждан, утвержденном </w:t>
      </w:r>
      <w:hyperlink r:id="rId9" w:history="1">
        <w:r w:rsidRPr="008C2E25">
          <w:rPr>
            <w:rFonts w:eastAsiaTheme="minorEastAsia"/>
            <w:sz w:val="28"/>
            <w:szCs w:val="28"/>
            <w:shd w:val="clear" w:color="auto" w:fill="FFFFFF"/>
            <w:lang w:eastAsia="ru-RU"/>
          </w:rPr>
          <w:t xml:space="preserve">постановлением Правительства Самарской области от 13.07.2011 № 329 (ред. от 08.07.2021) </w:t>
        </w:r>
      </w:hyperlink>
      <w:r w:rsidRPr="008C2E25">
        <w:rPr>
          <w:rFonts w:eastAsiaTheme="minorEastAsia"/>
          <w:sz w:val="28"/>
          <w:szCs w:val="28"/>
          <w:shd w:val="clear" w:color="auto" w:fill="FFFFFF"/>
          <w:lang w:eastAsia="ru-RU"/>
        </w:rPr>
        <w:t>на территории городского округа Тольятти в настоящее время находится 6 проблемных объектов:</w:t>
      </w:r>
    </w:p>
    <w:p w14:paraId="132BA9EC" w14:textId="77777777" w:rsidR="005D5A55" w:rsidRPr="008C2E25" w:rsidRDefault="005D5A55" w:rsidP="005D5A55">
      <w:pPr>
        <w:suppressAutoHyphens w:val="0"/>
        <w:autoSpaceDE w:val="0"/>
        <w:autoSpaceDN w:val="0"/>
        <w:adjustRightInd w:val="0"/>
        <w:spacing w:line="276" w:lineRule="auto"/>
        <w:rPr>
          <w:rFonts w:eastAsiaTheme="minorEastAsia"/>
          <w:sz w:val="28"/>
          <w:szCs w:val="28"/>
          <w:shd w:val="clear" w:color="auto" w:fill="FFFFFF"/>
          <w:lang w:eastAsia="ru-RU"/>
        </w:rPr>
      </w:pPr>
      <w:r w:rsidRPr="008C2E25">
        <w:rPr>
          <w:rFonts w:eastAsiaTheme="minorEastAsia"/>
          <w:sz w:val="28"/>
          <w:szCs w:val="28"/>
          <w:shd w:val="clear" w:color="auto" w:fill="FFFFFF"/>
          <w:lang w:eastAsia="ru-RU"/>
        </w:rPr>
        <w:t>- комплекс жилых домов переменной этажности (5-14 этажей), расположенный в Автозаводском районе, по ул.40 лет Победы, 5;</w:t>
      </w:r>
    </w:p>
    <w:p w14:paraId="0D22881F" w14:textId="77777777" w:rsidR="005D5A55" w:rsidRPr="008C2E25" w:rsidRDefault="005D5A55" w:rsidP="005D5A55">
      <w:pPr>
        <w:suppressAutoHyphens w:val="0"/>
        <w:autoSpaceDE w:val="0"/>
        <w:autoSpaceDN w:val="0"/>
        <w:adjustRightInd w:val="0"/>
        <w:spacing w:line="276" w:lineRule="auto"/>
        <w:rPr>
          <w:rFonts w:eastAsiaTheme="minorEastAsia"/>
          <w:sz w:val="28"/>
          <w:szCs w:val="28"/>
          <w:shd w:val="clear" w:color="auto" w:fill="FFFFFF"/>
          <w:lang w:eastAsia="ru-RU"/>
        </w:rPr>
      </w:pPr>
      <w:r w:rsidRPr="008C2E25">
        <w:rPr>
          <w:rFonts w:eastAsiaTheme="minorEastAsia"/>
          <w:sz w:val="28"/>
          <w:szCs w:val="28"/>
          <w:shd w:val="clear" w:color="auto" w:fill="FFFFFF"/>
          <w:lang w:eastAsia="ru-RU"/>
        </w:rPr>
        <w:t xml:space="preserve">- жилой комплекс, расположенный по адресу: г. Тольятти, ул. </w:t>
      </w:r>
      <w:proofErr w:type="spellStart"/>
      <w:r w:rsidRPr="008C2E25">
        <w:rPr>
          <w:rFonts w:eastAsiaTheme="minorEastAsia"/>
          <w:sz w:val="28"/>
          <w:szCs w:val="28"/>
          <w:shd w:val="clear" w:color="auto" w:fill="FFFFFF"/>
          <w:lang w:eastAsia="ru-RU"/>
        </w:rPr>
        <w:t>Баныкина</w:t>
      </w:r>
      <w:proofErr w:type="spellEnd"/>
      <w:r w:rsidRPr="008C2E25">
        <w:rPr>
          <w:rFonts w:eastAsiaTheme="minorEastAsia"/>
          <w:sz w:val="28"/>
          <w:szCs w:val="28"/>
          <w:shd w:val="clear" w:color="auto" w:fill="FFFFFF"/>
          <w:lang w:eastAsia="ru-RU"/>
        </w:rPr>
        <w:t>, 5 очередь, поз. 66;</w:t>
      </w:r>
    </w:p>
    <w:p w14:paraId="00CCC862" w14:textId="77777777" w:rsidR="005D5A55" w:rsidRPr="008C2E25" w:rsidRDefault="005D5A55" w:rsidP="005D5A55">
      <w:pPr>
        <w:suppressAutoHyphens w:val="0"/>
        <w:autoSpaceDE w:val="0"/>
        <w:autoSpaceDN w:val="0"/>
        <w:adjustRightInd w:val="0"/>
        <w:spacing w:line="276" w:lineRule="auto"/>
        <w:rPr>
          <w:rFonts w:eastAsiaTheme="minorEastAsia"/>
          <w:sz w:val="28"/>
          <w:szCs w:val="28"/>
          <w:shd w:val="clear" w:color="auto" w:fill="FFFFFF"/>
          <w:lang w:eastAsia="ru-RU"/>
        </w:rPr>
      </w:pPr>
      <w:r w:rsidRPr="008C2E25">
        <w:rPr>
          <w:rFonts w:eastAsiaTheme="minorEastAsia"/>
          <w:sz w:val="28"/>
          <w:szCs w:val="28"/>
          <w:shd w:val="clear" w:color="auto" w:fill="FFFFFF"/>
          <w:lang w:eastAsia="ru-RU"/>
        </w:rPr>
        <w:t>- жилой дом, расположенный в Автозаводском районе, квартал 20, Южное шоссе, в юго-восточном торце жилого дома № 45;</w:t>
      </w:r>
    </w:p>
    <w:p w14:paraId="4B301724" w14:textId="77777777" w:rsidR="005D5A55" w:rsidRPr="008C2E25" w:rsidRDefault="005D5A55" w:rsidP="005D5A55">
      <w:pPr>
        <w:suppressAutoHyphens w:val="0"/>
        <w:autoSpaceDE w:val="0"/>
        <w:autoSpaceDN w:val="0"/>
        <w:adjustRightInd w:val="0"/>
        <w:spacing w:line="276" w:lineRule="auto"/>
        <w:rPr>
          <w:rFonts w:eastAsiaTheme="minorEastAsia"/>
          <w:sz w:val="28"/>
          <w:szCs w:val="28"/>
          <w:shd w:val="clear" w:color="auto" w:fill="FFFFFF"/>
          <w:lang w:eastAsia="ru-RU"/>
        </w:rPr>
      </w:pPr>
      <w:r w:rsidRPr="008C2E25">
        <w:rPr>
          <w:rFonts w:eastAsiaTheme="minorEastAsia"/>
          <w:sz w:val="28"/>
          <w:szCs w:val="28"/>
          <w:shd w:val="clear" w:color="auto" w:fill="FFFFFF"/>
          <w:lang w:eastAsia="ru-RU"/>
        </w:rPr>
        <w:t xml:space="preserve">- 7-ми этажный жилой дом, расположенный в Центральном районе, ул. Ларина, 2; </w:t>
      </w:r>
    </w:p>
    <w:p w14:paraId="0EF49B1F" w14:textId="77777777" w:rsidR="005D5A55" w:rsidRPr="008C2E25" w:rsidRDefault="005D5A55" w:rsidP="005D5A55">
      <w:pPr>
        <w:suppressAutoHyphens w:val="0"/>
        <w:autoSpaceDE w:val="0"/>
        <w:autoSpaceDN w:val="0"/>
        <w:adjustRightInd w:val="0"/>
        <w:spacing w:line="276" w:lineRule="auto"/>
        <w:rPr>
          <w:rFonts w:eastAsiaTheme="minorEastAsia"/>
          <w:sz w:val="28"/>
          <w:szCs w:val="28"/>
          <w:shd w:val="clear" w:color="auto" w:fill="FFFFFF"/>
          <w:lang w:eastAsia="ru-RU"/>
        </w:rPr>
      </w:pPr>
      <w:r w:rsidRPr="008C2E25">
        <w:rPr>
          <w:rFonts w:eastAsiaTheme="minorEastAsia"/>
          <w:sz w:val="28"/>
          <w:szCs w:val="28"/>
          <w:shd w:val="clear" w:color="auto" w:fill="FFFFFF"/>
          <w:lang w:eastAsia="ru-RU"/>
        </w:rPr>
        <w:t>- жилой дом, расположенный в Комсомольском районе, юго-восточнее пересечения</w:t>
      </w:r>
      <w:r>
        <w:rPr>
          <w:rFonts w:eastAsiaTheme="minorEastAsia"/>
          <w:sz w:val="28"/>
          <w:szCs w:val="28"/>
          <w:shd w:val="clear" w:color="auto" w:fill="FFFFFF"/>
          <w:lang w:eastAsia="ru-RU"/>
        </w:rPr>
        <w:t xml:space="preserve"> </w:t>
      </w:r>
      <w:r w:rsidRPr="008C2E25">
        <w:rPr>
          <w:rFonts w:eastAsiaTheme="minorEastAsia"/>
          <w:sz w:val="28"/>
          <w:szCs w:val="28"/>
          <w:shd w:val="clear" w:color="auto" w:fill="FFFFFF"/>
          <w:lang w:eastAsia="ru-RU"/>
        </w:rPr>
        <w:t>ул. Коммунистической и ул. Матросова;</w:t>
      </w:r>
    </w:p>
    <w:p w14:paraId="58EFA770" w14:textId="77777777" w:rsidR="005D5A55" w:rsidRPr="008C2E25" w:rsidRDefault="005D5A55" w:rsidP="005D5A55">
      <w:pPr>
        <w:suppressAutoHyphens w:val="0"/>
        <w:autoSpaceDE w:val="0"/>
        <w:autoSpaceDN w:val="0"/>
        <w:adjustRightInd w:val="0"/>
        <w:spacing w:line="276" w:lineRule="auto"/>
        <w:rPr>
          <w:rFonts w:eastAsiaTheme="minorEastAsia"/>
          <w:sz w:val="28"/>
          <w:szCs w:val="28"/>
          <w:shd w:val="clear" w:color="auto" w:fill="FFFFFF"/>
          <w:lang w:eastAsia="ru-RU"/>
        </w:rPr>
      </w:pPr>
      <w:r w:rsidRPr="008C2E25">
        <w:rPr>
          <w:rFonts w:eastAsiaTheme="minorEastAsia"/>
          <w:sz w:val="28"/>
          <w:szCs w:val="28"/>
          <w:shd w:val="clear" w:color="auto" w:fill="FFFFFF"/>
          <w:lang w:eastAsia="ru-RU"/>
        </w:rPr>
        <w:t>- жилой дом, расположенный в Комсомольском районе, юго-западнее здания по ул. Коммунистическая, 12.</w:t>
      </w:r>
    </w:p>
    <w:p w14:paraId="7CF74FD9" w14:textId="77777777" w:rsidR="005D5A55" w:rsidRPr="008C2E25" w:rsidRDefault="005D5A55" w:rsidP="005D5A55">
      <w:pPr>
        <w:suppressAutoHyphens w:val="0"/>
        <w:autoSpaceDE w:val="0"/>
        <w:autoSpaceDN w:val="0"/>
        <w:adjustRightInd w:val="0"/>
        <w:spacing w:line="276" w:lineRule="auto"/>
        <w:rPr>
          <w:rFonts w:eastAsiaTheme="minorEastAsia"/>
          <w:sz w:val="28"/>
          <w:szCs w:val="28"/>
          <w:shd w:val="clear" w:color="auto" w:fill="FFFFFF"/>
          <w:lang w:eastAsia="ru-RU"/>
        </w:rPr>
      </w:pPr>
      <w:r w:rsidRPr="008C2E25">
        <w:rPr>
          <w:rFonts w:eastAsiaTheme="minorEastAsia"/>
          <w:sz w:val="28"/>
          <w:szCs w:val="28"/>
          <w:shd w:val="clear" w:color="auto" w:fill="FFFFFF"/>
          <w:lang w:eastAsia="ru-RU"/>
        </w:rPr>
        <w:t>Восстановление строительной отрасли города напрямую зависит от увеличения платежеспособности населения для приобретения жилья, повышения инвестиционного спроса на недвижимость, активности участия строительных компаний городского округа Тольятти в федеральных и областных программах.</w:t>
      </w:r>
    </w:p>
    <w:p w14:paraId="36BF21B5" w14:textId="1C6A1C3D" w:rsidR="005D5A55" w:rsidRPr="00EA2EA7" w:rsidRDefault="005D5A55" w:rsidP="005D5A55">
      <w:pPr>
        <w:suppressAutoHyphens w:val="0"/>
        <w:autoSpaceDE w:val="0"/>
        <w:autoSpaceDN w:val="0"/>
        <w:adjustRightInd w:val="0"/>
        <w:spacing w:line="276" w:lineRule="auto"/>
        <w:rPr>
          <w:rFonts w:eastAsiaTheme="minorEastAsia"/>
          <w:sz w:val="28"/>
          <w:szCs w:val="28"/>
          <w:lang w:eastAsia="ru-RU"/>
        </w:rPr>
      </w:pPr>
      <w:r w:rsidRPr="00EA2EA7">
        <w:rPr>
          <w:rFonts w:eastAsiaTheme="minorEastAsia"/>
          <w:sz w:val="28"/>
          <w:szCs w:val="28"/>
          <w:lang w:eastAsia="ru-RU"/>
        </w:rPr>
        <w:lastRenderedPageBreak/>
        <w:t>На территории городского округа Тольятти реализуется государственная программа Самарской области «Развитие жилищного строительства в Самарской области» до 2024 года</w:t>
      </w:r>
      <w:r w:rsidR="004C7E0C">
        <w:rPr>
          <w:rFonts w:eastAsiaTheme="minorEastAsia"/>
          <w:sz w:val="28"/>
          <w:szCs w:val="28"/>
          <w:lang w:eastAsia="ru-RU"/>
        </w:rPr>
        <w:t xml:space="preserve">, </w:t>
      </w:r>
      <w:r w:rsidR="003D6FC4">
        <w:rPr>
          <w:rFonts w:eastAsiaTheme="minorEastAsia"/>
          <w:sz w:val="28"/>
          <w:szCs w:val="28"/>
          <w:lang w:eastAsia="ru-RU"/>
        </w:rPr>
        <w:t>у</w:t>
      </w:r>
      <w:r w:rsidR="003D6FC4" w:rsidRPr="003D6FC4">
        <w:rPr>
          <w:sz w:val="28"/>
          <w:szCs w:val="28"/>
          <w:lang w:eastAsia="ru-RU"/>
        </w:rPr>
        <w:t xml:space="preserve">твержденная постановлением Правительства Самарской области от 27 ноября 2013 </w:t>
      </w:r>
      <w:r w:rsidR="003D6FC4">
        <w:rPr>
          <w:sz w:val="28"/>
          <w:szCs w:val="28"/>
          <w:lang w:eastAsia="ru-RU"/>
        </w:rPr>
        <w:t>№</w:t>
      </w:r>
      <w:r w:rsidR="003D6FC4" w:rsidRPr="003D6FC4">
        <w:rPr>
          <w:sz w:val="28"/>
          <w:szCs w:val="28"/>
          <w:lang w:eastAsia="ru-RU"/>
        </w:rPr>
        <w:t xml:space="preserve"> 684</w:t>
      </w:r>
      <w:r w:rsidR="003D6FC4">
        <w:rPr>
          <w:sz w:val="28"/>
          <w:szCs w:val="28"/>
          <w:lang w:eastAsia="ru-RU"/>
        </w:rPr>
        <w:t>.</w:t>
      </w:r>
    </w:p>
    <w:p w14:paraId="35E8DBC8" w14:textId="496BBFAC" w:rsidR="003D6FC4" w:rsidRPr="003D6FC4" w:rsidRDefault="005D5A55" w:rsidP="003D6FC4">
      <w:pPr>
        <w:spacing w:line="276" w:lineRule="auto"/>
        <w:rPr>
          <w:rFonts w:eastAsia="Calibri"/>
          <w:color w:val="000000"/>
          <w:sz w:val="28"/>
          <w:szCs w:val="28"/>
          <w:shd w:val="clear" w:color="auto" w:fill="FFFFFF"/>
          <w:lang w:eastAsia="en-US"/>
        </w:rPr>
      </w:pPr>
      <w:r w:rsidRPr="008C2E25">
        <w:rPr>
          <w:rFonts w:eastAsiaTheme="minorEastAsia"/>
          <w:sz w:val="28"/>
          <w:szCs w:val="28"/>
          <w:shd w:val="clear" w:color="auto" w:fill="FFFFFF"/>
          <w:lang w:eastAsia="ru-RU"/>
        </w:rPr>
        <w:t xml:space="preserve">Предоставление молодым семьям социальных выплат осуществляется в рамках реализации подпрограммы «Оказание государственной поддержки гражданам в обеспечении жильем и оплате жилищно-коммунальных услуг» государственной программы </w:t>
      </w:r>
      <w:r w:rsidR="004C7E0C">
        <w:rPr>
          <w:rFonts w:eastAsiaTheme="minorEastAsia"/>
          <w:sz w:val="28"/>
          <w:szCs w:val="28"/>
          <w:shd w:val="clear" w:color="auto" w:fill="FFFFFF"/>
          <w:lang w:eastAsia="ru-RU"/>
        </w:rPr>
        <w:t>Российской Федерации</w:t>
      </w:r>
      <w:r w:rsidRPr="008C2E25">
        <w:rPr>
          <w:rFonts w:eastAsiaTheme="minorEastAsia"/>
          <w:sz w:val="28"/>
          <w:szCs w:val="28"/>
          <w:shd w:val="clear" w:color="auto" w:fill="FFFFFF"/>
          <w:lang w:eastAsia="ru-RU"/>
        </w:rPr>
        <w:t xml:space="preserve"> «Обеспечение доступным и комфортным жильем и коммунальными услугами граждан Российской Федерации», утвержденной постановлением Правительства </w:t>
      </w:r>
      <w:r w:rsidR="004C7E0C">
        <w:rPr>
          <w:rFonts w:eastAsiaTheme="minorEastAsia"/>
          <w:sz w:val="28"/>
          <w:szCs w:val="28"/>
          <w:shd w:val="clear" w:color="auto" w:fill="FFFFFF"/>
          <w:lang w:eastAsia="ru-RU"/>
        </w:rPr>
        <w:t>Российской Федерации от 30.12.2017 № </w:t>
      </w:r>
      <w:r w:rsidRPr="008C2E25">
        <w:rPr>
          <w:rFonts w:eastAsiaTheme="minorEastAsia"/>
          <w:sz w:val="28"/>
          <w:szCs w:val="28"/>
          <w:shd w:val="clear" w:color="auto" w:fill="FFFFFF"/>
          <w:lang w:eastAsia="ru-RU"/>
        </w:rPr>
        <w:t>1710, подпрограммы «Молодой семье – доступное жилье» до 2022 года государственной программы Самарской области «Развитие жилищного строительства в Самарской области» до 2024 года, муниципальной программы городского округа Тольятти «Молодой семье – доступное жилье» на 2014-2025 годы</w:t>
      </w:r>
      <w:r w:rsidR="004C7E0C">
        <w:rPr>
          <w:rFonts w:eastAsiaTheme="minorEastAsia"/>
          <w:sz w:val="28"/>
          <w:szCs w:val="28"/>
          <w:shd w:val="clear" w:color="auto" w:fill="FFFFFF"/>
          <w:lang w:eastAsia="ru-RU"/>
        </w:rPr>
        <w:t xml:space="preserve">, </w:t>
      </w:r>
      <w:r w:rsidR="003D6FC4">
        <w:rPr>
          <w:rFonts w:eastAsia="Calibri"/>
          <w:color w:val="000000"/>
          <w:sz w:val="28"/>
          <w:szCs w:val="28"/>
          <w:lang w:eastAsia="en-US"/>
        </w:rPr>
        <w:t>у</w:t>
      </w:r>
      <w:r w:rsidR="003D6FC4" w:rsidRPr="003D6FC4">
        <w:rPr>
          <w:rFonts w:eastAsia="Calibri"/>
          <w:color w:val="000000"/>
          <w:sz w:val="28"/>
          <w:szCs w:val="28"/>
          <w:lang w:eastAsia="en-US"/>
        </w:rPr>
        <w:t>твержденной п</w:t>
      </w:r>
      <w:r w:rsidR="003D6FC4" w:rsidRPr="003D6FC4">
        <w:rPr>
          <w:rFonts w:eastAsia="Calibri"/>
          <w:color w:val="000000"/>
          <w:sz w:val="28"/>
          <w:szCs w:val="28"/>
          <w:shd w:val="clear" w:color="auto" w:fill="FFFFFF"/>
          <w:lang w:eastAsia="en-US"/>
        </w:rPr>
        <w:t>остановлением мэрии городского округа Тольятти № 3155-п/1 от 11.10.2013.</w:t>
      </w:r>
    </w:p>
    <w:p w14:paraId="1C18CD65" w14:textId="77777777" w:rsidR="005D5A55" w:rsidRPr="002C1058" w:rsidRDefault="005D5A55" w:rsidP="005D5A55">
      <w:pPr>
        <w:suppressAutoHyphens w:val="0"/>
        <w:autoSpaceDE w:val="0"/>
        <w:autoSpaceDN w:val="0"/>
        <w:adjustRightInd w:val="0"/>
        <w:spacing w:line="276" w:lineRule="auto"/>
        <w:rPr>
          <w:rFonts w:eastAsiaTheme="minorEastAsia"/>
          <w:sz w:val="28"/>
          <w:szCs w:val="28"/>
          <w:lang w:eastAsia="ru-RU"/>
        </w:rPr>
      </w:pPr>
      <w:r w:rsidRPr="002C1058">
        <w:rPr>
          <w:rFonts w:eastAsiaTheme="minorEastAsia"/>
          <w:sz w:val="28"/>
          <w:szCs w:val="28"/>
          <w:lang w:eastAsia="ru-RU"/>
        </w:rPr>
        <w:t xml:space="preserve">Выполнение мероприятий подпрограммы обеспечивается </w:t>
      </w:r>
      <w:proofErr w:type="spellStart"/>
      <w:r w:rsidRPr="002C1058">
        <w:rPr>
          <w:rFonts w:eastAsiaTheme="minorEastAsia"/>
          <w:sz w:val="28"/>
          <w:szCs w:val="28"/>
          <w:lang w:eastAsia="ru-RU"/>
        </w:rPr>
        <w:t>софинансированием</w:t>
      </w:r>
      <w:proofErr w:type="spellEnd"/>
      <w:r w:rsidRPr="002C1058">
        <w:rPr>
          <w:rFonts w:eastAsiaTheme="minorEastAsia"/>
          <w:sz w:val="28"/>
          <w:szCs w:val="28"/>
          <w:lang w:eastAsia="ru-RU"/>
        </w:rPr>
        <w:t xml:space="preserve"> средств федерального бюджета, бюджета Самарской области и бюджета городского округа Тольятти.</w:t>
      </w:r>
    </w:p>
    <w:p w14:paraId="7E8C693D" w14:textId="77777777" w:rsidR="005D5A55" w:rsidRDefault="005D5A55" w:rsidP="005D5A55">
      <w:pPr>
        <w:suppressAutoHyphens w:val="0"/>
        <w:autoSpaceDE w:val="0"/>
        <w:autoSpaceDN w:val="0"/>
        <w:adjustRightInd w:val="0"/>
        <w:spacing w:line="276" w:lineRule="auto"/>
        <w:rPr>
          <w:rFonts w:eastAsiaTheme="minorEastAsia"/>
          <w:sz w:val="28"/>
          <w:szCs w:val="28"/>
          <w:lang w:eastAsia="ru-RU"/>
        </w:rPr>
      </w:pPr>
      <w:r w:rsidRPr="00EA2EA7">
        <w:rPr>
          <w:rFonts w:eastAsiaTheme="minorEastAsia"/>
          <w:sz w:val="28"/>
          <w:szCs w:val="28"/>
          <w:lang w:eastAsia="ru-RU"/>
        </w:rPr>
        <w:t>В 2021 году в число получателей социальной выплаты из списка молодых семей – претендентов, утвержденного Губернатором Самарской области, вошли 419 молодых семей городского округа Тольятти.</w:t>
      </w:r>
    </w:p>
    <w:p w14:paraId="6BAE4949" w14:textId="07C74BD8" w:rsidR="005D5A55" w:rsidRPr="00EA2EA7" w:rsidRDefault="00E8131C" w:rsidP="004C7E0C">
      <w:pPr>
        <w:suppressAutoHyphens w:val="0"/>
        <w:spacing w:line="276" w:lineRule="auto"/>
        <w:rPr>
          <w:rFonts w:eastAsiaTheme="minorEastAsia"/>
          <w:sz w:val="28"/>
          <w:szCs w:val="28"/>
          <w:lang w:eastAsia="ru-RU"/>
        </w:rPr>
      </w:pPr>
      <w:r w:rsidRPr="00E8131C">
        <w:rPr>
          <w:rFonts w:eastAsiaTheme="minorEastAsia"/>
          <w:sz w:val="28"/>
          <w:szCs w:val="28"/>
          <w:lang w:eastAsia="ru-RU"/>
        </w:rPr>
        <w:t xml:space="preserve">В 2021 году </w:t>
      </w:r>
      <w:r w:rsidRPr="00EA2EA7">
        <w:rPr>
          <w:rFonts w:eastAsiaTheme="minorEastAsia"/>
          <w:sz w:val="28"/>
          <w:szCs w:val="28"/>
          <w:lang w:eastAsia="ru-RU"/>
        </w:rPr>
        <w:t xml:space="preserve">на предоставление социальных выплат на улучшение жилищных условий молодых семей </w:t>
      </w:r>
      <w:r>
        <w:rPr>
          <w:rFonts w:eastAsiaTheme="minorEastAsia"/>
          <w:sz w:val="28"/>
          <w:szCs w:val="28"/>
          <w:lang w:eastAsia="ru-RU"/>
        </w:rPr>
        <w:t>городского округа Тольятти предусмотрены</w:t>
      </w:r>
      <w:r w:rsidRPr="00E8131C">
        <w:rPr>
          <w:rFonts w:eastAsiaTheme="minorEastAsia"/>
          <w:sz w:val="28"/>
          <w:szCs w:val="28"/>
          <w:lang w:eastAsia="ru-RU"/>
        </w:rPr>
        <w:t xml:space="preserve"> средства в общей сумме </w:t>
      </w:r>
      <w:r>
        <w:rPr>
          <w:rFonts w:eastAsiaTheme="minorEastAsia"/>
          <w:sz w:val="28"/>
          <w:szCs w:val="28"/>
          <w:lang w:eastAsia="ru-RU"/>
        </w:rPr>
        <w:t xml:space="preserve">358 885,9 </w:t>
      </w:r>
      <w:r w:rsidRPr="00E8131C">
        <w:rPr>
          <w:rFonts w:eastAsiaTheme="minorEastAsia"/>
          <w:sz w:val="28"/>
          <w:szCs w:val="28"/>
          <w:lang w:eastAsia="ru-RU"/>
        </w:rPr>
        <w:t xml:space="preserve">тыс. рублей, в том числе: средства федерального бюджета </w:t>
      </w:r>
      <w:r>
        <w:rPr>
          <w:rFonts w:eastAsiaTheme="minorEastAsia"/>
          <w:sz w:val="28"/>
          <w:szCs w:val="28"/>
          <w:lang w:eastAsia="ru-RU"/>
        </w:rPr>
        <w:t>-</w:t>
      </w:r>
      <w:r w:rsidRPr="00E8131C">
        <w:rPr>
          <w:rFonts w:eastAsiaTheme="minorEastAsia"/>
          <w:sz w:val="28"/>
          <w:szCs w:val="28"/>
          <w:lang w:eastAsia="ru-RU"/>
        </w:rPr>
        <w:t xml:space="preserve"> 45 861,2 тыс. рублей; средства областного бюджета </w:t>
      </w:r>
      <w:r>
        <w:rPr>
          <w:rFonts w:eastAsiaTheme="minorEastAsia"/>
          <w:sz w:val="28"/>
          <w:szCs w:val="28"/>
          <w:lang w:eastAsia="ru-RU"/>
        </w:rPr>
        <w:t>-</w:t>
      </w:r>
      <w:r w:rsidRPr="00E8131C">
        <w:rPr>
          <w:rFonts w:eastAsiaTheme="minorEastAsia"/>
          <w:sz w:val="28"/>
          <w:szCs w:val="28"/>
          <w:lang w:eastAsia="ru-RU"/>
        </w:rPr>
        <w:t xml:space="preserve"> 181 232,7 тыс. рублей</w:t>
      </w:r>
      <w:r>
        <w:rPr>
          <w:rFonts w:eastAsiaTheme="minorEastAsia"/>
          <w:sz w:val="28"/>
          <w:szCs w:val="28"/>
          <w:lang w:eastAsia="ru-RU"/>
        </w:rPr>
        <w:t>, средства</w:t>
      </w:r>
      <w:r w:rsidR="005D5A55" w:rsidRPr="00EA2EA7">
        <w:rPr>
          <w:rFonts w:eastAsiaTheme="minorEastAsia"/>
          <w:sz w:val="28"/>
          <w:szCs w:val="28"/>
          <w:lang w:eastAsia="ru-RU"/>
        </w:rPr>
        <w:t xml:space="preserve"> бюджет</w:t>
      </w:r>
      <w:r>
        <w:rPr>
          <w:rFonts w:eastAsiaTheme="minorEastAsia"/>
          <w:sz w:val="28"/>
          <w:szCs w:val="28"/>
          <w:lang w:eastAsia="ru-RU"/>
        </w:rPr>
        <w:t>а</w:t>
      </w:r>
      <w:r w:rsidR="005D5A55" w:rsidRPr="00EA2EA7">
        <w:rPr>
          <w:rFonts w:eastAsiaTheme="minorEastAsia"/>
          <w:sz w:val="28"/>
          <w:szCs w:val="28"/>
          <w:lang w:eastAsia="ru-RU"/>
        </w:rPr>
        <w:t xml:space="preserve"> городского округа Тольятти </w:t>
      </w:r>
      <w:r>
        <w:rPr>
          <w:rFonts w:eastAsiaTheme="minorEastAsia"/>
          <w:sz w:val="28"/>
          <w:szCs w:val="28"/>
          <w:lang w:eastAsia="ru-RU"/>
        </w:rPr>
        <w:t>-</w:t>
      </w:r>
      <w:r w:rsidR="005D5A55" w:rsidRPr="00EA2EA7">
        <w:rPr>
          <w:rFonts w:eastAsiaTheme="minorEastAsia"/>
          <w:sz w:val="28"/>
          <w:szCs w:val="28"/>
          <w:lang w:eastAsia="ru-RU"/>
        </w:rPr>
        <w:t xml:space="preserve"> 131792</w:t>
      </w:r>
      <w:r w:rsidR="005D5A55">
        <w:rPr>
          <w:rFonts w:eastAsiaTheme="minorEastAsia"/>
          <w:sz w:val="28"/>
          <w:szCs w:val="28"/>
          <w:lang w:eastAsia="ru-RU"/>
        </w:rPr>
        <w:t>,0 тыс. руб</w:t>
      </w:r>
      <w:r w:rsidR="00AD43CC">
        <w:rPr>
          <w:rFonts w:eastAsiaTheme="minorEastAsia"/>
          <w:sz w:val="28"/>
          <w:szCs w:val="28"/>
          <w:lang w:eastAsia="ru-RU"/>
        </w:rPr>
        <w:t>лей</w:t>
      </w:r>
      <w:r w:rsidR="005D5A55">
        <w:rPr>
          <w:rFonts w:eastAsiaTheme="minorEastAsia"/>
          <w:sz w:val="28"/>
          <w:szCs w:val="28"/>
          <w:lang w:eastAsia="ru-RU"/>
        </w:rPr>
        <w:t xml:space="preserve">. </w:t>
      </w:r>
      <w:r w:rsidR="005D5A55" w:rsidRPr="00EA2EA7">
        <w:rPr>
          <w:rFonts w:eastAsiaTheme="minorEastAsia"/>
          <w:sz w:val="28"/>
          <w:szCs w:val="28"/>
          <w:lang w:eastAsia="ru-RU"/>
        </w:rPr>
        <w:t>На 01.07.2021 свидетельства о праве на получение социальной выплаты получили 411 молодых семей.</w:t>
      </w:r>
    </w:p>
    <w:p w14:paraId="183E66BD" w14:textId="77777777" w:rsidR="005D5A55" w:rsidRDefault="005D5A55" w:rsidP="005D5A55">
      <w:pPr>
        <w:suppressAutoHyphens w:val="0"/>
        <w:autoSpaceDE w:val="0"/>
        <w:autoSpaceDN w:val="0"/>
        <w:adjustRightInd w:val="0"/>
        <w:spacing w:line="276" w:lineRule="auto"/>
        <w:rPr>
          <w:rFonts w:eastAsiaTheme="minorEastAsia"/>
          <w:sz w:val="28"/>
          <w:szCs w:val="28"/>
          <w:lang w:eastAsia="ru-RU"/>
        </w:rPr>
      </w:pPr>
      <w:r w:rsidRPr="00C72B7B">
        <w:rPr>
          <w:rFonts w:eastAsiaTheme="minorEastAsia"/>
          <w:sz w:val="28"/>
          <w:szCs w:val="28"/>
          <w:lang w:eastAsia="ru-RU"/>
        </w:rPr>
        <w:t>В отчетном периоде был утвержден норматив стоимости 1 квадратного метра общей площади жилого помещения по городскому округу Тольятти на 1 и 2 кварталы 2021 года для расчета размеров социальных выплат молодым семьям в размере 36 674 рублей.</w:t>
      </w:r>
    </w:p>
    <w:p w14:paraId="3185D1C4" w14:textId="72900643" w:rsidR="000308E8" w:rsidRPr="00C72B7B" w:rsidRDefault="000308E8" w:rsidP="000308E8">
      <w:pPr>
        <w:pStyle w:val="aff0"/>
        <w:spacing w:line="276" w:lineRule="auto"/>
        <w:rPr>
          <w:rFonts w:eastAsiaTheme="minorEastAsia"/>
          <w:szCs w:val="28"/>
          <w:lang w:eastAsia="ru-RU"/>
        </w:rPr>
      </w:pPr>
      <w:r w:rsidRPr="00DC6890">
        <w:rPr>
          <w:szCs w:val="28"/>
          <w:shd w:val="clear" w:color="auto" w:fill="FFFFFF"/>
        </w:rPr>
        <w:t>При этом, во втором квартале 2021 года средние цены жилых помещений разных типов по Самарской области за 1 кв. м общей площади показывают рост как на первичном, так и вторичном рынках жилья: на первичном рынке рост к 1 кварталу 2021 года составил 101,3%</w:t>
      </w:r>
      <w:r w:rsidR="008B7738" w:rsidRPr="00DC6890">
        <w:rPr>
          <w:szCs w:val="28"/>
          <w:shd w:val="clear" w:color="auto" w:fill="FFFFFF"/>
        </w:rPr>
        <w:t xml:space="preserve"> (</w:t>
      </w:r>
      <w:r w:rsidR="00DC6890" w:rsidRPr="00DC6890">
        <w:rPr>
          <w:szCs w:val="28"/>
          <w:shd w:val="clear" w:color="auto" w:fill="FFFFFF"/>
        </w:rPr>
        <w:t>58276 рублей</w:t>
      </w:r>
      <w:r w:rsidR="008B7738" w:rsidRPr="00DC6890">
        <w:rPr>
          <w:szCs w:val="28"/>
          <w:shd w:val="clear" w:color="auto" w:fill="FFFFFF"/>
        </w:rPr>
        <w:t>)</w:t>
      </w:r>
      <w:r w:rsidRPr="00DC6890">
        <w:rPr>
          <w:szCs w:val="28"/>
          <w:shd w:val="clear" w:color="auto" w:fill="FFFFFF"/>
        </w:rPr>
        <w:t>, на вторичном – 103,3%</w:t>
      </w:r>
      <w:r w:rsidR="008B7738" w:rsidRPr="00DC6890">
        <w:rPr>
          <w:szCs w:val="28"/>
          <w:shd w:val="clear" w:color="auto" w:fill="FFFFFF"/>
        </w:rPr>
        <w:t xml:space="preserve"> (</w:t>
      </w:r>
      <w:r w:rsidR="00DC6890" w:rsidRPr="00DC6890">
        <w:rPr>
          <w:szCs w:val="28"/>
          <w:shd w:val="clear" w:color="auto" w:fill="FFFFFF"/>
        </w:rPr>
        <w:t>53344 рубля</w:t>
      </w:r>
      <w:r w:rsidR="008B7738" w:rsidRPr="00DC6890">
        <w:rPr>
          <w:szCs w:val="28"/>
          <w:shd w:val="clear" w:color="auto" w:fill="FFFFFF"/>
        </w:rPr>
        <w:t>)</w:t>
      </w:r>
      <w:r w:rsidRPr="00DC6890">
        <w:rPr>
          <w:szCs w:val="28"/>
          <w:shd w:val="clear" w:color="auto" w:fill="FFFFFF"/>
        </w:rPr>
        <w:t>.</w:t>
      </w:r>
    </w:p>
    <w:p w14:paraId="2CF825D2" w14:textId="77777777" w:rsidR="005D5A55" w:rsidRPr="00C72B7B" w:rsidRDefault="005D5A55" w:rsidP="007B1223">
      <w:pPr>
        <w:suppressAutoHyphens w:val="0"/>
        <w:autoSpaceDE w:val="0"/>
        <w:autoSpaceDN w:val="0"/>
        <w:adjustRightInd w:val="0"/>
        <w:spacing w:line="276" w:lineRule="auto"/>
        <w:rPr>
          <w:rFonts w:eastAsiaTheme="minorEastAsia"/>
          <w:sz w:val="28"/>
          <w:szCs w:val="28"/>
          <w:lang w:eastAsia="ru-RU"/>
        </w:rPr>
      </w:pPr>
      <w:r w:rsidRPr="00C72B7B">
        <w:rPr>
          <w:rFonts w:eastAsiaTheme="minorEastAsia"/>
          <w:sz w:val="28"/>
          <w:szCs w:val="28"/>
          <w:lang w:eastAsia="ru-RU"/>
        </w:rPr>
        <w:lastRenderedPageBreak/>
        <w:t>По состоянию на 01.07.2021 на учете для обеспечения жилыми помещениями за счет средств федерального и областного бюджетов состоят 420 получателей из числа льготных категорий граждан в соответствии с действующим законодательством Российской Федерации.</w:t>
      </w:r>
    </w:p>
    <w:p w14:paraId="46CFB5DE" w14:textId="2DB749E1" w:rsidR="005D5A55" w:rsidRDefault="005D5A55" w:rsidP="0051326A">
      <w:pPr>
        <w:suppressAutoHyphens w:val="0"/>
        <w:autoSpaceDE w:val="0"/>
        <w:autoSpaceDN w:val="0"/>
        <w:adjustRightInd w:val="0"/>
        <w:spacing w:line="276" w:lineRule="auto"/>
        <w:rPr>
          <w:rFonts w:eastAsiaTheme="minorEastAsia"/>
          <w:sz w:val="28"/>
          <w:szCs w:val="28"/>
          <w:lang w:eastAsia="ru-RU"/>
        </w:rPr>
      </w:pPr>
      <w:r w:rsidRPr="007B1223">
        <w:rPr>
          <w:rFonts w:eastAsiaTheme="minorEastAsia"/>
          <w:sz w:val="28"/>
          <w:szCs w:val="28"/>
          <w:lang w:eastAsia="ru-RU"/>
        </w:rPr>
        <w:t xml:space="preserve">В </w:t>
      </w:r>
      <w:r w:rsidR="002E3A48">
        <w:rPr>
          <w:rFonts w:eastAsiaTheme="minorEastAsia"/>
          <w:sz w:val="28"/>
          <w:szCs w:val="28"/>
          <w:lang w:val="en-US" w:eastAsia="ru-RU"/>
        </w:rPr>
        <w:t>I</w:t>
      </w:r>
      <w:r w:rsidRPr="007B1223">
        <w:rPr>
          <w:rFonts w:eastAsiaTheme="minorEastAsia"/>
          <w:sz w:val="28"/>
          <w:szCs w:val="28"/>
          <w:lang w:eastAsia="ru-RU"/>
        </w:rPr>
        <w:t xml:space="preserve"> полугодии 2021 года перечислены субвенции в размере 9 9</w:t>
      </w:r>
      <w:r w:rsidR="00A3681F">
        <w:rPr>
          <w:rFonts w:eastAsiaTheme="minorEastAsia"/>
          <w:sz w:val="28"/>
          <w:szCs w:val="28"/>
          <w:lang w:eastAsia="ru-RU"/>
        </w:rPr>
        <w:t>7</w:t>
      </w:r>
      <w:r w:rsidRPr="007B1223">
        <w:rPr>
          <w:rFonts w:eastAsiaTheme="minorEastAsia"/>
          <w:sz w:val="28"/>
          <w:szCs w:val="28"/>
          <w:lang w:eastAsia="ru-RU"/>
        </w:rPr>
        <w:t xml:space="preserve">1,7 тыс. рублей на предоставление 9 социальных выплат, </w:t>
      </w:r>
      <w:r w:rsidRPr="00CD4469">
        <w:rPr>
          <w:rFonts w:eastAsiaTheme="minorEastAsia"/>
          <w:sz w:val="28"/>
          <w:szCs w:val="28"/>
          <w:lang w:eastAsia="ru-RU"/>
        </w:rPr>
        <w:t>заключен 21 муниципальный контракт на приобретение квартир в целях предоставления жилых помещений детям-сиротам и детям, оставшимся без попечения родителей, лицам из их числа, по договорам найма специализированных</w:t>
      </w:r>
      <w:r w:rsidRPr="007B1223">
        <w:rPr>
          <w:rFonts w:eastAsiaTheme="minorEastAsia"/>
          <w:sz w:val="28"/>
          <w:szCs w:val="28"/>
          <w:lang w:eastAsia="ru-RU"/>
        </w:rPr>
        <w:t xml:space="preserve"> жилых помещений, предоставлено 35 жилых помещений муниципального специализированного жилищного фонда.</w:t>
      </w:r>
    </w:p>
    <w:p w14:paraId="44840A6F" w14:textId="75E14409" w:rsidR="00E8131C" w:rsidRDefault="00DD69F2" w:rsidP="0051326A">
      <w:pPr>
        <w:suppressAutoHyphens w:val="0"/>
        <w:spacing w:line="276" w:lineRule="auto"/>
        <w:rPr>
          <w:rFonts w:eastAsia="Calibri"/>
          <w:sz w:val="28"/>
          <w:szCs w:val="28"/>
          <w:lang w:eastAsia="en-US"/>
        </w:rPr>
      </w:pPr>
      <w:r w:rsidRPr="00DD69F2">
        <w:rPr>
          <w:rFonts w:eastAsia="Calibri"/>
          <w:sz w:val="28"/>
          <w:szCs w:val="28"/>
          <w:lang w:eastAsia="en-US"/>
        </w:rPr>
        <w:t xml:space="preserve">Медицинским работникам, осуществляющим свою деятельность в государственных учреждениях здравоохранения Самарской области, расположенных на территории городского округа Тольятти, предоставляются служебные жилые помещения муниципального жилищного фонда городского округа Тольятти. </w:t>
      </w:r>
      <w:r w:rsidR="00CD4469">
        <w:rPr>
          <w:rFonts w:eastAsia="Calibri"/>
          <w:sz w:val="28"/>
          <w:szCs w:val="28"/>
          <w:lang w:eastAsia="en-US"/>
        </w:rPr>
        <w:t>На</w:t>
      </w:r>
      <w:r w:rsidRPr="00DD69F2">
        <w:rPr>
          <w:rFonts w:eastAsia="Calibri"/>
          <w:sz w:val="28"/>
          <w:szCs w:val="28"/>
          <w:lang w:eastAsia="en-US"/>
        </w:rPr>
        <w:t xml:space="preserve"> </w:t>
      </w:r>
      <w:r w:rsidR="00CD4469">
        <w:rPr>
          <w:rFonts w:eastAsia="Calibri"/>
          <w:sz w:val="28"/>
          <w:szCs w:val="28"/>
          <w:lang w:eastAsia="en-US"/>
        </w:rPr>
        <w:t>01.07.2021</w:t>
      </w:r>
      <w:r w:rsidRPr="00DD69F2">
        <w:rPr>
          <w:rFonts w:eastAsia="Calibri"/>
          <w:sz w:val="28"/>
          <w:szCs w:val="28"/>
          <w:lang w:eastAsia="en-US"/>
        </w:rPr>
        <w:t xml:space="preserve"> жилые помещения предоставлены 27 медицинским работникам.</w:t>
      </w:r>
    </w:p>
    <w:p w14:paraId="3B3E345D" w14:textId="6CF8C28F" w:rsidR="00DF1951" w:rsidRDefault="008A1EBE" w:rsidP="008C7ACC">
      <w:pPr>
        <w:suppressAutoHyphens w:val="0"/>
        <w:ind w:firstLine="0"/>
        <w:jc w:val="center"/>
        <w:rPr>
          <w:b/>
          <w:bCs/>
          <w:sz w:val="28"/>
          <w:szCs w:val="28"/>
        </w:rPr>
      </w:pPr>
      <w:r w:rsidRPr="00E8131C">
        <w:rPr>
          <w:b/>
          <w:bCs/>
          <w:sz w:val="28"/>
          <w:szCs w:val="28"/>
        </w:rPr>
        <w:t>Финансы</w:t>
      </w:r>
    </w:p>
    <w:p w14:paraId="1E4CEB3A" w14:textId="77777777" w:rsidR="0051326A" w:rsidRPr="00E8131C" w:rsidRDefault="0051326A" w:rsidP="00E8131C">
      <w:pPr>
        <w:suppressAutoHyphens w:val="0"/>
        <w:jc w:val="center"/>
        <w:rPr>
          <w:b/>
          <w:bCs/>
          <w:sz w:val="28"/>
          <w:szCs w:val="28"/>
        </w:rPr>
      </w:pPr>
    </w:p>
    <w:p w14:paraId="70F0CA06" w14:textId="6D13E9CC" w:rsidR="00482B2E" w:rsidRPr="00482B2E" w:rsidRDefault="00482B2E" w:rsidP="00482B2E">
      <w:pPr>
        <w:suppressAutoHyphens w:val="0"/>
        <w:autoSpaceDE w:val="0"/>
        <w:autoSpaceDN w:val="0"/>
        <w:adjustRightInd w:val="0"/>
        <w:spacing w:line="276" w:lineRule="auto"/>
        <w:rPr>
          <w:rFonts w:eastAsiaTheme="minorEastAsia"/>
          <w:sz w:val="28"/>
          <w:szCs w:val="28"/>
          <w:lang w:eastAsia="ru-RU"/>
        </w:rPr>
      </w:pPr>
      <w:r w:rsidRPr="00482B2E">
        <w:rPr>
          <w:rFonts w:eastAsiaTheme="minorEastAsia"/>
          <w:sz w:val="28"/>
          <w:szCs w:val="28"/>
          <w:lang w:eastAsia="ru-RU"/>
        </w:rPr>
        <w:t>В I полугодии 2021 года на финансовые итоги деятельности организ</w:t>
      </w:r>
      <w:r w:rsidR="008C7ACC">
        <w:rPr>
          <w:rFonts w:eastAsiaTheme="minorEastAsia"/>
          <w:sz w:val="28"/>
          <w:szCs w:val="28"/>
          <w:lang w:eastAsia="ru-RU"/>
        </w:rPr>
        <w:t>аций городского округа Тольятти</w:t>
      </w:r>
      <w:r w:rsidRPr="00482B2E">
        <w:rPr>
          <w:rFonts w:eastAsiaTheme="minorEastAsia"/>
          <w:sz w:val="28"/>
          <w:szCs w:val="28"/>
          <w:lang w:eastAsia="ru-RU"/>
        </w:rPr>
        <w:t xml:space="preserve"> оказывает влияние низкая база соответствующих месяцев прошлого года, сформированная под влиянием карантинных ограничений, направленных на борьбу с распространением новой коронавирусной инфекции. В этой связи динамика в январе-июне 2021 непоказательна, поэтому при анализе отдельных показателей также использовалось сопоставление с I полугодием 2019 года.</w:t>
      </w:r>
    </w:p>
    <w:p w14:paraId="60833400" w14:textId="2FFD1F43" w:rsidR="00482B2E" w:rsidRPr="00482B2E" w:rsidRDefault="00482B2E" w:rsidP="00482B2E">
      <w:pPr>
        <w:suppressAutoHyphens w:val="0"/>
        <w:autoSpaceDE w:val="0"/>
        <w:autoSpaceDN w:val="0"/>
        <w:adjustRightInd w:val="0"/>
        <w:spacing w:line="276" w:lineRule="auto"/>
        <w:rPr>
          <w:rFonts w:eastAsiaTheme="minorEastAsia"/>
          <w:sz w:val="28"/>
          <w:szCs w:val="28"/>
          <w:lang w:eastAsia="ru-RU"/>
        </w:rPr>
      </w:pPr>
      <w:r w:rsidRPr="00482B2E">
        <w:rPr>
          <w:rFonts w:eastAsiaTheme="minorEastAsia"/>
          <w:sz w:val="28"/>
          <w:szCs w:val="28"/>
          <w:lang w:eastAsia="ru-RU"/>
        </w:rPr>
        <w:t>По сравнению с 6 месяцами 2020 года прибыль прибыльных организаций, не относящихся к субъектам малого предпринимательства</w:t>
      </w:r>
      <w:r w:rsidR="008C7ACC">
        <w:rPr>
          <w:rFonts w:eastAsiaTheme="minorEastAsia"/>
          <w:sz w:val="28"/>
          <w:szCs w:val="28"/>
          <w:lang w:eastAsia="ru-RU"/>
        </w:rPr>
        <w:t>,</w:t>
      </w:r>
      <w:r w:rsidRPr="00482B2E">
        <w:rPr>
          <w:rFonts w:eastAsiaTheme="minorEastAsia"/>
          <w:sz w:val="28"/>
          <w:szCs w:val="28"/>
          <w:lang w:eastAsia="ru-RU"/>
        </w:rPr>
        <w:t xml:space="preserve"> до налогообложения (по РСБУ) (далее </w:t>
      </w:r>
      <w:r w:rsidR="00EB3D7D">
        <w:rPr>
          <w:rFonts w:eastAsiaTheme="minorEastAsia"/>
          <w:sz w:val="28"/>
          <w:szCs w:val="28"/>
          <w:lang w:eastAsia="ru-RU"/>
        </w:rPr>
        <w:t xml:space="preserve">по разделу </w:t>
      </w:r>
      <w:r w:rsidRPr="00482B2E">
        <w:rPr>
          <w:rFonts w:eastAsiaTheme="minorEastAsia"/>
          <w:sz w:val="28"/>
          <w:szCs w:val="28"/>
          <w:lang w:eastAsia="ru-RU"/>
        </w:rPr>
        <w:t>– прибыль крупных и средних организаций) выросла в 4,1 раза до 48 311 млн. рублей, в основном за счёт роста в 7,2 раза прибыли химических производств, объём которой составил 32 633 млн. рублей. В структуре прибыли крупных и средних организаций доля прибыли химических производств составила 67,5%.</w:t>
      </w:r>
    </w:p>
    <w:p w14:paraId="246ECC87" w14:textId="77777777" w:rsidR="00482B2E" w:rsidRPr="00482B2E" w:rsidRDefault="00482B2E" w:rsidP="00482B2E">
      <w:pPr>
        <w:suppressAutoHyphens w:val="0"/>
        <w:autoSpaceDE w:val="0"/>
        <w:autoSpaceDN w:val="0"/>
        <w:adjustRightInd w:val="0"/>
        <w:spacing w:line="276" w:lineRule="auto"/>
        <w:rPr>
          <w:rFonts w:eastAsiaTheme="minorEastAsia"/>
          <w:sz w:val="28"/>
          <w:szCs w:val="28"/>
          <w:lang w:eastAsia="ru-RU"/>
        </w:rPr>
      </w:pPr>
      <w:r w:rsidRPr="00482B2E">
        <w:rPr>
          <w:rFonts w:eastAsiaTheme="minorEastAsia"/>
          <w:sz w:val="28"/>
          <w:szCs w:val="28"/>
          <w:lang w:eastAsia="ru-RU"/>
        </w:rPr>
        <w:t xml:space="preserve">Прибыль производства автотранспортных средств, прицепов и полуприцепов, а также оптовой и розничной торговли автомобилями за отчётный период составила в сумме 8 628 млн. рублей (рост в 3,5 раза и  17,9% в общем объеме прибыли организаций). На финансовые результаты организаций по производству автокомпонентов, а также по продаже </w:t>
      </w:r>
      <w:r w:rsidRPr="00482B2E">
        <w:rPr>
          <w:rFonts w:eastAsiaTheme="minorEastAsia"/>
          <w:sz w:val="28"/>
          <w:szCs w:val="28"/>
          <w:lang w:eastAsia="ru-RU"/>
        </w:rPr>
        <w:lastRenderedPageBreak/>
        <w:t>автомобилей LADA решающее влияние оказывает деятельность АО «АВТОВАЗ».</w:t>
      </w:r>
    </w:p>
    <w:p w14:paraId="49A9196E" w14:textId="6CCEB3D6" w:rsidR="00482B2E" w:rsidRPr="00482B2E" w:rsidRDefault="00482B2E" w:rsidP="00482B2E">
      <w:pPr>
        <w:suppressAutoHyphens w:val="0"/>
        <w:autoSpaceDE w:val="0"/>
        <w:autoSpaceDN w:val="0"/>
        <w:adjustRightInd w:val="0"/>
        <w:spacing w:line="276" w:lineRule="auto"/>
        <w:rPr>
          <w:rFonts w:eastAsiaTheme="minorEastAsia"/>
          <w:sz w:val="28"/>
          <w:szCs w:val="28"/>
          <w:lang w:eastAsia="ru-RU"/>
        </w:rPr>
      </w:pPr>
      <w:r w:rsidRPr="00482B2E">
        <w:rPr>
          <w:rFonts w:eastAsiaTheme="minorEastAsia"/>
          <w:sz w:val="28"/>
          <w:szCs w:val="28"/>
          <w:lang w:eastAsia="ru-RU"/>
        </w:rPr>
        <w:t xml:space="preserve">В I полугодии 2021 года прибыль выросла и по другим видам экономической деятельности по сравнению с соответствующим периодом прошлого года: в производстве пищевых продуктов </w:t>
      </w:r>
      <w:r w:rsidR="008C7ACC">
        <w:rPr>
          <w:rFonts w:eastAsiaTheme="minorEastAsia"/>
          <w:sz w:val="28"/>
          <w:szCs w:val="28"/>
          <w:lang w:eastAsia="ru-RU"/>
        </w:rPr>
        <w:t xml:space="preserve">- </w:t>
      </w:r>
      <w:r w:rsidRPr="00482B2E">
        <w:rPr>
          <w:rFonts w:eastAsiaTheme="minorEastAsia"/>
          <w:sz w:val="28"/>
          <w:szCs w:val="28"/>
          <w:lang w:eastAsia="ru-RU"/>
        </w:rPr>
        <w:t xml:space="preserve">на 8,5%, в производстве текстильных изделий </w:t>
      </w:r>
      <w:r w:rsidR="008C7ACC">
        <w:rPr>
          <w:rFonts w:eastAsiaTheme="minorEastAsia"/>
          <w:sz w:val="28"/>
          <w:szCs w:val="28"/>
          <w:lang w:eastAsia="ru-RU"/>
        </w:rPr>
        <w:t xml:space="preserve">- </w:t>
      </w:r>
      <w:r w:rsidRPr="00482B2E">
        <w:rPr>
          <w:rFonts w:eastAsiaTheme="minorEastAsia"/>
          <w:sz w:val="28"/>
          <w:szCs w:val="28"/>
          <w:lang w:eastAsia="ru-RU"/>
        </w:rPr>
        <w:t xml:space="preserve">в 6,3 раза, в производстве резиновых и пластмассовых изделий </w:t>
      </w:r>
      <w:r w:rsidR="008C7ACC">
        <w:rPr>
          <w:rFonts w:eastAsiaTheme="minorEastAsia"/>
          <w:sz w:val="28"/>
          <w:szCs w:val="28"/>
          <w:lang w:eastAsia="ru-RU"/>
        </w:rPr>
        <w:t xml:space="preserve">- </w:t>
      </w:r>
      <w:r w:rsidRPr="00482B2E">
        <w:rPr>
          <w:rFonts w:eastAsiaTheme="minorEastAsia"/>
          <w:sz w:val="28"/>
          <w:szCs w:val="28"/>
          <w:lang w:eastAsia="ru-RU"/>
        </w:rPr>
        <w:t xml:space="preserve">в 2,9 раза, в металлургическом производстве </w:t>
      </w:r>
      <w:r w:rsidR="008C7ACC">
        <w:rPr>
          <w:rFonts w:eastAsiaTheme="minorEastAsia"/>
          <w:sz w:val="28"/>
          <w:szCs w:val="28"/>
          <w:lang w:eastAsia="ru-RU"/>
        </w:rPr>
        <w:t xml:space="preserve">- </w:t>
      </w:r>
      <w:r w:rsidRPr="00482B2E">
        <w:rPr>
          <w:rFonts w:eastAsiaTheme="minorEastAsia"/>
          <w:sz w:val="28"/>
          <w:szCs w:val="28"/>
          <w:lang w:eastAsia="ru-RU"/>
        </w:rPr>
        <w:t xml:space="preserve">в 7,1 раз, в производстве электрического оборудования </w:t>
      </w:r>
      <w:r w:rsidR="008C7ACC">
        <w:rPr>
          <w:rFonts w:eastAsiaTheme="minorEastAsia"/>
          <w:sz w:val="28"/>
          <w:szCs w:val="28"/>
          <w:lang w:eastAsia="ru-RU"/>
        </w:rPr>
        <w:t xml:space="preserve">- </w:t>
      </w:r>
      <w:r w:rsidRPr="00482B2E">
        <w:rPr>
          <w:rFonts w:eastAsiaTheme="minorEastAsia"/>
          <w:sz w:val="28"/>
          <w:szCs w:val="28"/>
          <w:lang w:eastAsia="ru-RU"/>
        </w:rPr>
        <w:t>в 3,8 раза.</w:t>
      </w:r>
    </w:p>
    <w:p w14:paraId="77416840" w14:textId="77777777" w:rsidR="00482B2E" w:rsidRPr="00482B2E" w:rsidRDefault="00482B2E" w:rsidP="00482B2E">
      <w:pPr>
        <w:suppressAutoHyphens w:val="0"/>
        <w:autoSpaceDE w:val="0"/>
        <w:autoSpaceDN w:val="0"/>
        <w:adjustRightInd w:val="0"/>
        <w:spacing w:line="276" w:lineRule="auto"/>
        <w:rPr>
          <w:rFonts w:eastAsiaTheme="minorEastAsia"/>
          <w:sz w:val="28"/>
          <w:szCs w:val="28"/>
          <w:lang w:eastAsia="ru-RU"/>
        </w:rPr>
      </w:pPr>
      <w:r w:rsidRPr="00482B2E">
        <w:rPr>
          <w:rFonts w:eastAsiaTheme="minorEastAsia"/>
          <w:sz w:val="28"/>
          <w:szCs w:val="28"/>
          <w:lang w:eastAsia="ru-RU"/>
        </w:rPr>
        <w:t>Удельный вес прибыльных крупных и средних организаций в общем числе крупных и средних организаций составил 77,6%. Прибыль получили 218 из 281 наблюдаемых организаций.</w:t>
      </w:r>
    </w:p>
    <w:p w14:paraId="2349508B" w14:textId="77777777" w:rsidR="00482B2E" w:rsidRPr="00482B2E" w:rsidRDefault="00482B2E" w:rsidP="00482B2E">
      <w:pPr>
        <w:suppressAutoHyphens w:val="0"/>
        <w:autoSpaceDE w:val="0"/>
        <w:autoSpaceDN w:val="0"/>
        <w:adjustRightInd w:val="0"/>
        <w:spacing w:line="276" w:lineRule="auto"/>
        <w:rPr>
          <w:rFonts w:eastAsiaTheme="minorEastAsia"/>
          <w:sz w:val="28"/>
          <w:szCs w:val="28"/>
          <w:lang w:eastAsia="ru-RU"/>
        </w:rPr>
      </w:pPr>
      <w:r w:rsidRPr="00482B2E">
        <w:rPr>
          <w:rFonts w:eastAsiaTheme="minorEastAsia"/>
          <w:sz w:val="28"/>
          <w:szCs w:val="28"/>
          <w:lang w:eastAsia="ru-RU"/>
        </w:rPr>
        <w:t>При исключении эффекта низкой базы I полугодия 2020 года и в сравнении с аналогичным «</w:t>
      </w:r>
      <w:proofErr w:type="spellStart"/>
      <w:r w:rsidRPr="00482B2E">
        <w:rPr>
          <w:rFonts w:eastAsiaTheme="minorEastAsia"/>
          <w:sz w:val="28"/>
          <w:szCs w:val="28"/>
          <w:lang w:eastAsia="ru-RU"/>
        </w:rPr>
        <w:t>допандемийным</w:t>
      </w:r>
      <w:proofErr w:type="spellEnd"/>
      <w:r w:rsidRPr="00482B2E">
        <w:rPr>
          <w:rFonts w:eastAsiaTheme="minorEastAsia"/>
          <w:sz w:val="28"/>
          <w:szCs w:val="28"/>
          <w:lang w:eastAsia="ru-RU"/>
        </w:rPr>
        <w:t>» периодом (январь-июнь 2019 года) прибыль крупных и средних организаций выросла в 2,3 раза, в том числе: в производстве пищевых продуктов – на 13,5%, в производстве резиновых и пластмассовых изделий – на 75,3%, в химическом производстве – в 2,9 раз, в производстве автотранспортных средств – на 49,7%, в торговле оптовой и розничной – на 97,9% (за счёт перехода с 2021 года в категорию «крупные и средние» из «малых» одной организации с основным видом деятельности «Торговля оптовая черными металлами в первичных формах», прибыль которой выросла в 17,3 раза), в деятельности в области информации и связи – на 84,6%. Снижение прибыли крупных и средних организаций в I полугодии 2021 года по сравнению с аналогичным периодом 2019 года наблюдается в строительстве – на 29,5%, в розничной торговле (кроме торговли автотранспортными средствами) – на 22,2%, в транспортировке и хранении – на 11,5%.</w:t>
      </w:r>
    </w:p>
    <w:p w14:paraId="4EA3B08C" w14:textId="3D4BF2E8" w:rsidR="00482B2E" w:rsidRPr="00482B2E" w:rsidRDefault="00482B2E" w:rsidP="00482B2E">
      <w:pPr>
        <w:suppressAutoHyphens w:val="0"/>
        <w:autoSpaceDE w:val="0"/>
        <w:autoSpaceDN w:val="0"/>
        <w:adjustRightInd w:val="0"/>
        <w:spacing w:line="276" w:lineRule="auto"/>
        <w:rPr>
          <w:rFonts w:eastAsiaTheme="minorEastAsia"/>
          <w:sz w:val="28"/>
          <w:szCs w:val="28"/>
          <w:lang w:eastAsia="ru-RU"/>
        </w:rPr>
      </w:pPr>
      <w:r w:rsidRPr="00482B2E">
        <w:rPr>
          <w:rFonts w:eastAsiaTheme="minorEastAsia"/>
          <w:sz w:val="28"/>
          <w:szCs w:val="28"/>
          <w:lang w:eastAsia="ru-RU"/>
        </w:rPr>
        <w:t xml:space="preserve">Таким образом, согласно данным </w:t>
      </w:r>
      <w:proofErr w:type="spellStart"/>
      <w:r w:rsidRPr="00482B2E">
        <w:rPr>
          <w:rFonts w:eastAsiaTheme="minorEastAsia"/>
          <w:sz w:val="28"/>
          <w:szCs w:val="28"/>
          <w:lang w:eastAsia="ru-RU"/>
        </w:rPr>
        <w:t>Самарастат</w:t>
      </w:r>
      <w:r w:rsidR="00EB3D7D">
        <w:rPr>
          <w:rFonts w:eastAsiaTheme="minorEastAsia"/>
          <w:sz w:val="28"/>
          <w:szCs w:val="28"/>
          <w:lang w:eastAsia="ru-RU"/>
        </w:rPr>
        <w:t>а</w:t>
      </w:r>
      <w:proofErr w:type="spellEnd"/>
      <w:r w:rsidRPr="00482B2E">
        <w:rPr>
          <w:rFonts w:eastAsiaTheme="minorEastAsia"/>
          <w:sz w:val="28"/>
          <w:szCs w:val="28"/>
          <w:lang w:eastAsia="ru-RU"/>
        </w:rPr>
        <w:t xml:space="preserve"> за I полугодие 2021 года основная часть прибыли крупных и средних организаций сформировалась за счёт прибыли экспортно-ориентированных химических предприятий в связи с повышением цен на мировом химическим рынке в результате роста спроса на выпускаемую продукцию, в частности минеральные удобрения, и ограниченное мировое предложение минеральных удобрений на рынке.</w:t>
      </w:r>
    </w:p>
    <w:p w14:paraId="78B8D2B5" w14:textId="4DBAF7D2" w:rsidR="00482B2E" w:rsidRPr="00482B2E" w:rsidRDefault="00482B2E" w:rsidP="00482B2E">
      <w:pPr>
        <w:suppressAutoHyphens w:val="0"/>
        <w:autoSpaceDE w:val="0"/>
        <w:autoSpaceDN w:val="0"/>
        <w:adjustRightInd w:val="0"/>
        <w:spacing w:line="276" w:lineRule="auto"/>
        <w:rPr>
          <w:rFonts w:eastAsiaTheme="minorEastAsia"/>
          <w:sz w:val="28"/>
          <w:szCs w:val="28"/>
          <w:lang w:eastAsia="ru-RU"/>
        </w:rPr>
      </w:pPr>
      <w:r w:rsidRPr="00482B2E">
        <w:rPr>
          <w:rFonts w:eastAsiaTheme="minorEastAsia"/>
          <w:sz w:val="28"/>
          <w:szCs w:val="28"/>
          <w:lang w:eastAsia="ru-RU"/>
        </w:rPr>
        <w:t>Объём прибыли, полученный организациями городского округа Тольятти в январе–июне 2021 года (48 311 млн. рублей)</w:t>
      </w:r>
      <w:r w:rsidR="008C7ACC">
        <w:rPr>
          <w:rFonts w:eastAsiaTheme="minorEastAsia"/>
          <w:sz w:val="28"/>
          <w:szCs w:val="28"/>
          <w:lang w:eastAsia="ru-RU"/>
        </w:rPr>
        <w:t>,</w:t>
      </w:r>
      <w:r w:rsidRPr="00482B2E">
        <w:rPr>
          <w:rFonts w:eastAsiaTheme="minorEastAsia"/>
          <w:sz w:val="28"/>
          <w:szCs w:val="28"/>
          <w:lang w:eastAsia="ru-RU"/>
        </w:rPr>
        <w:t xml:space="preserve"> является рекордным за 10 лет наблюдения.</w:t>
      </w:r>
    </w:p>
    <w:p w14:paraId="65786083" w14:textId="709ABBE2" w:rsidR="00482B2E" w:rsidRPr="00482B2E" w:rsidRDefault="00482B2E" w:rsidP="00482B2E">
      <w:pPr>
        <w:suppressAutoHyphens w:val="0"/>
        <w:autoSpaceDE w:val="0"/>
        <w:autoSpaceDN w:val="0"/>
        <w:adjustRightInd w:val="0"/>
        <w:spacing w:line="276" w:lineRule="auto"/>
        <w:rPr>
          <w:rFonts w:eastAsiaTheme="minorEastAsia"/>
          <w:sz w:val="28"/>
          <w:szCs w:val="28"/>
          <w:lang w:eastAsia="ru-RU"/>
        </w:rPr>
      </w:pPr>
      <w:r w:rsidRPr="00482B2E">
        <w:rPr>
          <w:rFonts w:eastAsiaTheme="minorEastAsia"/>
          <w:sz w:val="28"/>
          <w:szCs w:val="28"/>
          <w:lang w:eastAsia="ru-RU"/>
        </w:rPr>
        <w:t xml:space="preserve">По итогам января-июня 2021 года объём убытка убыточных крупных и средних организаций составил 1 223 млн. рублей, что на 65,7% меньше, чем в I полугодии 2020 года. Объём убытка крупных и средних предприятий в 39,5 раз меньше объёма прибыли. Наибольший объём убытка получен в </w:t>
      </w:r>
      <w:r w:rsidRPr="00482B2E">
        <w:rPr>
          <w:rFonts w:eastAsiaTheme="minorEastAsia"/>
          <w:sz w:val="28"/>
          <w:szCs w:val="28"/>
          <w:lang w:eastAsia="ru-RU"/>
        </w:rPr>
        <w:lastRenderedPageBreak/>
        <w:t xml:space="preserve">производстве машин и оборудования (282 млн. рублей), в строительстве (104 млн. рублей), в деятельности по операциям с недвижимым имуществом (196 млн. рублей). Убыток получили 63 из 281 наблюдаемых крупных и средних организаций. По показателю «Удельный вес убыточных организаций» городской округ Тольятти со значением 22,4% в рейтинге городских округов Самарской области занял 2 место (на 1 месте </w:t>
      </w:r>
      <w:r w:rsidR="00EB3D7D">
        <w:rPr>
          <w:rFonts w:eastAsiaTheme="minorEastAsia"/>
          <w:sz w:val="28"/>
          <w:szCs w:val="28"/>
          <w:lang w:eastAsia="ru-RU"/>
        </w:rPr>
        <w:t xml:space="preserve">г.о. </w:t>
      </w:r>
      <w:r w:rsidRPr="00482B2E">
        <w:rPr>
          <w:rFonts w:eastAsiaTheme="minorEastAsia"/>
          <w:sz w:val="28"/>
          <w:szCs w:val="28"/>
          <w:lang w:eastAsia="ru-RU"/>
        </w:rPr>
        <w:t>Чапаевск со значением 15,4%. В рейтинге городов Приволжского федерального округа Тольятти занял 4 место (впереди – Йошкар-Ола, Киров и Нижний Новгород).</w:t>
      </w:r>
    </w:p>
    <w:p w14:paraId="561B7E0B" w14:textId="74AA04F8" w:rsidR="00482B2E" w:rsidRPr="00482B2E" w:rsidRDefault="00482B2E" w:rsidP="00482B2E">
      <w:pPr>
        <w:suppressAutoHyphens w:val="0"/>
        <w:autoSpaceDE w:val="0"/>
        <w:autoSpaceDN w:val="0"/>
        <w:adjustRightInd w:val="0"/>
        <w:spacing w:line="276" w:lineRule="auto"/>
        <w:rPr>
          <w:rFonts w:eastAsiaTheme="minorEastAsia"/>
          <w:sz w:val="28"/>
          <w:szCs w:val="28"/>
          <w:lang w:eastAsia="ru-RU"/>
        </w:rPr>
      </w:pPr>
      <w:r w:rsidRPr="00482B2E">
        <w:rPr>
          <w:rFonts w:eastAsiaTheme="minorEastAsia"/>
          <w:sz w:val="28"/>
          <w:szCs w:val="28"/>
          <w:lang w:eastAsia="ru-RU"/>
        </w:rPr>
        <w:t xml:space="preserve">За 6 месяцев 2021 года от налогоплательщиков городского округа Тольятти в бюджетную систему Российской Федерации поступило налоговых доходов, администрируемых ФНС России, на сумму 28 632 млн. рублей (+39,4% к уровню </w:t>
      </w:r>
      <w:r w:rsidR="002E3A48">
        <w:rPr>
          <w:rFonts w:eastAsiaTheme="minorEastAsia"/>
          <w:sz w:val="28"/>
          <w:szCs w:val="28"/>
          <w:lang w:val="en-US" w:eastAsia="ru-RU"/>
        </w:rPr>
        <w:t>I</w:t>
      </w:r>
      <w:r w:rsidRPr="00482B2E">
        <w:rPr>
          <w:rFonts w:eastAsiaTheme="minorEastAsia"/>
          <w:sz w:val="28"/>
          <w:szCs w:val="28"/>
          <w:lang w:eastAsia="ru-RU"/>
        </w:rPr>
        <w:t xml:space="preserve"> полугодия прошлого года, в основном, за счет роста поступлений налога на прибыль на 77,9% и налога на добавленную стоимость (НДС) на 30,2%), в том числе: </w:t>
      </w:r>
    </w:p>
    <w:p w14:paraId="77BF60E2" w14:textId="77777777" w:rsidR="00482B2E" w:rsidRPr="00482B2E" w:rsidRDefault="00482B2E" w:rsidP="00482B2E">
      <w:pPr>
        <w:suppressAutoHyphens w:val="0"/>
        <w:autoSpaceDE w:val="0"/>
        <w:autoSpaceDN w:val="0"/>
        <w:adjustRightInd w:val="0"/>
        <w:spacing w:line="276" w:lineRule="auto"/>
        <w:rPr>
          <w:rFonts w:eastAsiaTheme="minorEastAsia"/>
          <w:sz w:val="28"/>
          <w:szCs w:val="28"/>
          <w:lang w:eastAsia="ru-RU"/>
        </w:rPr>
      </w:pPr>
      <w:r w:rsidRPr="00482B2E">
        <w:rPr>
          <w:rFonts w:eastAsiaTheme="minorEastAsia"/>
          <w:sz w:val="28"/>
          <w:szCs w:val="28"/>
          <w:lang w:eastAsia="ru-RU"/>
        </w:rPr>
        <w:t>- в бюджет Российской Федерации зачислено 9 938 млн. рублей, что составляет 4,9% от зачислений налоговых доходов в федеральный бюджет с территории Самарской области;</w:t>
      </w:r>
    </w:p>
    <w:p w14:paraId="03F4A5BB" w14:textId="77777777" w:rsidR="00482B2E" w:rsidRPr="00482B2E" w:rsidRDefault="00482B2E" w:rsidP="00482B2E">
      <w:pPr>
        <w:suppressAutoHyphens w:val="0"/>
        <w:autoSpaceDE w:val="0"/>
        <w:autoSpaceDN w:val="0"/>
        <w:adjustRightInd w:val="0"/>
        <w:spacing w:line="276" w:lineRule="auto"/>
        <w:rPr>
          <w:rFonts w:eastAsiaTheme="minorEastAsia"/>
          <w:sz w:val="28"/>
          <w:szCs w:val="28"/>
          <w:lang w:eastAsia="ru-RU"/>
        </w:rPr>
      </w:pPr>
      <w:r w:rsidRPr="00482B2E">
        <w:rPr>
          <w:rFonts w:eastAsiaTheme="minorEastAsia"/>
          <w:sz w:val="28"/>
          <w:szCs w:val="28"/>
          <w:lang w:eastAsia="ru-RU"/>
        </w:rPr>
        <w:t xml:space="preserve">- в консолидированный бюджет Самарской области поступило 18 694 млн. рублей (или 15,8% в общем объеме налоговых доходов областного консолидированного бюджета), из них зачислено в бюджет городского округа Тольятти – 2 719 млн. рублей или 9,5% от общего объема налоговых доходов, собранных на территории городского округа Тольятти. </w:t>
      </w:r>
    </w:p>
    <w:p w14:paraId="5B86B280" w14:textId="77777777" w:rsidR="00482B2E" w:rsidRPr="00482B2E" w:rsidRDefault="00482B2E" w:rsidP="00482B2E">
      <w:pPr>
        <w:suppressAutoHyphens w:val="0"/>
        <w:autoSpaceDE w:val="0"/>
        <w:autoSpaceDN w:val="0"/>
        <w:adjustRightInd w:val="0"/>
        <w:spacing w:line="276" w:lineRule="auto"/>
        <w:rPr>
          <w:rFonts w:eastAsiaTheme="minorEastAsia"/>
          <w:sz w:val="28"/>
          <w:szCs w:val="28"/>
          <w:lang w:eastAsia="ru-RU"/>
        </w:rPr>
      </w:pPr>
      <w:r w:rsidRPr="00482B2E">
        <w:rPr>
          <w:rFonts w:eastAsiaTheme="minorEastAsia"/>
          <w:sz w:val="28"/>
          <w:szCs w:val="28"/>
          <w:lang w:eastAsia="ru-RU"/>
        </w:rPr>
        <w:t>По видам налогов налоговые доходы, администрируемые ФНС России, за I полугодие 2021 года составили:</w:t>
      </w:r>
    </w:p>
    <w:p w14:paraId="597AC1D9" w14:textId="30750FB9" w:rsidR="00482B2E" w:rsidRPr="00482B2E" w:rsidRDefault="00482B2E" w:rsidP="00482B2E">
      <w:pPr>
        <w:suppressAutoHyphens w:val="0"/>
        <w:autoSpaceDE w:val="0"/>
        <w:autoSpaceDN w:val="0"/>
        <w:adjustRightInd w:val="0"/>
        <w:spacing w:line="276" w:lineRule="auto"/>
        <w:rPr>
          <w:rFonts w:eastAsiaTheme="minorEastAsia"/>
          <w:sz w:val="28"/>
          <w:szCs w:val="28"/>
          <w:lang w:eastAsia="ru-RU"/>
        </w:rPr>
      </w:pPr>
      <w:r w:rsidRPr="00482B2E">
        <w:rPr>
          <w:rFonts w:eastAsiaTheme="minorEastAsia"/>
          <w:sz w:val="28"/>
          <w:szCs w:val="28"/>
          <w:lang w:eastAsia="ru-RU"/>
        </w:rPr>
        <w:t>а) налоги на прибыль</w:t>
      </w:r>
      <w:r w:rsidR="008C7ACC">
        <w:rPr>
          <w:rFonts w:eastAsiaTheme="minorEastAsia"/>
          <w:sz w:val="28"/>
          <w:szCs w:val="28"/>
          <w:lang w:eastAsia="ru-RU"/>
        </w:rPr>
        <w:t xml:space="preserve">, на </w:t>
      </w:r>
      <w:r w:rsidRPr="00482B2E">
        <w:rPr>
          <w:rFonts w:eastAsiaTheme="minorEastAsia"/>
          <w:sz w:val="28"/>
          <w:szCs w:val="28"/>
          <w:lang w:eastAsia="ru-RU"/>
        </w:rPr>
        <w:t xml:space="preserve">доходы – 17 129 млн. рублей, что на 44,8%  больше, чем за 6 месяцев 2020 года (за 8 месяцев 2021 года их прирост составил 69,9%), в том числе: </w:t>
      </w:r>
    </w:p>
    <w:p w14:paraId="556B8A82" w14:textId="77777777" w:rsidR="00482B2E" w:rsidRPr="00482B2E" w:rsidRDefault="00482B2E" w:rsidP="00482B2E">
      <w:pPr>
        <w:suppressAutoHyphens w:val="0"/>
        <w:autoSpaceDE w:val="0"/>
        <w:autoSpaceDN w:val="0"/>
        <w:adjustRightInd w:val="0"/>
        <w:spacing w:line="276" w:lineRule="auto"/>
        <w:rPr>
          <w:rFonts w:eastAsiaTheme="minorEastAsia"/>
          <w:sz w:val="28"/>
          <w:szCs w:val="28"/>
          <w:lang w:eastAsia="ru-RU"/>
        </w:rPr>
      </w:pPr>
      <w:r w:rsidRPr="00482B2E">
        <w:rPr>
          <w:rFonts w:eastAsiaTheme="minorEastAsia"/>
          <w:sz w:val="28"/>
          <w:szCs w:val="28"/>
          <w:lang w:eastAsia="ru-RU"/>
        </w:rPr>
        <w:t xml:space="preserve">- налог на прибыль организаций – 10 743 млн. рублей, что на 77,9% больше, чем за январь-июнь 2020 года в связи с ростом прибыли организаций (за 8 месяцев 2021 года прибыль выросла в 2,4 раза); </w:t>
      </w:r>
    </w:p>
    <w:p w14:paraId="19AD6D8D" w14:textId="77777777" w:rsidR="00482B2E" w:rsidRPr="00482B2E" w:rsidRDefault="00482B2E" w:rsidP="00482B2E">
      <w:pPr>
        <w:suppressAutoHyphens w:val="0"/>
        <w:autoSpaceDE w:val="0"/>
        <w:autoSpaceDN w:val="0"/>
        <w:adjustRightInd w:val="0"/>
        <w:spacing w:line="276" w:lineRule="auto"/>
        <w:rPr>
          <w:rFonts w:eastAsiaTheme="minorEastAsia"/>
          <w:sz w:val="28"/>
          <w:szCs w:val="28"/>
          <w:lang w:eastAsia="ru-RU"/>
        </w:rPr>
      </w:pPr>
      <w:r w:rsidRPr="00482B2E">
        <w:rPr>
          <w:rFonts w:eastAsiaTheme="minorEastAsia"/>
          <w:sz w:val="28"/>
          <w:szCs w:val="28"/>
          <w:lang w:eastAsia="ru-RU"/>
        </w:rPr>
        <w:t xml:space="preserve">- налог на доходы физических лиц (НДФЛ) – 6 386 млн. рублей (+10,2%) в связи с ростом фонда оплаты труда работников организаций (например, фонд оплаты труда по крупным и средним организациям за январь-июнь 2021 года вырос на 7,3% к соответствующему периоду прошлого года); в бюджет городского округа Тольятти зачислено 1 892 млн. рублей (+9,5% к уровню 6 месяцев прошлого года); </w:t>
      </w:r>
    </w:p>
    <w:p w14:paraId="2D508946" w14:textId="77777777" w:rsidR="00482B2E" w:rsidRPr="00482B2E" w:rsidRDefault="00482B2E" w:rsidP="00482B2E">
      <w:pPr>
        <w:suppressAutoHyphens w:val="0"/>
        <w:autoSpaceDE w:val="0"/>
        <w:autoSpaceDN w:val="0"/>
        <w:adjustRightInd w:val="0"/>
        <w:spacing w:line="276" w:lineRule="auto"/>
        <w:rPr>
          <w:rFonts w:eastAsiaTheme="minorEastAsia"/>
          <w:sz w:val="28"/>
          <w:szCs w:val="28"/>
          <w:lang w:eastAsia="ru-RU"/>
        </w:rPr>
      </w:pPr>
      <w:r w:rsidRPr="00482B2E">
        <w:rPr>
          <w:rFonts w:eastAsiaTheme="minorEastAsia"/>
          <w:sz w:val="28"/>
          <w:szCs w:val="28"/>
          <w:lang w:eastAsia="ru-RU"/>
        </w:rPr>
        <w:t xml:space="preserve">б) налоги на товары (работы, услуги) – 7 545 млн. рублей, что на 33,7% больше, чем за 6 месяцев 2020 года (за 8 месяцев 2021 года прирост составил 76,7% относительно января-августа 2020 года), в том числе: </w:t>
      </w:r>
    </w:p>
    <w:p w14:paraId="05AF0E1C" w14:textId="18EF873E" w:rsidR="00482B2E" w:rsidRPr="00482B2E" w:rsidRDefault="00482B2E" w:rsidP="00482B2E">
      <w:pPr>
        <w:suppressAutoHyphens w:val="0"/>
        <w:autoSpaceDE w:val="0"/>
        <w:autoSpaceDN w:val="0"/>
        <w:adjustRightInd w:val="0"/>
        <w:spacing w:line="276" w:lineRule="auto"/>
        <w:rPr>
          <w:rFonts w:eastAsiaTheme="minorEastAsia"/>
          <w:sz w:val="28"/>
          <w:szCs w:val="28"/>
          <w:lang w:eastAsia="ru-RU"/>
        </w:rPr>
      </w:pPr>
      <w:r w:rsidRPr="00482B2E">
        <w:rPr>
          <w:rFonts w:eastAsiaTheme="minorEastAsia"/>
          <w:sz w:val="28"/>
          <w:szCs w:val="28"/>
          <w:lang w:eastAsia="ru-RU"/>
        </w:rPr>
        <w:lastRenderedPageBreak/>
        <w:t>- НДС – 8 341 млн. рублей, что на 30,2% больше соответствующего периода прошлого года, в основном, за счет увеличения на 53,1% поступлений НДС в производстве автотранспортных с</w:t>
      </w:r>
      <w:r w:rsidR="008C7ACC">
        <w:rPr>
          <w:rFonts w:eastAsiaTheme="minorEastAsia"/>
          <w:sz w:val="28"/>
          <w:szCs w:val="28"/>
          <w:lang w:eastAsia="ru-RU"/>
        </w:rPr>
        <w:t>редств согласно данным форм 1-Н</w:t>
      </w:r>
      <w:r w:rsidRPr="00482B2E">
        <w:rPr>
          <w:rFonts w:eastAsiaTheme="minorEastAsia"/>
          <w:sz w:val="28"/>
          <w:szCs w:val="28"/>
          <w:lang w:eastAsia="ru-RU"/>
        </w:rPr>
        <w:t xml:space="preserve">М по Самарской области, размещенным на официальном сайте ФНС России (за 8 месяцев 2021 года прирост поступлений НДС составил 64,0%), </w:t>
      </w:r>
    </w:p>
    <w:p w14:paraId="27BD0D2F" w14:textId="77777777" w:rsidR="00482B2E" w:rsidRPr="00482B2E" w:rsidRDefault="00482B2E" w:rsidP="00482B2E">
      <w:pPr>
        <w:suppressAutoHyphens w:val="0"/>
        <w:autoSpaceDE w:val="0"/>
        <w:autoSpaceDN w:val="0"/>
        <w:adjustRightInd w:val="0"/>
        <w:spacing w:line="276" w:lineRule="auto"/>
        <w:rPr>
          <w:rFonts w:eastAsiaTheme="minorEastAsia"/>
          <w:sz w:val="28"/>
          <w:szCs w:val="28"/>
          <w:lang w:eastAsia="ru-RU"/>
        </w:rPr>
      </w:pPr>
      <w:r w:rsidRPr="00482B2E">
        <w:rPr>
          <w:rFonts w:eastAsiaTheme="minorEastAsia"/>
          <w:sz w:val="28"/>
          <w:szCs w:val="28"/>
          <w:lang w:eastAsia="ru-RU"/>
        </w:rPr>
        <w:t xml:space="preserve">- акцизы по подакцизным товарам – (-33 млн. рублей), а за 8 месяцев 2021 года 122 млн. рублей; впервые за ряд лет по поступлениям акцизов сформировалась положительная величина, в основном, в связи с ростом на 75% уплаты акцизов в производстве автотранспортных средств (с произведенных на ижевской площадке автомобилей </w:t>
      </w:r>
      <w:proofErr w:type="spellStart"/>
      <w:r w:rsidRPr="00482B2E">
        <w:rPr>
          <w:rFonts w:eastAsiaTheme="minorEastAsia"/>
          <w:sz w:val="28"/>
          <w:szCs w:val="28"/>
          <w:lang w:eastAsia="ru-RU"/>
        </w:rPr>
        <w:t>Vesta</w:t>
      </w:r>
      <w:proofErr w:type="spellEnd"/>
      <w:r w:rsidRPr="00482B2E">
        <w:rPr>
          <w:rFonts w:eastAsiaTheme="minorEastAsia"/>
          <w:sz w:val="28"/>
          <w:szCs w:val="28"/>
          <w:lang w:eastAsia="ru-RU"/>
        </w:rPr>
        <w:t xml:space="preserve"> и XRAY, мощность двигателей которых 106 </w:t>
      </w:r>
      <w:proofErr w:type="spellStart"/>
      <w:r w:rsidRPr="00482B2E">
        <w:rPr>
          <w:rFonts w:eastAsiaTheme="minorEastAsia"/>
          <w:sz w:val="28"/>
          <w:szCs w:val="28"/>
          <w:lang w:eastAsia="ru-RU"/>
        </w:rPr>
        <w:t>л.с</w:t>
      </w:r>
      <w:proofErr w:type="spellEnd"/>
      <w:r w:rsidRPr="00482B2E">
        <w:rPr>
          <w:rFonts w:eastAsiaTheme="minorEastAsia"/>
          <w:sz w:val="28"/>
          <w:szCs w:val="28"/>
          <w:lang w:eastAsia="ru-RU"/>
        </w:rPr>
        <w:t xml:space="preserve">. и более), при одновременном снижении на 37,2% объемов возмещения из бюджета акцизов на бензол, параксилол, </w:t>
      </w:r>
      <w:proofErr w:type="spellStart"/>
      <w:r w:rsidRPr="00482B2E">
        <w:rPr>
          <w:rFonts w:eastAsiaTheme="minorEastAsia"/>
          <w:sz w:val="28"/>
          <w:szCs w:val="28"/>
          <w:lang w:eastAsia="ru-RU"/>
        </w:rPr>
        <w:t>ортоксилол</w:t>
      </w:r>
      <w:proofErr w:type="spellEnd"/>
      <w:r w:rsidRPr="00482B2E">
        <w:rPr>
          <w:rFonts w:eastAsiaTheme="minorEastAsia"/>
          <w:sz w:val="28"/>
          <w:szCs w:val="28"/>
          <w:lang w:eastAsia="ru-RU"/>
        </w:rPr>
        <w:t xml:space="preserve">, используемые в качестве сырья в химической промышленности; </w:t>
      </w:r>
    </w:p>
    <w:p w14:paraId="1AAF82B8" w14:textId="5A62EC32" w:rsidR="00482B2E" w:rsidRPr="00482B2E" w:rsidRDefault="00482B2E" w:rsidP="00482B2E">
      <w:pPr>
        <w:suppressAutoHyphens w:val="0"/>
        <w:autoSpaceDE w:val="0"/>
        <w:autoSpaceDN w:val="0"/>
        <w:adjustRightInd w:val="0"/>
        <w:spacing w:line="276" w:lineRule="auto"/>
        <w:rPr>
          <w:rFonts w:eastAsiaTheme="minorEastAsia"/>
          <w:sz w:val="28"/>
          <w:szCs w:val="28"/>
          <w:lang w:eastAsia="ru-RU"/>
        </w:rPr>
      </w:pPr>
      <w:r w:rsidRPr="00482B2E">
        <w:rPr>
          <w:rFonts w:eastAsiaTheme="minorEastAsia"/>
          <w:sz w:val="28"/>
          <w:szCs w:val="28"/>
          <w:lang w:eastAsia="ru-RU"/>
        </w:rPr>
        <w:t xml:space="preserve">в) налоги на совокупный доход – 1 210 млн. рублей (+45,5%), в основном, в связи с увеличением единого норматива отчислений от налога в местный бюджет на 2021-2023 годы с 4% до 23%, а также по причине роста количества налогоплательщиков, применяющих упрощенную систему налогообложения (УСН), в связи отменой единого налога на вмененный доход (ЕНВД) с 01.01.2021; в бюджет городского округа </w:t>
      </w:r>
      <w:r w:rsidR="008C7ACC">
        <w:rPr>
          <w:rFonts w:eastAsiaTheme="minorEastAsia"/>
          <w:sz w:val="28"/>
          <w:szCs w:val="28"/>
          <w:lang w:eastAsia="ru-RU"/>
        </w:rPr>
        <w:t xml:space="preserve">Тольятти </w:t>
      </w:r>
      <w:r w:rsidRPr="00482B2E">
        <w:rPr>
          <w:rFonts w:eastAsiaTheme="minorEastAsia"/>
          <w:sz w:val="28"/>
          <w:szCs w:val="28"/>
          <w:lang w:eastAsia="ru-RU"/>
        </w:rPr>
        <w:t xml:space="preserve">зачислено 348 млн. рублей (рост в 2,2 раза);   </w:t>
      </w:r>
    </w:p>
    <w:p w14:paraId="5A367AA0" w14:textId="77777777" w:rsidR="00482B2E" w:rsidRPr="00482B2E" w:rsidRDefault="00482B2E" w:rsidP="00482B2E">
      <w:pPr>
        <w:suppressAutoHyphens w:val="0"/>
        <w:autoSpaceDE w:val="0"/>
        <w:autoSpaceDN w:val="0"/>
        <w:adjustRightInd w:val="0"/>
        <w:spacing w:line="276" w:lineRule="auto"/>
        <w:rPr>
          <w:rFonts w:eastAsiaTheme="minorEastAsia"/>
          <w:sz w:val="28"/>
          <w:szCs w:val="28"/>
          <w:lang w:eastAsia="ru-RU"/>
        </w:rPr>
      </w:pPr>
      <w:r w:rsidRPr="00482B2E">
        <w:rPr>
          <w:rFonts w:eastAsiaTheme="minorEastAsia"/>
          <w:sz w:val="28"/>
          <w:szCs w:val="28"/>
          <w:lang w:eastAsia="ru-RU"/>
        </w:rPr>
        <w:t>г) налоги на имущество – 1 912 млн. рублей, что на 10,9% больше, чем за 6 месяцев прошлого года, из них в местный бюджет зачислено  430 млн. рублей (на   0,3% меньше), в основном, за счет снижения на 3,5% (или на 12 млн. рублей) поступлений земельного налога в связи с переоценкой кадастровой стоимости земельных участков; при этом поступления в бюджет городского округа Тольятти налога на имущество физических лиц выросло на 14,3% до 88,4 млн. рублей; в областной бюджет зачислено 1 291 млн. рублей  поступлений налога на имущество организаций (+15,7%),  190 млн. рублей транспортного налога (+7,8%) и 1 млн. рублей налога на игорный бизнес (-21,1%);</w:t>
      </w:r>
    </w:p>
    <w:p w14:paraId="770B2549" w14:textId="77777777" w:rsidR="00482B2E" w:rsidRPr="00482B2E" w:rsidRDefault="00482B2E" w:rsidP="00482B2E">
      <w:pPr>
        <w:suppressAutoHyphens w:val="0"/>
        <w:autoSpaceDE w:val="0"/>
        <w:autoSpaceDN w:val="0"/>
        <w:adjustRightInd w:val="0"/>
        <w:spacing w:line="276" w:lineRule="auto"/>
        <w:rPr>
          <w:rFonts w:eastAsiaTheme="minorEastAsia"/>
          <w:sz w:val="28"/>
          <w:szCs w:val="28"/>
          <w:lang w:eastAsia="ru-RU"/>
        </w:rPr>
      </w:pPr>
      <w:r w:rsidRPr="00482B2E">
        <w:rPr>
          <w:rFonts w:eastAsiaTheme="minorEastAsia"/>
          <w:sz w:val="28"/>
          <w:szCs w:val="28"/>
          <w:lang w:eastAsia="ru-RU"/>
        </w:rPr>
        <w:t>- иные налоговые доходы – 75 млн. рублей (+14,0%), из них: в бюджет городского округа Тольятти зачислено 50 млн. рублей госпошлины (-9,6%).</w:t>
      </w:r>
    </w:p>
    <w:p w14:paraId="01A26792" w14:textId="77777777" w:rsidR="00482B2E" w:rsidRPr="00482B2E" w:rsidRDefault="00482B2E" w:rsidP="00482B2E">
      <w:pPr>
        <w:suppressAutoHyphens w:val="0"/>
        <w:autoSpaceDE w:val="0"/>
        <w:autoSpaceDN w:val="0"/>
        <w:adjustRightInd w:val="0"/>
        <w:spacing w:line="276" w:lineRule="auto"/>
        <w:rPr>
          <w:rFonts w:eastAsiaTheme="minorEastAsia"/>
          <w:sz w:val="28"/>
          <w:szCs w:val="28"/>
          <w:lang w:eastAsia="ru-RU"/>
        </w:rPr>
      </w:pPr>
      <w:r w:rsidRPr="00482B2E">
        <w:rPr>
          <w:rFonts w:eastAsiaTheme="minorEastAsia"/>
          <w:sz w:val="28"/>
          <w:szCs w:val="28"/>
          <w:lang w:eastAsia="ru-RU"/>
        </w:rPr>
        <w:t xml:space="preserve">Неналоговые доходы за 6 месяцев 2021 года составили 469 млн. рублей (из них: неналоговые доходы местного бюджета – 443 млн. рублей), что на 29,5% больше, чем в соответствующем периоде прошлого года, когда наблюдалось снижение собираемости арендной платы за муниципальное имущество в связи с ограничительными мерами по коронавирусу, а также в </w:t>
      </w:r>
      <w:r w:rsidRPr="00482B2E">
        <w:rPr>
          <w:rFonts w:eastAsiaTheme="minorEastAsia"/>
          <w:sz w:val="28"/>
          <w:szCs w:val="28"/>
          <w:lang w:eastAsia="ru-RU"/>
        </w:rPr>
        <w:lastRenderedPageBreak/>
        <w:t xml:space="preserve">связи с прекращением действия постановления администрации городского округа Тольятти от 10.06.2020 № 1810-п/1, которым предоставлялась   арендаторам  отсрочка от уплаты арендной платы за период с 01.04.2020 по 30.09.2020. </w:t>
      </w:r>
    </w:p>
    <w:p w14:paraId="4E6BFDDE" w14:textId="77777777" w:rsidR="00482B2E" w:rsidRPr="00482B2E" w:rsidRDefault="00482B2E" w:rsidP="00482B2E">
      <w:pPr>
        <w:suppressAutoHyphens w:val="0"/>
        <w:autoSpaceDE w:val="0"/>
        <w:autoSpaceDN w:val="0"/>
        <w:adjustRightInd w:val="0"/>
        <w:spacing w:line="276" w:lineRule="auto"/>
        <w:rPr>
          <w:rFonts w:eastAsiaTheme="minorEastAsia"/>
          <w:sz w:val="28"/>
          <w:szCs w:val="28"/>
          <w:lang w:eastAsia="ru-RU"/>
        </w:rPr>
      </w:pPr>
      <w:r w:rsidRPr="00482B2E">
        <w:rPr>
          <w:rFonts w:eastAsiaTheme="minorEastAsia"/>
          <w:sz w:val="28"/>
          <w:szCs w:val="28"/>
          <w:lang w:eastAsia="ru-RU"/>
        </w:rPr>
        <w:t>Согласно рейтингу городских округов Самарской области за январь-июнь 2021 года в сравнении с соответствующим периодом прошлого года городской округ Тольятти по показателям:</w:t>
      </w:r>
    </w:p>
    <w:p w14:paraId="1FF6FF79" w14:textId="0E78CD0C" w:rsidR="00482B2E" w:rsidRPr="00482B2E" w:rsidRDefault="00482B2E" w:rsidP="00482B2E">
      <w:pPr>
        <w:suppressAutoHyphens w:val="0"/>
        <w:autoSpaceDE w:val="0"/>
        <w:autoSpaceDN w:val="0"/>
        <w:adjustRightInd w:val="0"/>
        <w:spacing w:line="276" w:lineRule="auto"/>
        <w:rPr>
          <w:rFonts w:eastAsiaTheme="minorEastAsia"/>
          <w:sz w:val="28"/>
          <w:szCs w:val="28"/>
          <w:lang w:eastAsia="ru-RU"/>
        </w:rPr>
      </w:pPr>
      <w:r w:rsidRPr="00482B2E">
        <w:rPr>
          <w:rFonts w:eastAsiaTheme="minorEastAsia"/>
          <w:sz w:val="28"/>
          <w:szCs w:val="28"/>
          <w:lang w:eastAsia="ru-RU"/>
        </w:rPr>
        <w:t>- «Бюджетная обеспеченность за счет налоговых и неналоговых доходов на душу населения» - на 3 месте (в прошлом году был на 4 месте) среди 10 городских округов со значением показателя 4 651 рублей (в среднем по городским округам Самарской области – 5 572 рублей с приростом 17,4%);</w:t>
      </w:r>
    </w:p>
    <w:p w14:paraId="61B39162" w14:textId="46A38419" w:rsidR="00482B2E" w:rsidRPr="00482B2E" w:rsidRDefault="00482B2E" w:rsidP="00482B2E">
      <w:pPr>
        <w:suppressAutoHyphens w:val="0"/>
        <w:autoSpaceDE w:val="0"/>
        <w:autoSpaceDN w:val="0"/>
        <w:adjustRightInd w:val="0"/>
        <w:spacing w:line="276" w:lineRule="auto"/>
        <w:rPr>
          <w:rFonts w:eastAsiaTheme="minorEastAsia"/>
          <w:sz w:val="28"/>
          <w:szCs w:val="28"/>
          <w:lang w:eastAsia="ru-RU"/>
        </w:rPr>
      </w:pPr>
      <w:r w:rsidRPr="00482B2E">
        <w:rPr>
          <w:rFonts w:eastAsiaTheme="minorEastAsia"/>
          <w:sz w:val="28"/>
          <w:szCs w:val="28"/>
          <w:lang w:eastAsia="ru-RU"/>
        </w:rPr>
        <w:t>- «Бюджетная обеспеченность с учётом безвозмездных перечислений на душу населения, рублей» - понизился со 2 места на 4 место со значением 10 437 рублей (в среднем по городским округам Самарской области – 9 238 рублей с приростом 18,2%).</w:t>
      </w:r>
    </w:p>
    <w:p w14:paraId="40DD40EE" w14:textId="175FE5B1" w:rsidR="00482B2E" w:rsidRPr="00482B2E" w:rsidRDefault="00482B2E" w:rsidP="00482B2E">
      <w:pPr>
        <w:suppressAutoHyphens w:val="0"/>
        <w:autoSpaceDE w:val="0"/>
        <w:autoSpaceDN w:val="0"/>
        <w:adjustRightInd w:val="0"/>
        <w:spacing w:line="276" w:lineRule="auto"/>
        <w:rPr>
          <w:rFonts w:eastAsiaTheme="minorEastAsia"/>
          <w:sz w:val="28"/>
          <w:szCs w:val="28"/>
          <w:lang w:eastAsia="ru-RU"/>
        </w:rPr>
      </w:pPr>
      <w:r w:rsidRPr="00482B2E">
        <w:rPr>
          <w:rFonts w:eastAsiaTheme="minorEastAsia"/>
          <w:sz w:val="28"/>
          <w:szCs w:val="28"/>
          <w:lang w:eastAsia="ru-RU"/>
        </w:rPr>
        <w:t xml:space="preserve">Оценка объёма прибыли организаций на 2021 год основана на данных крупнейших химических предприятий, формирующих основную долю прибыли организаций, а также на ежемесячных данных </w:t>
      </w:r>
      <w:proofErr w:type="spellStart"/>
      <w:r w:rsidRPr="00482B2E">
        <w:rPr>
          <w:rFonts w:eastAsiaTheme="minorEastAsia"/>
          <w:sz w:val="28"/>
          <w:szCs w:val="28"/>
          <w:lang w:eastAsia="ru-RU"/>
        </w:rPr>
        <w:t>Самарастат</w:t>
      </w:r>
      <w:r w:rsidR="000D1764">
        <w:rPr>
          <w:rFonts w:eastAsiaTheme="minorEastAsia"/>
          <w:sz w:val="28"/>
          <w:szCs w:val="28"/>
          <w:lang w:eastAsia="ru-RU"/>
        </w:rPr>
        <w:t>а</w:t>
      </w:r>
      <w:proofErr w:type="spellEnd"/>
      <w:r w:rsidRPr="00482B2E">
        <w:rPr>
          <w:rFonts w:eastAsiaTheme="minorEastAsia"/>
          <w:sz w:val="28"/>
          <w:szCs w:val="28"/>
          <w:lang w:eastAsia="ru-RU"/>
        </w:rPr>
        <w:t xml:space="preserve"> о прибыли крупных и средних организаций за 2018-2020 годы и январь-июнь 2021 года, и годовых данных </w:t>
      </w:r>
      <w:proofErr w:type="spellStart"/>
      <w:r w:rsidRPr="00482B2E">
        <w:rPr>
          <w:rFonts w:eastAsiaTheme="minorEastAsia"/>
          <w:sz w:val="28"/>
          <w:szCs w:val="28"/>
          <w:lang w:eastAsia="ru-RU"/>
        </w:rPr>
        <w:t>Самарастат</w:t>
      </w:r>
      <w:r w:rsidR="000D1764">
        <w:rPr>
          <w:rFonts w:eastAsiaTheme="minorEastAsia"/>
          <w:sz w:val="28"/>
          <w:szCs w:val="28"/>
          <w:lang w:eastAsia="ru-RU"/>
        </w:rPr>
        <w:t>а</w:t>
      </w:r>
      <w:proofErr w:type="spellEnd"/>
      <w:r w:rsidRPr="00482B2E">
        <w:rPr>
          <w:rFonts w:eastAsiaTheme="minorEastAsia"/>
          <w:sz w:val="28"/>
          <w:szCs w:val="28"/>
          <w:lang w:eastAsia="ru-RU"/>
        </w:rPr>
        <w:t xml:space="preserve"> о прибыли организаций по полному кругу лиц за 2018-2020 годы. </w:t>
      </w:r>
    </w:p>
    <w:p w14:paraId="0310CC9F" w14:textId="77777777" w:rsidR="00482B2E" w:rsidRPr="00482B2E" w:rsidRDefault="00482B2E" w:rsidP="00482B2E">
      <w:pPr>
        <w:suppressAutoHyphens w:val="0"/>
        <w:autoSpaceDE w:val="0"/>
        <w:autoSpaceDN w:val="0"/>
        <w:adjustRightInd w:val="0"/>
        <w:spacing w:line="276" w:lineRule="auto"/>
        <w:rPr>
          <w:rFonts w:eastAsiaTheme="minorEastAsia"/>
          <w:sz w:val="28"/>
          <w:szCs w:val="28"/>
          <w:lang w:eastAsia="ru-RU"/>
        </w:rPr>
      </w:pPr>
      <w:r w:rsidRPr="00482B2E">
        <w:rPr>
          <w:rFonts w:eastAsiaTheme="minorEastAsia"/>
          <w:sz w:val="28"/>
          <w:szCs w:val="28"/>
          <w:lang w:eastAsia="ru-RU"/>
        </w:rPr>
        <w:t>Кроме того, при оценке прибыли организаций учтены такие факторы, как ожидаемое снижение темпов роста прибыли организаций, начиная со II полугодия 2021 года по сравнению с июлем-декабрём 2020 года, когда были сняты карантинные ограничения, а также возможное сокращение прибыли в производстве автомобилей и смежных отраслях промышленности в связи с перебоями поставок электронных компонентов для производства легковых автомобилей.</w:t>
      </w:r>
    </w:p>
    <w:p w14:paraId="3686A14A" w14:textId="77777777" w:rsidR="00482B2E" w:rsidRPr="00482B2E" w:rsidRDefault="00482B2E" w:rsidP="00482B2E">
      <w:pPr>
        <w:suppressAutoHyphens w:val="0"/>
        <w:autoSpaceDE w:val="0"/>
        <w:autoSpaceDN w:val="0"/>
        <w:adjustRightInd w:val="0"/>
        <w:spacing w:line="276" w:lineRule="auto"/>
        <w:rPr>
          <w:rFonts w:eastAsiaTheme="minorEastAsia"/>
          <w:sz w:val="28"/>
          <w:szCs w:val="28"/>
          <w:lang w:eastAsia="ru-RU"/>
        </w:rPr>
      </w:pPr>
      <w:r w:rsidRPr="00482B2E">
        <w:rPr>
          <w:rFonts w:eastAsiaTheme="minorEastAsia"/>
          <w:sz w:val="28"/>
          <w:szCs w:val="28"/>
          <w:lang w:eastAsia="ru-RU"/>
        </w:rPr>
        <w:t xml:space="preserve">Таким образом, прибыль крупных и средних организаций на конец 2021 года, оценочно, может составить 84 898 млн. рублей, что с учётом ожидаемого замедления роста прибыли в июле-декабре, в 3,4 раза больше, чем в 2020 году. По полному кругу лиц объём прибыли оценивается в 103 904 млн. рублей, что в 2,2 раза выше уровня 2020 года и на 74,2% выше, чем в 2019 году. Точность оценки объемов прибыли на 2021 год значительно понижена в связи с неопределенностью влияния перебоев в поставке электронных компонентов производства ООО «Роберт Бош Самара», используемых при производстве автомобилей LADA на тольяттинской площадке, на прибыль предприятий смежных производств. </w:t>
      </w:r>
    </w:p>
    <w:p w14:paraId="65E67032" w14:textId="0429FBCE" w:rsidR="00482B2E" w:rsidRPr="00482B2E" w:rsidRDefault="00482B2E" w:rsidP="00482B2E">
      <w:pPr>
        <w:suppressAutoHyphens w:val="0"/>
        <w:autoSpaceDE w:val="0"/>
        <w:autoSpaceDN w:val="0"/>
        <w:adjustRightInd w:val="0"/>
        <w:spacing w:line="276" w:lineRule="auto"/>
        <w:rPr>
          <w:rFonts w:eastAsiaTheme="minorEastAsia"/>
          <w:sz w:val="28"/>
          <w:szCs w:val="28"/>
          <w:lang w:eastAsia="ru-RU"/>
        </w:rPr>
      </w:pPr>
      <w:r w:rsidRPr="00482B2E">
        <w:rPr>
          <w:rFonts w:eastAsiaTheme="minorEastAsia"/>
          <w:sz w:val="28"/>
          <w:szCs w:val="28"/>
          <w:lang w:eastAsia="ru-RU"/>
        </w:rPr>
        <w:lastRenderedPageBreak/>
        <w:t xml:space="preserve">Оценка ожидаемых объемов налоговых и неналоговых доходов </w:t>
      </w:r>
      <w:r w:rsidR="00047828">
        <w:rPr>
          <w:rFonts w:eastAsiaTheme="minorEastAsia"/>
          <w:sz w:val="28"/>
          <w:szCs w:val="28"/>
          <w:lang w:eastAsia="ru-RU"/>
        </w:rPr>
        <w:t>за 2021 год</w:t>
      </w:r>
      <w:r w:rsidR="00047828" w:rsidRPr="00482B2E">
        <w:rPr>
          <w:rFonts w:eastAsiaTheme="minorEastAsia"/>
          <w:sz w:val="28"/>
          <w:szCs w:val="28"/>
          <w:lang w:eastAsia="ru-RU"/>
        </w:rPr>
        <w:t xml:space="preserve"> </w:t>
      </w:r>
      <w:r w:rsidRPr="00482B2E">
        <w:rPr>
          <w:rFonts w:eastAsiaTheme="minorEastAsia"/>
          <w:sz w:val="28"/>
          <w:szCs w:val="28"/>
          <w:lang w:eastAsia="ru-RU"/>
        </w:rPr>
        <w:t xml:space="preserve">проведена на основании полугодовой статистической и налоговой информации с коррекцией отдельных показателей с учётом фактических значений за 8 месяцев, а также информации администраторов неналоговых доходов об их прогнозируемых объемах на 2022-2024 годы.  </w:t>
      </w:r>
    </w:p>
    <w:p w14:paraId="546B169D" w14:textId="77777777" w:rsidR="00482B2E" w:rsidRPr="00482B2E" w:rsidRDefault="00482B2E" w:rsidP="00482B2E">
      <w:pPr>
        <w:suppressAutoHyphens w:val="0"/>
        <w:autoSpaceDE w:val="0"/>
        <w:autoSpaceDN w:val="0"/>
        <w:adjustRightInd w:val="0"/>
        <w:spacing w:line="276" w:lineRule="auto"/>
        <w:rPr>
          <w:rFonts w:eastAsiaTheme="minorEastAsia"/>
          <w:sz w:val="28"/>
          <w:szCs w:val="28"/>
          <w:lang w:eastAsia="ru-RU"/>
        </w:rPr>
      </w:pPr>
      <w:r w:rsidRPr="00482B2E">
        <w:rPr>
          <w:rFonts w:eastAsiaTheme="minorEastAsia"/>
          <w:sz w:val="28"/>
          <w:szCs w:val="28"/>
          <w:lang w:eastAsia="ru-RU"/>
        </w:rPr>
        <w:t xml:space="preserve">Амортизационные отчисления на полное восстановление основных средств организаций составят оценочно 26 621 млн. рублей (+ 7,5% к уровню 2020 года). В связи с отсутствием полугодовых данных, темп роста на 2021 год принят на уровне среднего значения за 4 предшествующих года. </w:t>
      </w:r>
    </w:p>
    <w:p w14:paraId="2B4F66D1" w14:textId="77777777" w:rsidR="00482B2E" w:rsidRPr="00482B2E" w:rsidRDefault="00482B2E" w:rsidP="00482B2E">
      <w:pPr>
        <w:suppressAutoHyphens w:val="0"/>
        <w:autoSpaceDE w:val="0"/>
        <w:autoSpaceDN w:val="0"/>
        <w:adjustRightInd w:val="0"/>
        <w:spacing w:line="276" w:lineRule="auto"/>
        <w:rPr>
          <w:rFonts w:eastAsiaTheme="minorEastAsia"/>
          <w:sz w:val="28"/>
          <w:szCs w:val="28"/>
          <w:lang w:eastAsia="ru-RU"/>
        </w:rPr>
      </w:pPr>
      <w:r w:rsidRPr="00482B2E">
        <w:rPr>
          <w:rFonts w:eastAsiaTheme="minorEastAsia"/>
          <w:sz w:val="28"/>
          <w:szCs w:val="28"/>
          <w:lang w:eastAsia="ru-RU"/>
        </w:rPr>
        <w:t xml:space="preserve">Налоговые доходы в 2021 году оценочно вырастут на 54,6% и составят 61 492 млн. рублей с учётом фактических полугодовых значений и ожидаемых поступлений во втором полугодии текущего года, в том числе по основным видам налогов: </w:t>
      </w:r>
    </w:p>
    <w:p w14:paraId="20283B57" w14:textId="77777777" w:rsidR="00482B2E" w:rsidRPr="00482B2E" w:rsidRDefault="00482B2E" w:rsidP="00482B2E">
      <w:pPr>
        <w:suppressAutoHyphens w:val="0"/>
        <w:autoSpaceDE w:val="0"/>
        <w:autoSpaceDN w:val="0"/>
        <w:adjustRightInd w:val="0"/>
        <w:spacing w:line="276" w:lineRule="auto"/>
        <w:rPr>
          <w:rFonts w:eastAsiaTheme="minorEastAsia"/>
          <w:sz w:val="28"/>
          <w:szCs w:val="28"/>
          <w:lang w:eastAsia="ru-RU"/>
        </w:rPr>
      </w:pPr>
      <w:r w:rsidRPr="00482B2E">
        <w:rPr>
          <w:rFonts w:eastAsiaTheme="minorEastAsia"/>
          <w:sz w:val="28"/>
          <w:szCs w:val="28"/>
          <w:lang w:eastAsia="ru-RU"/>
        </w:rPr>
        <w:t>- налоги на прибыль, доходы: налог на прибыль организаций – рост в 2,2 раза в соответствии с ростом прибыли организаций; НДФЛ - рост на 10,0% до 14 915 млн. рублей (с учётом поступлений за 8 месяцев 2021 года), из них в местный бюджет будет зачислено 4 415 млн. рублей (+9,0% к уровню 2020 года);</w:t>
      </w:r>
    </w:p>
    <w:p w14:paraId="42794329" w14:textId="77777777" w:rsidR="00482B2E" w:rsidRPr="00482B2E" w:rsidRDefault="00482B2E" w:rsidP="00482B2E">
      <w:pPr>
        <w:suppressAutoHyphens w:val="0"/>
        <w:autoSpaceDE w:val="0"/>
        <w:autoSpaceDN w:val="0"/>
        <w:adjustRightInd w:val="0"/>
        <w:spacing w:line="276" w:lineRule="auto"/>
        <w:rPr>
          <w:rFonts w:eastAsiaTheme="minorEastAsia"/>
          <w:sz w:val="28"/>
          <w:szCs w:val="28"/>
          <w:lang w:eastAsia="ru-RU"/>
        </w:rPr>
      </w:pPr>
      <w:r w:rsidRPr="00482B2E">
        <w:rPr>
          <w:rFonts w:eastAsiaTheme="minorEastAsia"/>
          <w:sz w:val="28"/>
          <w:szCs w:val="28"/>
          <w:lang w:eastAsia="ru-RU"/>
        </w:rPr>
        <w:t>- налоги на товары (работы, услуги): НДС – рост на 62,3% до 17 825 млн. рублей; поступления акцизов оценочно составят 351 млн. рублей в результате превышения уплаченных акцизов на автомобили, бензин и алкогольную продукцию в сумме 1 242 млн. рублей над объемами возмещения акцизов из бюджета в химической промышленности (-891 млн. рублей);</w:t>
      </w:r>
    </w:p>
    <w:p w14:paraId="41124B78" w14:textId="77777777" w:rsidR="00482B2E" w:rsidRPr="00482B2E" w:rsidRDefault="00482B2E" w:rsidP="00482B2E">
      <w:pPr>
        <w:suppressAutoHyphens w:val="0"/>
        <w:autoSpaceDE w:val="0"/>
        <w:autoSpaceDN w:val="0"/>
        <w:adjustRightInd w:val="0"/>
        <w:spacing w:line="276" w:lineRule="auto"/>
        <w:rPr>
          <w:rFonts w:eastAsiaTheme="minorEastAsia"/>
          <w:sz w:val="28"/>
          <w:szCs w:val="28"/>
          <w:lang w:eastAsia="ru-RU"/>
        </w:rPr>
      </w:pPr>
      <w:r w:rsidRPr="00482B2E">
        <w:rPr>
          <w:rFonts w:eastAsiaTheme="minorEastAsia"/>
          <w:sz w:val="28"/>
          <w:szCs w:val="28"/>
          <w:lang w:eastAsia="ru-RU"/>
        </w:rPr>
        <w:t xml:space="preserve">- налоги на имущество (налог на имущество организаций; транспортный налог, земельный налог; НИФЛ, налог на игорный бизнес) – рост на 6,4% до 4 953 млн. рублей, в основном, за счёт роста поступлений налога на имущество организаций на 8,4% и транспортного налога на 6,7% в областной бюджет; поступления в бюджет городского округа Тольятти земельного налога снизятся на 6,3% до 739 млн. рублей, налога на имущество физических лиц вырастут оценочно на 10,3% до 770 млн. рублей; </w:t>
      </w:r>
    </w:p>
    <w:p w14:paraId="75E610AF" w14:textId="77777777" w:rsidR="00482B2E" w:rsidRPr="00482B2E" w:rsidRDefault="00482B2E" w:rsidP="00482B2E">
      <w:pPr>
        <w:suppressAutoHyphens w:val="0"/>
        <w:autoSpaceDE w:val="0"/>
        <w:autoSpaceDN w:val="0"/>
        <w:adjustRightInd w:val="0"/>
        <w:spacing w:line="276" w:lineRule="auto"/>
        <w:rPr>
          <w:rFonts w:eastAsiaTheme="minorEastAsia"/>
          <w:sz w:val="28"/>
          <w:szCs w:val="28"/>
          <w:lang w:eastAsia="ru-RU"/>
        </w:rPr>
      </w:pPr>
      <w:r w:rsidRPr="00482B2E">
        <w:rPr>
          <w:rFonts w:eastAsiaTheme="minorEastAsia"/>
          <w:sz w:val="28"/>
          <w:szCs w:val="28"/>
          <w:lang w:eastAsia="ru-RU"/>
        </w:rPr>
        <w:t>- налоги на совокупный доход (поступления по специальным налоговым режимам для субъектов малого предпринимательства: УСН, ЕНВД, патентная система налогообложения, а также единый сельскохозяйственный налог): рост на 55,1% до 2 863 млн. рублей, в основном, за счёт роста поступлений от УСН на 71,1% в связи с повышением единого норматива зачисления налога в местные бюджеты с 4% до 23%, а также роста числа налогоплательщиков в связи с отменой ЕНВД;</w:t>
      </w:r>
    </w:p>
    <w:p w14:paraId="161AFE77" w14:textId="77777777" w:rsidR="00482B2E" w:rsidRPr="00482B2E" w:rsidRDefault="00482B2E" w:rsidP="00482B2E">
      <w:pPr>
        <w:suppressAutoHyphens w:val="0"/>
        <w:autoSpaceDE w:val="0"/>
        <w:autoSpaceDN w:val="0"/>
        <w:adjustRightInd w:val="0"/>
        <w:spacing w:line="276" w:lineRule="auto"/>
        <w:rPr>
          <w:rFonts w:eastAsiaTheme="minorEastAsia"/>
          <w:sz w:val="28"/>
          <w:szCs w:val="28"/>
          <w:lang w:eastAsia="ru-RU"/>
        </w:rPr>
      </w:pPr>
      <w:r w:rsidRPr="00482B2E">
        <w:rPr>
          <w:rFonts w:eastAsiaTheme="minorEastAsia"/>
          <w:sz w:val="28"/>
          <w:szCs w:val="28"/>
          <w:lang w:eastAsia="ru-RU"/>
        </w:rPr>
        <w:lastRenderedPageBreak/>
        <w:t>- иные налоговые доходы (налоги, сборы за пользование природными ресурсами, госпошлина, единый платеж физического лица и другие) составят 150 млн. рублей (+64,0%), в основном, за счёт роста госпошлины на 61,2%.</w:t>
      </w:r>
    </w:p>
    <w:p w14:paraId="24A0DC7F" w14:textId="07337F6E" w:rsidR="00482B2E" w:rsidRPr="00482B2E" w:rsidRDefault="00482B2E" w:rsidP="00482B2E">
      <w:pPr>
        <w:suppressAutoHyphens w:val="0"/>
        <w:autoSpaceDE w:val="0"/>
        <w:autoSpaceDN w:val="0"/>
        <w:adjustRightInd w:val="0"/>
        <w:spacing w:line="276" w:lineRule="auto"/>
        <w:rPr>
          <w:rFonts w:eastAsiaTheme="minorEastAsia"/>
          <w:sz w:val="28"/>
          <w:szCs w:val="28"/>
          <w:lang w:eastAsia="ru-RU"/>
        </w:rPr>
      </w:pPr>
      <w:r w:rsidRPr="00482B2E">
        <w:rPr>
          <w:rFonts w:eastAsiaTheme="minorEastAsia"/>
          <w:sz w:val="28"/>
          <w:szCs w:val="28"/>
          <w:lang w:eastAsia="ru-RU"/>
        </w:rPr>
        <w:t>Неналоговые доходы в 2021 году составят 850 млн. рублей при росте на 1,1% относительно уровня 2020 года, из них в бюджет городского округа</w:t>
      </w:r>
      <w:r w:rsidR="00503EAC">
        <w:rPr>
          <w:rFonts w:eastAsiaTheme="minorEastAsia"/>
          <w:sz w:val="28"/>
          <w:szCs w:val="28"/>
          <w:lang w:eastAsia="ru-RU"/>
        </w:rPr>
        <w:t xml:space="preserve"> Тольятти</w:t>
      </w:r>
      <w:r w:rsidRPr="00482B2E">
        <w:rPr>
          <w:rFonts w:eastAsiaTheme="minorEastAsia"/>
          <w:sz w:val="28"/>
          <w:szCs w:val="28"/>
          <w:lang w:eastAsia="ru-RU"/>
        </w:rPr>
        <w:t xml:space="preserve"> будет зачислено, по оценке, 847 млн. рублей (+1,2% к уровню 2020 года).</w:t>
      </w:r>
    </w:p>
    <w:p w14:paraId="4A37AFA1" w14:textId="70C370B5" w:rsidR="00482B2E" w:rsidRPr="00482B2E" w:rsidRDefault="00482B2E" w:rsidP="00482B2E">
      <w:pPr>
        <w:suppressAutoHyphens w:val="0"/>
        <w:autoSpaceDE w:val="0"/>
        <w:autoSpaceDN w:val="0"/>
        <w:adjustRightInd w:val="0"/>
        <w:spacing w:line="276" w:lineRule="auto"/>
        <w:rPr>
          <w:rFonts w:eastAsiaTheme="minorEastAsia"/>
          <w:sz w:val="28"/>
          <w:szCs w:val="28"/>
          <w:lang w:eastAsia="ru-RU"/>
        </w:rPr>
      </w:pPr>
      <w:r w:rsidRPr="00482B2E">
        <w:rPr>
          <w:rFonts w:eastAsiaTheme="minorEastAsia"/>
          <w:sz w:val="28"/>
          <w:szCs w:val="28"/>
          <w:lang w:eastAsia="ru-RU"/>
        </w:rPr>
        <w:t>Страховые взносы в государственные внебюджетные фонды составят 34 428 млн. рублей (+10,0% к уровню 2020 года в соответствии с темпом роста поступлений НДФЛ). При этом, по данным государственных внебюджетных фондов</w:t>
      </w:r>
      <w:r w:rsidR="006856D8">
        <w:rPr>
          <w:rFonts w:eastAsiaTheme="minorEastAsia"/>
          <w:sz w:val="28"/>
          <w:szCs w:val="28"/>
          <w:lang w:eastAsia="ru-RU"/>
        </w:rPr>
        <w:t>,</w:t>
      </w:r>
      <w:r w:rsidRPr="00482B2E">
        <w:rPr>
          <w:rFonts w:eastAsiaTheme="minorEastAsia"/>
          <w:sz w:val="28"/>
          <w:szCs w:val="28"/>
          <w:lang w:eastAsia="ru-RU"/>
        </w:rPr>
        <w:t xml:space="preserve"> их расходы на выплату пенсий, пособий и иных выплат жителям и учреждениям здравоохранения городского округа Тольятти составят 67 253 млн. рублей (+10,0%), что на 40 189 млн. рублей больше суммы страховых взносов за счёт финансирования дефицита Пенсионного Фонда России, сложившегося по территории городского округа Тольятти, из федерального бюджета, а также безвозмездных поступлений (субвенций и межбюджетных трансфертов) из бюджетов федеральных фондов социального и медицинского страхования, а также из областного бюджета по долечиванию (реабилитации) населения и дополнительному финансовому обеспечению учреждений здравоохранения в условиях коронавирусной инфекции.</w:t>
      </w:r>
    </w:p>
    <w:p w14:paraId="555995DE" w14:textId="77777777" w:rsidR="00482B2E" w:rsidRPr="00482B2E" w:rsidRDefault="00482B2E" w:rsidP="00482B2E">
      <w:pPr>
        <w:suppressAutoHyphens w:val="0"/>
        <w:autoSpaceDE w:val="0"/>
        <w:autoSpaceDN w:val="0"/>
        <w:adjustRightInd w:val="0"/>
        <w:spacing w:line="276" w:lineRule="auto"/>
        <w:rPr>
          <w:rFonts w:eastAsiaTheme="minorEastAsia"/>
          <w:sz w:val="28"/>
          <w:szCs w:val="28"/>
          <w:lang w:eastAsia="ru-RU"/>
        </w:rPr>
      </w:pPr>
      <w:r w:rsidRPr="00482B2E">
        <w:rPr>
          <w:rFonts w:eastAsiaTheme="minorEastAsia"/>
          <w:sz w:val="28"/>
          <w:szCs w:val="28"/>
          <w:lang w:eastAsia="ru-RU"/>
        </w:rPr>
        <w:t>Расходы за счет средств, остающихся в распоряжении организаций по полному кругу, рассчитанная как сумма прибыли прибыльных организаций до налогообложения (за вычетом налога на прибыль) и амортизационных отчислений на полное восстановление основных средств, составят в 2021 году 110 184 млн. рублей, что на 76,8% больше, чем в 2020 году, за счет роста прибыли прибыльных организаций.</w:t>
      </w:r>
    </w:p>
    <w:p w14:paraId="68D75271" w14:textId="4274573F" w:rsidR="00482B2E" w:rsidRPr="00482B2E" w:rsidRDefault="00482B2E" w:rsidP="00482B2E">
      <w:pPr>
        <w:suppressAutoHyphens w:val="0"/>
        <w:autoSpaceDE w:val="0"/>
        <w:autoSpaceDN w:val="0"/>
        <w:adjustRightInd w:val="0"/>
        <w:spacing w:line="276" w:lineRule="auto"/>
        <w:rPr>
          <w:rFonts w:eastAsiaTheme="minorEastAsia"/>
          <w:sz w:val="28"/>
          <w:szCs w:val="28"/>
          <w:lang w:eastAsia="ru-RU"/>
        </w:rPr>
      </w:pPr>
      <w:proofErr w:type="gramStart"/>
      <w:r w:rsidRPr="00482B2E">
        <w:rPr>
          <w:rFonts w:eastAsiaTheme="minorEastAsia"/>
          <w:sz w:val="28"/>
          <w:szCs w:val="28"/>
          <w:lang w:eastAsia="ru-RU"/>
        </w:rPr>
        <w:t>Таким  образом</w:t>
      </w:r>
      <w:proofErr w:type="gramEnd"/>
      <w:r w:rsidRPr="00482B2E">
        <w:rPr>
          <w:rFonts w:eastAsiaTheme="minorEastAsia"/>
          <w:sz w:val="28"/>
          <w:szCs w:val="28"/>
          <w:lang w:eastAsia="ru-RU"/>
        </w:rPr>
        <w:t>, финансовые итоги деятельности организаций за I полугодие 2021 года сложились значительно более высокими, чем это прогнозировалось в 2020 году</w:t>
      </w:r>
      <w:r w:rsidR="008C38A1">
        <w:rPr>
          <w:rFonts w:eastAsiaTheme="minorEastAsia"/>
          <w:sz w:val="28"/>
          <w:szCs w:val="28"/>
          <w:lang w:eastAsia="ru-RU"/>
        </w:rPr>
        <w:t>, когда наблюдались исключительно отрицательные тенденции</w:t>
      </w:r>
      <w:r w:rsidRPr="00482B2E">
        <w:rPr>
          <w:rFonts w:eastAsiaTheme="minorEastAsia"/>
          <w:sz w:val="28"/>
          <w:szCs w:val="28"/>
          <w:lang w:eastAsia="ru-RU"/>
        </w:rPr>
        <w:t xml:space="preserve">. </w:t>
      </w:r>
    </w:p>
    <w:p w14:paraId="2782AF5D" w14:textId="3C833E0A" w:rsidR="00482B2E" w:rsidRPr="00482B2E" w:rsidRDefault="00482B2E" w:rsidP="00482B2E">
      <w:pPr>
        <w:suppressAutoHyphens w:val="0"/>
        <w:autoSpaceDE w:val="0"/>
        <w:autoSpaceDN w:val="0"/>
        <w:adjustRightInd w:val="0"/>
        <w:spacing w:line="276" w:lineRule="auto"/>
        <w:rPr>
          <w:rFonts w:eastAsiaTheme="minorEastAsia"/>
          <w:sz w:val="28"/>
          <w:szCs w:val="28"/>
          <w:lang w:eastAsia="ru-RU"/>
        </w:rPr>
      </w:pPr>
      <w:r w:rsidRPr="00482B2E">
        <w:rPr>
          <w:rFonts w:eastAsiaTheme="minorEastAsia"/>
          <w:sz w:val="28"/>
          <w:szCs w:val="28"/>
          <w:lang w:eastAsia="ru-RU"/>
        </w:rPr>
        <w:t xml:space="preserve">Необходимость корректировки объемов прибыли организаций на 2021 год обусловлена рекордными объемами прибыли, полученными экспортно-ориентированными химическими предприятиями за </w:t>
      </w:r>
      <w:r w:rsidR="00B81A11">
        <w:rPr>
          <w:rFonts w:eastAsiaTheme="minorEastAsia"/>
          <w:sz w:val="28"/>
          <w:szCs w:val="28"/>
          <w:lang w:val="en-US" w:eastAsia="ru-RU"/>
        </w:rPr>
        <w:t>I</w:t>
      </w:r>
      <w:r w:rsidRPr="00482B2E">
        <w:rPr>
          <w:rFonts w:eastAsiaTheme="minorEastAsia"/>
          <w:sz w:val="28"/>
          <w:szCs w:val="28"/>
          <w:lang w:eastAsia="ru-RU"/>
        </w:rPr>
        <w:t xml:space="preserve"> полугодие 2021 года, а также расчетом прибыли организаций по полному кругу (ранее прогнозировались объёмы прибыли по крупным и средним организациями, что являлось несопоставимым с суммами уплаченного налога на прибыль организаций (по данным формы ФНС № 1-НМ). Прогноз поступления налога на прибыль, соответственно, также корректируется в большую сторону. </w:t>
      </w:r>
    </w:p>
    <w:p w14:paraId="5B8E555B" w14:textId="77777777" w:rsidR="00482B2E" w:rsidRPr="00482B2E" w:rsidRDefault="00482B2E" w:rsidP="00482B2E">
      <w:pPr>
        <w:suppressAutoHyphens w:val="0"/>
        <w:autoSpaceDE w:val="0"/>
        <w:autoSpaceDN w:val="0"/>
        <w:adjustRightInd w:val="0"/>
        <w:spacing w:line="276" w:lineRule="auto"/>
        <w:rPr>
          <w:rFonts w:eastAsiaTheme="minorEastAsia"/>
          <w:sz w:val="28"/>
          <w:szCs w:val="28"/>
          <w:lang w:eastAsia="ru-RU"/>
        </w:rPr>
      </w:pPr>
      <w:r w:rsidRPr="00482B2E">
        <w:rPr>
          <w:rFonts w:eastAsiaTheme="minorEastAsia"/>
          <w:sz w:val="28"/>
          <w:szCs w:val="28"/>
          <w:lang w:eastAsia="ru-RU"/>
        </w:rPr>
        <w:lastRenderedPageBreak/>
        <w:t xml:space="preserve">Оценка амортизационных отчислений на полное восстановление основных средств организаций на 2021 год по сравнению с прогнозом на 2021 год скорректирована в меньшую сторону в связи с тем, что прогноз на 2021 год рассчитывался исходя из оценки на 2020 год с темпом роста 114,5% (соответствующий темпу роста инвестиций в основной капитал), однако фактически он составил в 2020 году только 105,4%. Поэтому при расчёте оценки на 2021 год был использован средний за 4 предшествующих года темп роста. </w:t>
      </w:r>
    </w:p>
    <w:p w14:paraId="7E6D6457" w14:textId="14C7BE20" w:rsidR="00482B2E" w:rsidRPr="00482B2E" w:rsidRDefault="00482B2E" w:rsidP="00482B2E">
      <w:pPr>
        <w:suppressAutoHyphens w:val="0"/>
        <w:autoSpaceDE w:val="0"/>
        <w:autoSpaceDN w:val="0"/>
        <w:adjustRightInd w:val="0"/>
        <w:spacing w:line="276" w:lineRule="auto"/>
        <w:rPr>
          <w:rFonts w:eastAsiaTheme="minorEastAsia"/>
          <w:sz w:val="28"/>
          <w:szCs w:val="28"/>
          <w:lang w:eastAsia="ru-RU"/>
        </w:rPr>
      </w:pPr>
      <w:r w:rsidRPr="00482B2E">
        <w:rPr>
          <w:rFonts w:eastAsiaTheme="minorEastAsia"/>
          <w:sz w:val="28"/>
          <w:szCs w:val="28"/>
          <w:lang w:eastAsia="ru-RU"/>
        </w:rPr>
        <w:t xml:space="preserve">Кроме того, увеличивается оценка на 2021 год по сравнению с прогнозом поступлений НДС с учётом их роста за 6 месяцев 2021 </w:t>
      </w:r>
      <w:r w:rsidR="006856D8">
        <w:rPr>
          <w:rFonts w:eastAsiaTheme="minorEastAsia"/>
          <w:sz w:val="28"/>
          <w:szCs w:val="28"/>
          <w:lang w:eastAsia="ru-RU"/>
        </w:rPr>
        <w:t xml:space="preserve">года </w:t>
      </w:r>
      <w:r w:rsidRPr="00482B2E">
        <w:rPr>
          <w:rFonts w:eastAsiaTheme="minorEastAsia"/>
          <w:sz w:val="28"/>
          <w:szCs w:val="28"/>
          <w:lang w:eastAsia="ru-RU"/>
        </w:rPr>
        <w:t xml:space="preserve">по виду деятельности «Производство автотранспортных средств, прицепов и полуприцепов», а также оценка акцизов по причине их роста по тому же виду деятельности при одновременном снижении объемов возмещения акцизов в химическом производстве. </w:t>
      </w:r>
    </w:p>
    <w:p w14:paraId="45AF471B" w14:textId="77777777" w:rsidR="00482B2E" w:rsidRPr="00482B2E" w:rsidRDefault="00482B2E" w:rsidP="00482B2E">
      <w:pPr>
        <w:suppressAutoHyphens w:val="0"/>
        <w:autoSpaceDE w:val="0"/>
        <w:autoSpaceDN w:val="0"/>
        <w:adjustRightInd w:val="0"/>
        <w:spacing w:line="276" w:lineRule="auto"/>
        <w:rPr>
          <w:rFonts w:eastAsiaTheme="minorEastAsia"/>
          <w:sz w:val="28"/>
          <w:szCs w:val="28"/>
          <w:lang w:eastAsia="ru-RU"/>
        </w:rPr>
      </w:pPr>
      <w:r w:rsidRPr="00482B2E">
        <w:rPr>
          <w:rFonts w:eastAsiaTheme="minorEastAsia"/>
          <w:sz w:val="28"/>
          <w:szCs w:val="28"/>
          <w:lang w:eastAsia="ru-RU"/>
        </w:rPr>
        <w:t>Оценка поступлений налогов на совокупный доход увеличена по сравнению с прогнозом в связи с более высокими поступлениями в январе-июне 2021 года за счёт повышения единого норматива зачислений УСН в местные бюджеты с 4% до 23%.</w:t>
      </w:r>
    </w:p>
    <w:p w14:paraId="7047A70E" w14:textId="77777777" w:rsidR="00482B2E" w:rsidRPr="00482B2E" w:rsidRDefault="00482B2E" w:rsidP="00482B2E">
      <w:pPr>
        <w:suppressAutoHyphens w:val="0"/>
        <w:autoSpaceDE w:val="0"/>
        <w:autoSpaceDN w:val="0"/>
        <w:adjustRightInd w:val="0"/>
        <w:spacing w:line="276" w:lineRule="auto"/>
        <w:rPr>
          <w:rFonts w:eastAsiaTheme="minorEastAsia"/>
          <w:sz w:val="28"/>
          <w:szCs w:val="28"/>
          <w:lang w:eastAsia="ru-RU"/>
        </w:rPr>
      </w:pPr>
      <w:r w:rsidRPr="00482B2E">
        <w:rPr>
          <w:rFonts w:eastAsiaTheme="minorEastAsia"/>
          <w:sz w:val="28"/>
          <w:szCs w:val="28"/>
          <w:lang w:eastAsia="ru-RU"/>
        </w:rPr>
        <w:t>Оценка страховых взносов во внебюджетные фонды (ПФР, ТФОМС и ФСС) увеличена по сравнению с прогнозом в связи с изменением методики расчёта показателя. Ранее в расчёте использовались отчётные данные формы № 1-НМ ФНС по Самарской области (администратор страховых взносов в государственные внебюджетные фонды). Однако, они являются не полными в части отсутствия данных о поступлении страховых взносов в бюджеты федеральных фондов. Поэтому был использован расчётный метод, при котором сумма страховых взносов за 2020 год была определена исходя из ставки 30% от фонда оплаты труда (ФОТ), который, в свою очередь, был рассчитан от поступлений НДФЛ за 2020 год и его ставки 13% ФОТ. Кроме того, на увеличение оценки страховых взносов повлиял более высокий рост заработной платы работников организаций в I полугодии 2021 года, чем это ожидалось годом ранее. Соответственно, этот же фактор повлиял на корректировку в большую сторону расходов внебюджетных фондов.</w:t>
      </w:r>
    </w:p>
    <w:p w14:paraId="07E0B289" w14:textId="77777777" w:rsidR="00482B2E" w:rsidRPr="00482B2E" w:rsidRDefault="00482B2E" w:rsidP="00482B2E">
      <w:pPr>
        <w:suppressAutoHyphens w:val="0"/>
        <w:autoSpaceDE w:val="0"/>
        <w:autoSpaceDN w:val="0"/>
        <w:adjustRightInd w:val="0"/>
        <w:spacing w:line="276" w:lineRule="auto"/>
        <w:rPr>
          <w:rFonts w:eastAsiaTheme="minorEastAsia"/>
          <w:sz w:val="28"/>
          <w:szCs w:val="28"/>
          <w:lang w:eastAsia="ru-RU"/>
        </w:rPr>
      </w:pPr>
      <w:r w:rsidRPr="00482B2E">
        <w:rPr>
          <w:rFonts w:eastAsiaTheme="minorEastAsia"/>
          <w:sz w:val="28"/>
          <w:szCs w:val="28"/>
          <w:lang w:eastAsia="ru-RU"/>
        </w:rPr>
        <w:t>Корректировка оценки расходов за счет средств, остающихся в распоряжении организаций, по сравнению с прогнозом проведена в связи с увеличением оценки прибыли организаций и налога на прибыль организаций, а также снижения амортизационных отчислений.</w:t>
      </w:r>
    </w:p>
    <w:p w14:paraId="5407E354" w14:textId="77777777" w:rsidR="00806DED" w:rsidRDefault="00806DED" w:rsidP="00482B2E">
      <w:pPr>
        <w:pStyle w:val="af0"/>
        <w:spacing w:line="276" w:lineRule="auto"/>
        <w:jc w:val="center"/>
        <w:rPr>
          <w:sz w:val="28"/>
          <w:szCs w:val="28"/>
        </w:rPr>
      </w:pPr>
    </w:p>
    <w:p w14:paraId="4DA8E841" w14:textId="77777777" w:rsidR="00806DED" w:rsidRDefault="00806DED" w:rsidP="00482B2E">
      <w:pPr>
        <w:pStyle w:val="af0"/>
        <w:spacing w:line="276" w:lineRule="auto"/>
        <w:jc w:val="center"/>
        <w:rPr>
          <w:sz w:val="28"/>
          <w:szCs w:val="28"/>
        </w:rPr>
      </w:pPr>
    </w:p>
    <w:p w14:paraId="63E2DE2D" w14:textId="77777777" w:rsidR="00806DED" w:rsidRDefault="00806DED" w:rsidP="00482B2E">
      <w:pPr>
        <w:pStyle w:val="af0"/>
        <w:spacing w:line="276" w:lineRule="auto"/>
        <w:jc w:val="center"/>
        <w:rPr>
          <w:sz w:val="28"/>
          <w:szCs w:val="28"/>
        </w:rPr>
      </w:pPr>
    </w:p>
    <w:p w14:paraId="67FC1D34" w14:textId="076398BB" w:rsidR="00482B2E" w:rsidRDefault="00482B2E" w:rsidP="00482B2E">
      <w:pPr>
        <w:pStyle w:val="af0"/>
        <w:spacing w:line="276" w:lineRule="auto"/>
        <w:jc w:val="center"/>
        <w:rPr>
          <w:sz w:val="28"/>
          <w:szCs w:val="28"/>
        </w:rPr>
      </w:pPr>
      <w:r w:rsidRPr="00482B2E">
        <w:rPr>
          <w:sz w:val="28"/>
          <w:szCs w:val="28"/>
        </w:rPr>
        <w:lastRenderedPageBreak/>
        <w:t>Ожидаемое выполнение показателей по разделу «Финансы»</w:t>
      </w:r>
    </w:p>
    <w:p w14:paraId="444504A1" w14:textId="1FEB384C" w:rsidR="00482B2E" w:rsidRDefault="00482B2E" w:rsidP="00482B2E">
      <w:pPr>
        <w:pStyle w:val="af0"/>
        <w:spacing w:line="276" w:lineRule="auto"/>
        <w:jc w:val="center"/>
        <w:rPr>
          <w:sz w:val="28"/>
          <w:szCs w:val="28"/>
        </w:rPr>
      </w:pPr>
      <w:r w:rsidRPr="00482B2E">
        <w:rPr>
          <w:sz w:val="28"/>
          <w:szCs w:val="28"/>
        </w:rPr>
        <w:t>на 2021 год</w:t>
      </w:r>
    </w:p>
    <w:tbl>
      <w:tblPr>
        <w:tblW w:w="9371" w:type="dxa"/>
        <w:tblInd w:w="93" w:type="dxa"/>
        <w:tblLook w:val="00A0" w:firstRow="1" w:lastRow="0" w:firstColumn="1" w:lastColumn="0" w:noHBand="0" w:noVBand="0"/>
      </w:tblPr>
      <w:tblGrid>
        <w:gridCol w:w="2850"/>
        <w:gridCol w:w="1843"/>
        <w:gridCol w:w="1559"/>
        <w:gridCol w:w="1560"/>
        <w:gridCol w:w="1559"/>
      </w:tblGrid>
      <w:tr w:rsidR="007F2711" w:rsidRPr="00E3250C" w14:paraId="0BE855D4" w14:textId="77777777" w:rsidTr="007F2711">
        <w:trPr>
          <w:trHeight w:val="491"/>
          <w:tblHeader/>
        </w:trPr>
        <w:tc>
          <w:tcPr>
            <w:tcW w:w="2850" w:type="dxa"/>
            <w:vMerge w:val="restart"/>
            <w:tcBorders>
              <w:top w:val="single" w:sz="4" w:space="0" w:color="auto"/>
              <w:left w:val="single" w:sz="4" w:space="0" w:color="auto"/>
              <w:bottom w:val="nil"/>
              <w:right w:val="single" w:sz="4" w:space="0" w:color="auto"/>
            </w:tcBorders>
            <w:vAlign w:val="center"/>
          </w:tcPr>
          <w:p w14:paraId="26CF74C6" w14:textId="77777777" w:rsidR="007F2711" w:rsidRPr="00E3250C" w:rsidRDefault="007F2711" w:rsidP="00482B2E">
            <w:pPr>
              <w:suppressAutoHyphens w:val="0"/>
              <w:ind w:firstLine="0"/>
              <w:jc w:val="center"/>
              <w:rPr>
                <w:bCs/>
                <w:sz w:val="26"/>
                <w:szCs w:val="26"/>
                <w:lang w:eastAsia="ru-RU"/>
              </w:rPr>
            </w:pPr>
            <w:r w:rsidRPr="00E3250C">
              <w:rPr>
                <w:bCs/>
                <w:sz w:val="26"/>
                <w:szCs w:val="26"/>
                <w:lang w:eastAsia="ru-RU"/>
              </w:rPr>
              <w:t>Показатели</w:t>
            </w:r>
          </w:p>
        </w:tc>
        <w:tc>
          <w:tcPr>
            <w:tcW w:w="1843" w:type="dxa"/>
            <w:vMerge w:val="restart"/>
            <w:tcBorders>
              <w:top w:val="single" w:sz="4" w:space="0" w:color="auto"/>
              <w:left w:val="single" w:sz="4" w:space="0" w:color="auto"/>
              <w:bottom w:val="nil"/>
              <w:right w:val="single" w:sz="4" w:space="0" w:color="auto"/>
            </w:tcBorders>
            <w:vAlign w:val="center"/>
          </w:tcPr>
          <w:p w14:paraId="7FBF9310" w14:textId="77777777" w:rsidR="007F2711" w:rsidRPr="00E3250C" w:rsidRDefault="007F2711" w:rsidP="007F2711">
            <w:pPr>
              <w:suppressAutoHyphens w:val="0"/>
              <w:ind w:firstLine="0"/>
              <w:jc w:val="center"/>
              <w:rPr>
                <w:bCs/>
                <w:sz w:val="26"/>
                <w:szCs w:val="26"/>
                <w:lang w:eastAsia="ru-RU"/>
              </w:rPr>
            </w:pPr>
            <w:r w:rsidRPr="00E3250C">
              <w:rPr>
                <w:bCs/>
                <w:sz w:val="26"/>
                <w:szCs w:val="26"/>
                <w:lang w:eastAsia="ru-RU"/>
              </w:rPr>
              <w:t>Единица измерения</w:t>
            </w:r>
          </w:p>
        </w:tc>
        <w:tc>
          <w:tcPr>
            <w:tcW w:w="3119" w:type="dxa"/>
            <w:gridSpan w:val="2"/>
            <w:tcBorders>
              <w:top w:val="single" w:sz="4" w:space="0" w:color="auto"/>
              <w:left w:val="nil"/>
              <w:bottom w:val="nil"/>
              <w:right w:val="single" w:sz="4" w:space="0" w:color="000000"/>
            </w:tcBorders>
          </w:tcPr>
          <w:p w14:paraId="7379C36C" w14:textId="77777777" w:rsidR="007F2711" w:rsidRPr="00E3250C" w:rsidRDefault="007F2711" w:rsidP="007F2711">
            <w:pPr>
              <w:ind w:firstLine="0"/>
              <w:jc w:val="center"/>
              <w:rPr>
                <w:sz w:val="26"/>
                <w:szCs w:val="26"/>
              </w:rPr>
            </w:pPr>
            <w:r>
              <w:rPr>
                <w:sz w:val="26"/>
                <w:szCs w:val="26"/>
              </w:rPr>
              <w:t>Прогноз на 2021 год</w:t>
            </w:r>
          </w:p>
        </w:tc>
        <w:tc>
          <w:tcPr>
            <w:tcW w:w="1559" w:type="dxa"/>
            <w:vMerge w:val="restart"/>
            <w:tcBorders>
              <w:top w:val="single" w:sz="4" w:space="0" w:color="auto"/>
              <w:right w:val="single" w:sz="4" w:space="0" w:color="auto"/>
            </w:tcBorders>
            <w:shd w:val="clear" w:color="auto" w:fill="auto"/>
          </w:tcPr>
          <w:p w14:paraId="214AF4C1" w14:textId="77777777" w:rsidR="007F2711" w:rsidRPr="00E3250C" w:rsidRDefault="007F2711" w:rsidP="007F2711">
            <w:pPr>
              <w:suppressAutoHyphens w:val="0"/>
              <w:ind w:firstLine="0"/>
              <w:jc w:val="center"/>
            </w:pPr>
            <w:r w:rsidRPr="00E3250C">
              <w:rPr>
                <w:sz w:val="26"/>
                <w:szCs w:val="26"/>
              </w:rPr>
              <w:t>20</w:t>
            </w:r>
            <w:r>
              <w:rPr>
                <w:sz w:val="26"/>
                <w:szCs w:val="26"/>
              </w:rPr>
              <w:t>21</w:t>
            </w:r>
            <w:r w:rsidRPr="00E3250C">
              <w:rPr>
                <w:sz w:val="26"/>
                <w:szCs w:val="26"/>
              </w:rPr>
              <w:t xml:space="preserve"> год (оценка)</w:t>
            </w:r>
          </w:p>
        </w:tc>
      </w:tr>
      <w:tr w:rsidR="007F2711" w:rsidRPr="00E3250C" w14:paraId="252BD52C" w14:textId="77777777" w:rsidTr="007F2711">
        <w:trPr>
          <w:trHeight w:val="407"/>
          <w:tblHeader/>
        </w:trPr>
        <w:tc>
          <w:tcPr>
            <w:tcW w:w="2850" w:type="dxa"/>
            <w:vMerge/>
            <w:tcBorders>
              <w:left w:val="single" w:sz="4" w:space="0" w:color="auto"/>
              <w:bottom w:val="single" w:sz="4" w:space="0" w:color="auto"/>
              <w:right w:val="single" w:sz="4" w:space="0" w:color="auto"/>
            </w:tcBorders>
            <w:vAlign w:val="center"/>
          </w:tcPr>
          <w:p w14:paraId="6B316541" w14:textId="77777777" w:rsidR="007F2711" w:rsidRPr="00E3250C" w:rsidRDefault="007F2711" w:rsidP="00482B2E">
            <w:pPr>
              <w:suppressAutoHyphens w:val="0"/>
              <w:ind w:firstLine="0"/>
              <w:rPr>
                <w:b/>
                <w:bCs/>
                <w:sz w:val="26"/>
                <w:szCs w:val="26"/>
                <w:lang w:eastAsia="ru-RU"/>
              </w:rPr>
            </w:pPr>
          </w:p>
        </w:tc>
        <w:tc>
          <w:tcPr>
            <w:tcW w:w="1843" w:type="dxa"/>
            <w:vMerge/>
            <w:tcBorders>
              <w:left w:val="single" w:sz="4" w:space="0" w:color="auto"/>
              <w:bottom w:val="single" w:sz="4" w:space="0" w:color="auto"/>
              <w:right w:val="single" w:sz="4" w:space="0" w:color="auto"/>
            </w:tcBorders>
            <w:vAlign w:val="center"/>
          </w:tcPr>
          <w:p w14:paraId="61065424" w14:textId="77777777" w:rsidR="007F2711" w:rsidRPr="00E3250C" w:rsidRDefault="007F2711" w:rsidP="00482B2E">
            <w:pPr>
              <w:suppressAutoHyphens w:val="0"/>
              <w:ind w:firstLine="0"/>
              <w:rPr>
                <w:b/>
                <w:bCs/>
                <w:sz w:val="26"/>
                <w:szCs w:val="26"/>
                <w:lang w:eastAsia="ru-RU"/>
              </w:rPr>
            </w:pPr>
          </w:p>
        </w:tc>
        <w:tc>
          <w:tcPr>
            <w:tcW w:w="1559" w:type="dxa"/>
            <w:tcBorders>
              <w:top w:val="single" w:sz="4" w:space="0" w:color="auto"/>
              <w:left w:val="nil"/>
              <w:bottom w:val="single" w:sz="4" w:space="0" w:color="auto"/>
              <w:right w:val="single" w:sz="4" w:space="0" w:color="auto"/>
            </w:tcBorders>
            <w:vAlign w:val="center"/>
          </w:tcPr>
          <w:p w14:paraId="4AD6C7B6" w14:textId="77777777" w:rsidR="007F2711" w:rsidRPr="00E3250C" w:rsidRDefault="007F2711" w:rsidP="007F2711">
            <w:pPr>
              <w:suppressAutoHyphens w:val="0"/>
              <w:ind w:firstLine="0"/>
              <w:jc w:val="center"/>
              <w:rPr>
                <w:bCs/>
                <w:sz w:val="26"/>
                <w:szCs w:val="26"/>
                <w:lang w:eastAsia="ru-RU"/>
              </w:rPr>
            </w:pPr>
            <w:r w:rsidRPr="00E3250C">
              <w:rPr>
                <w:bCs/>
                <w:sz w:val="26"/>
                <w:szCs w:val="26"/>
                <w:lang w:eastAsia="ru-RU"/>
              </w:rPr>
              <w:t>1 вариант</w:t>
            </w:r>
          </w:p>
        </w:tc>
        <w:tc>
          <w:tcPr>
            <w:tcW w:w="1560" w:type="dxa"/>
            <w:tcBorders>
              <w:top w:val="single" w:sz="4" w:space="0" w:color="auto"/>
              <w:left w:val="nil"/>
              <w:bottom w:val="single" w:sz="4" w:space="0" w:color="auto"/>
              <w:right w:val="single" w:sz="4" w:space="0" w:color="auto"/>
            </w:tcBorders>
            <w:vAlign w:val="center"/>
          </w:tcPr>
          <w:p w14:paraId="2CB87AC5" w14:textId="77777777" w:rsidR="007F2711" w:rsidRPr="00E3250C" w:rsidRDefault="007F2711" w:rsidP="007F2711">
            <w:pPr>
              <w:suppressAutoHyphens w:val="0"/>
              <w:ind w:firstLine="0"/>
              <w:jc w:val="center"/>
              <w:rPr>
                <w:bCs/>
                <w:sz w:val="26"/>
                <w:szCs w:val="26"/>
                <w:lang w:eastAsia="ru-RU"/>
              </w:rPr>
            </w:pPr>
            <w:r>
              <w:rPr>
                <w:bCs/>
                <w:sz w:val="26"/>
                <w:szCs w:val="26"/>
                <w:lang w:eastAsia="ru-RU"/>
              </w:rPr>
              <w:t>2</w:t>
            </w:r>
            <w:r w:rsidRPr="00E3250C">
              <w:rPr>
                <w:bCs/>
                <w:sz w:val="26"/>
                <w:szCs w:val="26"/>
                <w:lang w:eastAsia="ru-RU"/>
              </w:rPr>
              <w:t xml:space="preserve"> вариант</w:t>
            </w:r>
          </w:p>
        </w:tc>
        <w:tc>
          <w:tcPr>
            <w:tcW w:w="1559" w:type="dxa"/>
            <w:vMerge/>
            <w:tcBorders>
              <w:left w:val="single" w:sz="4" w:space="0" w:color="auto"/>
              <w:bottom w:val="single" w:sz="4" w:space="0" w:color="auto"/>
              <w:right w:val="single" w:sz="4" w:space="0" w:color="auto"/>
            </w:tcBorders>
          </w:tcPr>
          <w:p w14:paraId="3C4A8F63" w14:textId="77777777" w:rsidR="007F2711" w:rsidRPr="00E3250C" w:rsidRDefault="007F2711" w:rsidP="00482B2E">
            <w:pPr>
              <w:suppressAutoHyphens w:val="0"/>
              <w:ind w:firstLine="0"/>
              <w:rPr>
                <w:b/>
                <w:bCs/>
                <w:sz w:val="26"/>
                <w:szCs w:val="26"/>
                <w:lang w:eastAsia="ru-RU"/>
              </w:rPr>
            </w:pPr>
          </w:p>
        </w:tc>
      </w:tr>
      <w:tr w:rsidR="007F2711" w:rsidRPr="00E3250C" w14:paraId="3598149F" w14:textId="77777777" w:rsidTr="007F2711">
        <w:trPr>
          <w:trHeight w:val="255"/>
        </w:trPr>
        <w:tc>
          <w:tcPr>
            <w:tcW w:w="2850" w:type="dxa"/>
            <w:tcBorders>
              <w:top w:val="nil"/>
              <w:left w:val="single" w:sz="4" w:space="0" w:color="auto"/>
              <w:bottom w:val="single" w:sz="4" w:space="0" w:color="auto"/>
              <w:right w:val="single" w:sz="4" w:space="0" w:color="auto"/>
            </w:tcBorders>
            <w:shd w:val="clear" w:color="000000" w:fill="FFFFFF"/>
            <w:vAlign w:val="center"/>
          </w:tcPr>
          <w:p w14:paraId="1D9DB694" w14:textId="54FDF1E1" w:rsidR="000D1764" w:rsidRPr="00E3250C" w:rsidRDefault="007F2711" w:rsidP="00D450BE">
            <w:pPr>
              <w:suppressAutoHyphens w:val="0"/>
              <w:ind w:firstLine="0"/>
              <w:rPr>
                <w:sz w:val="26"/>
                <w:szCs w:val="26"/>
                <w:lang w:eastAsia="ru-RU"/>
              </w:rPr>
            </w:pPr>
            <w:r w:rsidRPr="00E3250C">
              <w:rPr>
                <w:sz w:val="26"/>
                <w:szCs w:val="26"/>
                <w:lang w:eastAsia="ru-RU"/>
              </w:rPr>
              <w:t>Прибыль прибыльных организаций</w:t>
            </w:r>
          </w:p>
        </w:tc>
        <w:tc>
          <w:tcPr>
            <w:tcW w:w="1843" w:type="dxa"/>
            <w:tcBorders>
              <w:top w:val="nil"/>
              <w:left w:val="nil"/>
              <w:bottom w:val="single" w:sz="4" w:space="0" w:color="auto"/>
              <w:right w:val="single" w:sz="4" w:space="0" w:color="auto"/>
            </w:tcBorders>
            <w:vAlign w:val="center"/>
          </w:tcPr>
          <w:p w14:paraId="46720B14" w14:textId="77777777" w:rsidR="007F2711" w:rsidRPr="00E3250C" w:rsidRDefault="007F2711" w:rsidP="00482B2E">
            <w:pPr>
              <w:suppressAutoHyphens w:val="0"/>
              <w:ind w:firstLine="0"/>
              <w:jc w:val="center"/>
              <w:rPr>
                <w:sz w:val="26"/>
                <w:szCs w:val="26"/>
                <w:lang w:eastAsia="ru-RU"/>
              </w:rPr>
            </w:pPr>
            <w:r w:rsidRPr="00E3250C">
              <w:rPr>
                <w:sz w:val="26"/>
                <w:szCs w:val="26"/>
                <w:lang w:eastAsia="ru-RU"/>
              </w:rPr>
              <w:t>млн. рублей</w:t>
            </w:r>
          </w:p>
        </w:tc>
        <w:tc>
          <w:tcPr>
            <w:tcW w:w="1559" w:type="dxa"/>
            <w:tcBorders>
              <w:top w:val="nil"/>
              <w:left w:val="nil"/>
              <w:bottom w:val="single" w:sz="4" w:space="0" w:color="auto"/>
              <w:right w:val="single" w:sz="4" w:space="0" w:color="auto"/>
            </w:tcBorders>
            <w:vAlign w:val="center"/>
          </w:tcPr>
          <w:p w14:paraId="201FEAC4" w14:textId="77777777" w:rsidR="007F2711" w:rsidRPr="00E3250C" w:rsidRDefault="007F2711" w:rsidP="00482B2E">
            <w:pPr>
              <w:suppressAutoHyphens w:val="0"/>
              <w:ind w:firstLine="0"/>
              <w:jc w:val="center"/>
              <w:rPr>
                <w:sz w:val="26"/>
                <w:szCs w:val="26"/>
                <w:lang w:eastAsia="ru-RU"/>
              </w:rPr>
            </w:pPr>
            <w:r>
              <w:rPr>
                <w:sz w:val="26"/>
                <w:szCs w:val="26"/>
                <w:lang w:eastAsia="ru-RU"/>
              </w:rPr>
              <w:t>16 874</w:t>
            </w:r>
          </w:p>
        </w:tc>
        <w:tc>
          <w:tcPr>
            <w:tcW w:w="1560" w:type="dxa"/>
            <w:tcBorders>
              <w:top w:val="single" w:sz="4" w:space="0" w:color="auto"/>
              <w:left w:val="nil"/>
              <w:bottom w:val="single" w:sz="4" w:space="0" w:color="auto"/>
              <w:right w:val="single" w:sz="4" w:space="0" w:color="auto"/>
            </w:tcBorders>
            <w:vAlign w:val="center"/>
          </w:tcPr>
          <w:p w14:paraId="037E1548" w14:textId="77777777" w:rsidR="007F2711" w:rsidRPr="00E3250C" w:rsidRDefault="007F2711" w:rsidP="00482B2E">
            <w:pPr>
              <w:suppressAutoHyphens w:val="0"/>
              <w:ind w:firstLine="0"/>
              <w:jc w:val="center"/>
              <w:rPr>
                <w:sz w:val="26"/>
                <w:szCs w:val="26"/>
                <w:lang w:eastAsia="ru-RU"/>
              </w:rPr>
            </w:pPr>
            <w:r>
              <w:rPr>
                <w:sz w:val="26"/>
                <w:szCs w:val="26"/>
                <w:lang w:eastAsia="ru-RU"/>
              </w:rPr>
              <w:t>18 256</w:t>
            </w:r>
          </w:p>
        </w:tc>
        <w:tc>
          <w:tcPr>
            <w:tcW w:w="1559" w:type="dxa"/>
            <w:tcBorders>
              <w:top w:val="single" w:sz="4" w:space="0" w:color="auto"/>
              <w:left w:val="nil"/>
              <w:bottom w:val="single" w:sz="4" w:space="0" w:color="auto"/>
              <w:right w:val="single" w:sz="4" w:space="0" w:color="auto"/>
            </w:tcBorders>
            <w:vAlign w:val="center"/>
          </w:tcPr>
          <w:p w14:paraId="170327DA" w14:textId="77777777" w:rsidR="007F2711" w:rsidRPr="00E3250C" w:rsidRDefault="007F2711" w:rsidP="00482B2E">
            <w:pPr>
              <w:suppressAutoHyphens w:val="0"/>
              <w:ind w:firstLine="0"/>
              <w:jc w:val="center"/>
              <w:rPr>
                <w:sz w:val="26"/>
                <w:szCs w:val="26"/>
                <w:lang w:eastAsia="ru-RU"/>
              </w:rPr>
            </w:pPr>
            <w:r>
              <w:rPr>
                <w:sz w:val="26"/>
                <w:szCs w:val="26"/>
                <w:lang w:eastAsia="ru-RU"/>
              </w:rPr>
              <w:t>103 903</w:t>
            </w:r>
          </w:p>
        </w:tc>
      </w:tr>
      <w:tr w:rsidR="007F2711" w:rsidRPr="00E3250C" w14:paraId="16DA650B" w14:textId="77777777" w:rsidTr="007F2711">
        <w:trPr>
          <w:trHeight w:val="255"/>
        </w:trPr>
        <w:tc>
          <w:tcPr>
            <w:tcW w:w="2850" w:type="dxa"/>
            <w:tcBorders>
              <w:top w:val="nil"/>
              <w:left w:val="single" w:sz="4" w:space="0" w:color="auto"/>
              <w:bottom w:val="single" w:sz="4" w:space="0" w:color="auto"/>
              <w:right w:val="single" w:sz="4" w:space="0" w:color="auto"/>
            </w:tcBorders>
            <w:shd w:val="clear" w:color="000000" w:fill="FFFFFF"/>
            <w:vAlign w:val="center"/>
          </w:tcPr>
          <w:p w14:paraId="265BEDB5" w14:textId="77777777" w:rsidR="007F2711" w:rsidRPr="00E3250C" w:rsidRDefault="007F2711" w:rsidP="00482B2E">
            <w:pPr>
              <w:suppressAutoHyphens w:val="0"/>
              <w:ind w:firstLine="0"/>
              <w:rPr>
                <w:sz w:val="26"/>
                <w:szCs w:val="26"/>
                <w:lang w:eastAsia="ru-RU"/>
              </w:rPr>
            </w:pPr>
            <w:r w:rsidRPr="00E3250C">
              <w:rPr>
                <w:sz w:val="26"/>
                <w:szCs w:val="26"/>
                <w:lang w:eastAsia="ru-RU"/>
              </w:rPr>
              <w:t>Амортизационные отчисления</w:t>
            </w:r>
          </w:p>
        </w:tc>
        <w:tc>
          <w:tcPr>
            <w:tcW w:w="1843" w:type="dxa"/>
            <w:tcBorders>
              <w:top w:val="nil"/>
              <w:left w:val="nil"/>
              <w:bottom w:val="single" w:sz="4" w:space="0" w:color="auto"/>
              <w:right w:val="single" w:sz="4" w:space="0" w:color="auto"/>
            </w:tcBorders>
            <w:vAlign w:val="center"/>
          </w:tcPr>
          <w:p w14:paraId="2FBAF958" w14:textId="77777777" w:rsidR="007F2711" w:rsidRPr="00E3250C" w:rsidRDefault="007F2711" w:rsidP="00482B2E">
            <w:pPr>
              <w:suppressAutoHyphens w:val="0"/>
              <w:ind w:firstLine="0"/>
              <w:jc w:val="center"/>
              <w:rPr>
                <w:sz w:val="26"/>
                <w:szCs w:val="26"/>
                <w:lang w:eastAsia="ru-RU"/>
              </w:rPr>
            </w:pPr>
            <w:r w:rsidRPr="00E3250C">
              <w:rPr>
                <w:sz w:val="26"/>
                <w:szCs w:val="26"/>
                <w:lang w:eastAsia="ru-RU"/>
              </w:rPr>
              <w:t>млн. рублей</w:t>
            </w:r>
          </w:p>
        </w:tc>
        <w:tc>
          <w:tcPr>
            <w:tcW w:w="1559" w:type="dxa"/>
            <w:tcBorders>
              <w:top w:val="nil"/>
              <w:left w:val="nil"/>
              <w:bottom w:val="single" w:sz="4" w:space="0" w:color="auto"/>
              <w:right w:val="single" w:sz="4" w:space="0" w:color="auto"/>
            </w:tcBorders>
            <w:vAlign w:val="center"/>
          </w:tcPr>
          <w:p w14:paraId="32FC6E79" w14:textId="77777777" w:rsidR="007F2711" w:rsidRPr="00E3250C" w:rsidRDefault="007F2711" w:rsidP="00482B2E">
            <w:pPr>
              <w:suppressAutoHyphens w:val="0"/>
              <w:ind w:firstLine="0"/>
              <w:jc w:val="center"/>
              <w:rPr>
                <w:sz w:val="26"/>
                <w:szCs w:val="26"/>
                <w:lang w:eastAsia="ru-RU"/>
              </w:rPr>
            </w:pPr>
            <w:r>
              <w:rPr>
                <w:sz w:val="26"/>
                <w:szCs w:val="26"/>
                <w:lang w:eastAsia="ru-RU"/>
              </w:rPr>
              <w:t>27 124</w:t>
            </w:r>
          </w:p>
        </w:tc>
        <w:tc>
          <w:tcPr>
            <w:tcW w:w="1560" w:type="dxa"/>
            <w:tcBorders>
              <w:top w:val="nil"/>
              <w:left w:val="nil"/>
              <w:bottom w:val="single" w:sz="4" w:space="0" w:color="auto"/>
              <w:right w:val="single" w:sz="4" w:space="0" w:color="auto"/>
            </w:tcBorders>
            <w:vAlign w:val="center"/>
          </w:tcPr>
          <w:p w14:paraId="1926F911" w14:textId="77777777" w:rsidR="007F2711" w:rsidRPr="00E3250C" w:rsidRDefault="007F2711" w:rsidP="00482B2E">
            <w:pPr>
              <w:suppressAutoHyphens w:val="0"/>
              <w:ind w:firstLine="0"/>
              <w:jc w:val="center"/>
              <w:rPr>
                <w:sz w:val="26"/>
                <w:szCs w:val="26"/>
                <w:lang w:eastAsia="ru-RU"/>
              </w:rPr>
            </w:pPr>
            <w:r>
              <w:rPr>
                <w:sz w:val="26"/>
                <w:szCs w:val="26"/>
                <w:lang w:eastAsia="ru-RU"/>
              </w:rPr>
              <w:t>28 604</w:t>
            </w:r>
          </w:p>
        </w:tc>
        <w:tc>
          <w:tcPr>
            <w:tcW w:w="1559" w:type="dxa"/>
            <w:tcBorders>
              <w:top w:val="nil"/>
              <w:left w:val="nil"/>
              <w:bottom w:val="single" w:sz="4" w:space="0" w:color="auto"/>
              <w:right w:val="single" w:sz="4" w:space="0" w:color="auto"/>
            </w:tcBorders>
            <w:vAlign w:val="center"/>
          </w:tcPr>
          <w:p w14:paraId="072DC43E" w14:textId="77777777" w:rsidR="007F2711" w:rsidRPr="00E3250C" w:rsidRDefault="007F2711" w:rsidP="00482B2E">
            <w:pPr>
              <w:suppressAutoHyphens w:val="0"/>
              <w:ind w:firstLine="0"/>
              <w:jc w:val="center"/>
              <w:rPr>
                <w:sz w:val="26"/>
                <w:szCs w:val="26"/>
                <w:lang w:eastAsia="ru-RU"/>
              </w:rPr>
            </w:pPr>
            <w:r>
              <w:rPr>
                <w:sz w:val="26"/>
                <w:szCs w:val="26"/>
                <w:lang w:eastAsia="ru-RU"/>
              </w:rPr>
              <w:t>26 621</w:t>
            </w:r>
          </w:p>
        </w:tc>
      </w:tr>
      <w:tr w:rsidR="007F2711" w:rsidRPr="00E3250C" w14:paraId="302455E0" w14:textId="77777777" w:rsidTr="007F2711">
        <w:trPr>
          <w:trHeight w:val="255"/>
        </w:trPr>
        <w:tc>
          <w:tcPr>
            <w:tcW w:w="2850" w:type="dxa"/>
            <w:tcBorders>
              <w:top w:val="nil"/>
              <w:left w:val="single" w:sz="4" w:space="0" w:color="auto"/>
              <w:bottom w:val="single" w:sz="4" w:space="0" w:color="auto"/>
              <w:right w:val="single" w:sz="4" w:space="0" w:color="auto"/>
            </w:tcBorders>
            <w:shd w:val="clear" w:color="000000" w:fill="FFFFFF"/>
            <w:vAlign w:val="center"/>
          </w:tcPr>
          <w:p w14:paraId="53630FCA" w14:textId="77777777" w:rsidR="007F2711" w:rsidRPr="00E3250C" w:rsidRDefault="007F2711" w:rsidP="00482B2E">
            <w:pPr>
              <w:suppressAutoHyphens w:val="0"/>
              <w:ind w:firstLine="0"/>
              <w:rPr>
                <w:sz w:val="26"/>
                <w:szCs w:val="26"/>
                <w:lang w:eastAsia="ru-RU"/>
              </w:rPr>
            </w:pPr>
            <w:r w:rsidRPr="00E3250C">
              <w:rPr>
                <w:sz w:val="26"/>
                <w:szCs w:val="26"/>
                <w:lang w:eastAsia="ru-RU"/>
              </w:rPr>
              <w:t xml:space="preserve">Налоговые доходы, в том числе: </w:t>
            </w:r>
          </w:p>
        </w:tc>
        <w:tc>
          <w:tcPr>
            <w:tcW w:w="1843" w:type="dxa"/>
            <w:tcBorders>
              <w:top w:val="nil"/>
              <w:left w:val="nil"/>
              <w:bottom w:val="single" w:sz="4" w:space="0" w:color="auto"/>
              <w:right w:val="single" w:sz="4" w:space="0" w:color="auto"/>
            </w:tcBorders>
            <w:vAlign w:val="center"/>
          </w:tcPr>
          <w:p w14:paraId="1A61AC73" w14:textId="77777777" w:rsidR="007F2711" w:rsidRPr="00E3250C" w:rsidRDefault="007F2711" w:rsidP="00482B2E">
            <w:pPr>
              <w:suppressAutoHyphens w:val="0"/>
              <w:ind w:firstLine="0"/>
              <w:jc w:val="center"/>
              <w:rPr>
                <w:sz w:val="26"/>
                <w:szCs w:val="26"/>
                <w:lang w:eastAsia="ru-RU"/>
              </w:rPr>
            </w:pPr>
            <w:r w:rsidRPr="00E3250C">
              <w:rPr>
                <w:sz w:val="26"/>
                <w:szCs w:val="26"/>
                <w:lang w:eastAsia="ru-RU"/>
              </w:rPr>
              <w:t>млн. рублей</w:t>
            </w:r>
          </w:p>
        </w:tc>
        <w:tc>
          <w:tcPr>
            <w:tcW w:w="1559" w:type="dxa"/>
            <w:tcBorders>
              <w:top w:val="nil"/>
              <w:left w:val="nil"/>
              <w:bottom w:val="single" w:sz="4" w:space="0" w:color="auto"/>
              <w:right w:val="single" w:sz="4" w:space="0" w:color="auto"/>
            </w:tcBorders>
            <w:vAlign w:val="center"/>
          </w:tcPr>
          <w:p w14:paraId="3021791E" w14:textId="77777777" w:rsidR="007F2711" w:rsidRPr="00E3250C" w:rsidRDefault="007F2711" w:rsidP="00482B2E">
            <w:pPr>
              <w:suppressAutoHyphens w:val="0"/>
              <w:ind w:firstLine="0"/>
              <w:jc w:val="center"/>
              <w:rPr>
                <w:sz w:val="26"/>
                <w:szCs w:val="26"/>
                <w:lang w:eastAsia="ru-RU"/>
              </w:rPr>
            </w:pPr>
            <w:r>
              <w:rPr>
                <w:sz w:val="26"/>
                <w:szCs w:val="26"/>
                <w:lang w:eastAsia="ru-RU"/>
              </w:rPr>
              <w:t>37 877</w:t>
            </w:r>
          </w:p>
        </w:tc>
        <w:tc>
          <w:tcPr>
            <w:tcW w:w="1560" w:type="dxa"/>
            <w:tcBorders>
              <w:top w:val="nil"/>
              <w:left w:val="nil"/>
              <w:bottom w:val="single" w:sz="4" w:space="0" w:color="auto"/>
              <w:right w:val="single" w:sz="4" w:space="0" w:color="auto"/>
            </w:tcBorders>
            <w:vAlign w:val="center"/>
          </w:tcPr>
          <w:p w14:paraId="0F30365D" w14:textId="77777777" w:rsidR="007F2711" w:rsidRPr="00E3250C" w:rsidRDefault="007F2711" w:rsidP="00482B2E">
            <w:pPr>
              <w:suppressAutoHyphens w:val="0"/>
              <w:ind w:firstLine="0"/>
              <w:jc w:val="center"/>
              <w:rPr>
                <w:sz w:val="26"/>
                <w:szCs w:val="26"/>
                <w:lang w:eastAsia="ru-RU"/>
              </w:rPr>
            </w:pPr>
            <w:r>
              <w:rPr>
                <w:sz w:val="26"/>
                <w:szCs w:val="26"/>
                <w:lang w:eastAsia="ru-RU"/>
              </w:rPr>
              <w:t>38 934</w:t>
            </w:r>
          </w:p>
        </w:tc>
        <w:tc>
          <w:tcPr>
            <w:tcW w:w="1559" w:type="dxa"/>
            <w:tcBorders>
              <w:top w:val="nil"/>
              <w:left w:val="nil"/>
              <w:bottom w:val="single" w:sz="4" w:space="0" w:color="auto"/>
              <w:right w:val="single" w:sz="4" w:space="0" w:color="auto"/>
            </w:tcBorders>
            <w:vAlign w:val="center"/>
          </w:tcPr>
          <w:p w14:paraId="47A245AE" w14:textId="77777777" w:rsidR="007F2711" w:rsidRPr="00E3250C" w:rsidRDefault="007F2711" w:rsidP="00482B2E">
            <w:pPr>
              <w:suppressAutoHyphens w:val="0"/>
              <w:ind w:firstLine="0"/>
              <w:jc w:val="center"/>
              <w:rPr>
                <w:sz w:val="26"/>
                <w:szCs w:val="26"/>
                <w:lang w:eastAsia="ru-RU"/>
              </w:rPr>
            </w:pPr>
            <w:r>
              <w:rPr>
                <w:sz w:val="26"/>
                <w:szCs w:val="26"/>
                <w:lang w:eastAsia="ru-RU"/>
              </w:rPr>
              <w:t>61 492</w:t>
            </w:r>
          </w:p>
        </w:tc>
      </w:tr>
      <w:tr w:rsidR="007F2711" w:rsidRPr="00E3250C" w14:paraId="710535B3" w14:textId="77777777" w:rsidTr="007F2711">
        <w:trPr>
          <w:trHeight w:val="255"/>
        </w:trPr>
        <w:tc>
          <w:tcPr>
            <w:tcW w:w="2850" w:type="dxa"/>
            <w:tcBorders>
              <w:top w:val="nil"/>
              <w:left w:val="single" w:sz="4" w:space="0" w:color="auto"/>
              <w:bottom w:val="single" w:sz="4" w:space="0" w:color="auto"/>
              <w:right w:val="single" w:sz="4" w:space="0" w:color="auto"/>
            </w:tcBorders>
            <w:shd w:val="clear" w:color="000000" w:fill="FFFFFF"/>
            <w:vAlign w:val="center"/>
          </w:tcPr>
          <w:p w14:paraId="7CFF2E2A" w14:textId="77777777" w:rsidR="007F2711" w:rsidRPr="00E3250C" w:rsidRDefault="007F2711" w:rsidP="00482B2E">
            <w:pPr>
              <w:suppressAutoHyphens w:val="0"/>
              <w:ind w:firstLine="0"/>
              <w:rPr>
                <w:sz w:val="26"/>
                <w:szCs w:val="26"/>
                <w:lang w:eastAsia="ru-RU"/>
              </w:rPr>
            </w:pPr>
            <w:r w:rsidRPr="00E3250C">
              <w:rPr>
                <w:sz w:val="26"/>
                <w:szCs w:val="26"/>
                <w:lang w:eastAsia="ru-RU"/>
              </w:rPr>
              <w:t xml:space="preserve"> - налоги на прибыль (доходы)</w:t>
            </w:r>
          </w:p>
        </w:tc>
        <w:tc>
          <w:tcPr>
            <w:tcW w:w="1843" w:type="dxa"/>
            <w:tcBorders>
              <w:top w:val="nil"/>
              <w:left w:val="nil"/>
              <w:bottom w:val="single" w:sz="4" w:space="0" w:color="auto"/>
              <w:right w:val="single" w:sz="4" w:space="0" w:color="auto"/>
            </w:tcBorders>
            <w:vAlign w:val="center"/>
          </w:tcPr>
          <w:p w14:paraId="649AFF83" w14:textId="77777777" w:rsidR="007F2711" w:rsidRPr="00E3250C" w:rsidRDefault="007F2711" w:rsidP="00482B2E">
            <w:pPr>
              <w:suppressAutoHyphens w:val="0"/>
              <w:ind w:firstLine="0"/>
              <w:jc w:val="center"/>
              <w:rPr>
                <w:sz w:val="26"/>
                <w:szCs w:val="26"/>
                <w:lang w:eastAsia="ru-RU"/>
              </w:rPr>
            </w:pPr>
            <w:r w:rsidRPr="00E3250C">
              <w:rPr>
                <w:sz w:val="26"/>
                <w:szCs w:val="26"/>
                <w:lang w:eastAsia="ru-RU"/>
              </w:rPr>
              <w:t>млн. рублей</w:t>
            </w:r>
          </w:p>
        </w:tc>
        <w:tc>
          <w:tcPr>
            <w:tcW w:w="1559" w:type="dxa"/>
            <w:tcBorders>
              <w:top w:val="nil"/>
              <w:left w:val="nil"/>
              <w:bottom w:val="single" w:sz="4" w:space="0" w:color="auto"/>
              <w:right w:val="single" w:sz="4" w:space="0" w:color="auto"/>
            </w:tcBorders>
            <w:vAlign w:val="center"/>
          </w:tcPr>
          <w:p w14:paraId="294920FA" w14:textId="77777777" w:rsidR="007F2711" w:rsidRPr="00E3250C" w:rsidRDefault="007F2711" w:rsidP="00482B2E">
            <w:pPr>
              <w:suppressAutoHyphens w:val="0"/>
              <w:ind w:firstLine="0"/>
              <w:jc w:val="center"/>
              <w:rPr>
                <w:sz w:val="26"/>
                <w:szCs w:val="26"/>
                <w:lang w:eastAsia="ru-RU"/>
              </w:rPr>
            </w:pPr>
            <w:r>
              <w:rPr>
                <w:sz w:val="26"/>
                <w:szCs w:val="26"/>
                <w:lang w:eastAsia="ru-RU"/>
              </w:rPr>
              <w:t>19 000</w:t>
            </w:r>
          </w:p>
        </w:tc>
        <w:tc>
          <w:tcPr>
            <w:tcW w:w="1560" w:type="dxa"/>
            <w:tcBorders>
              <w:top w:val="nil"/>
              <w:left w:val="nil"/>
              <w:bottom w:val="single" w:sz="4" w:space="0" w:color="auto"/>
              <w:right w:val="single" w:sz="4" w:space="0" w:color="auto"/>
            </w:tcBorders>
            <w:vAlign w:val="center"/>
          </w:tcPr>
          <w:p w14:paraId="7582EF3C" w14:textId="77777777" w:rsidR="007F2711" w:rsidRPr="00E3250C" w:rsidRDefault="007F2711" w:rsidP="00482B2E">
            <w:pPr>
              <w:suppressAutoHyphens w:val="0"/>
              <w:ind w:firstLine="0"/>
              <w:jc w:val="center"/>
              <w:rPr>
                <w:sz w:val="26"/>
                <w:szCs w:val="26"/>
                <w:lang w:eastAsia="ru-RU"/>
              </w:rPr>
            </w:pPr>
            <w:r>
              <w:rPr>
                <w:sz w:val="26"/>
                <w:szCs w:val="26"/>
                <w:lang w:eastAsia="ru-RU"/>
              </w:rPr>
              <w:t>19 602</w:t>
            </w:r>
          </w:p>
        </w:tc>
        <w:tc>
          <w:tcPr>
            <w:tcW w:w="1559" w:type="dxa"/>
            <w:tcBorders>
              <w:top w:val="nil"/>
              <w:left w:val="nil"/>
              <w:bottom w:val="single" w:sz="4" w:space="0" w:color="auto"/>
              <w:right w:val="single" w:sz="4" w:space="0" w:color="auto"/>
            </w:tcBorders>
            <w:vAlign w:val="center"/>
          </w:tcPr>
          <w:p w14:paraId="3B20B786" w14:textId="77777777" w:rsidR="007F2711" w:rsidRPr="00E3250C" w:rsidRDefault="007F2711" w:rsidP="00482B2E">
            <w:pPr>
              <w:suppressAutoHyphens w:val="0"/>
              <w:ind w:firstLine="0"/>
              <w:jc w:val="center"/>
              <w:rPr>
                <w:sz w:val="26"/>
                <w:szCs w:val="26"/>
                <w:lang w:eastAsia="ru-RU"/>
              </w:rPr>
            </w:pPr>
            <w:r>
              <w:rPr>
                <w:sz w:val="26"/>
                <w:szCs w:val="26"/>
                <w:lang w:eastAsia="ru-RU"/>
              </w:rPr>
              <w:t>35 255</w:t>
            </w:r>
          </w:p>
        </w:tc>
      </w:tr>
      <w:tr w:rsidR="007F2711" w:rsidRPr="00E3250C" w14:paraId="40F388BE" w14:textId="77777777" w:rsidTr="007F2711">
        <w:trPr>
          <w:trHeight w:val="255"/>
        </w:trPr>
        <w:tc>
          <w:tcPr>
            <w:tcW w:w="2850" w:type="dxa"/>
            <w:tcBorders>
              <w:top w:val="nil"/>
              <w:left w:val="single" w:sz="4" w:space="0" w:color="auto"/>
              <w:bottom w:val="single" w:sz="4" w:space="0" w:color="auto"/>
              <w:right w:val="single" w:sz="4" w:space="0" w:color="auto"/>
            </w:tcBorders>
            <w:shd w:val="clear" w:color="000000" w:fill="FFFFFF"/>
            <w:vAlign w:val="center"/>
          </w:tcPr>
          <w:p w14:paraId="6FE9F641" w14:textId="77777777" w:rsidR="007F2711" w:rsidRPr="00E3250C" w:rsidRDefault="007F2711" w:rsidP="00482B2E">
            <w:pPr>
              <w:suppressAutoHyphens w:val="0"/>
              <w:ind w:firstLine="0"/>
              <w:rPr>
                <w:sz w:val="26"/>
                <w:szCs w:val="26"/>
                <w:lang w:eastAsia="ru-RU"/>
              </w:rPr>
            </w:pPr>
            <w:r w:rsidRPr="00E3250C">
              <w:rPr>
                <w:sz w:val="26"/>
                <w:szCs w:val="26"/>
                <w:lang w:eastAsia="ru-RU"/>
              </w:rPr>
              <w:t xml:space="preserve"> - налоги на товары (работы, услуги)</w:t>
            </w:r>
          </w:p>
        </w:tc>
        <w:tc>
          <w:tcPr>
            <w:tcW w:w="1843" w:type="dxa"/>
            <w:tcBorders>
              <w:top w:val="nil"/>
              <w:left w:val="nil"/>
              <w:bottom w:val="single" w:sz="4" w:space="0" w:color="auto"/>
              <w:right w:val="single" w:sz="4" w:space="0" w:color="auto"/>
            </w:tcBorders>
            <w:vAlign w:val="center"/>
          </w:tcPr>
          <w:p w14:paraId="7D9920E8" w14:textId="77777777" w:rsidR="007F2711" w:rsidRPr="00E3250C" w:rsidRDefault="007F2711" w:rsidP="00482B2E">
            <w:pPr>
              <w:suppressAutoHyphens w:val="0"/>
              <w:ind w:firstLine="0"/>
              <w:jc w:val="center"/>
              <w:rPr>
                <w:sz w:val="26"/>
                <w:szCs w:val="26"/>
                <w:lang w:eastAsia="ru-RU"/>
              </w:rPr>
            </w:pPr>
            <w:r w:rsidRPr="00E3250C">
              <w:rPr>
                <w:sz w:val="26"/>
                <w:szCs w:val="26"/>
                <w:lang w:eastAsia="ru-RU"/>
              </w:rPr>
              <w:t>млн. рублей</w:t>
            </w:r>
          </w:p>
        </w:tc>
        <w:tc>
          <w:tcPr>
            <w:tcW w:w="1559" w:type="dxa"/>
            <w:tcBorders>
              <w:top w:val="nil"/>
              <w:left w:val="nil"/>
              <w:bottom w:val="single" w:sz="4" w:space="0" w:color="auto"/>
              <w:right w:val="single" w:sz="4" w:space="0" w:color="auto"/>
            </w:tcBorders>
            <w:vAlign w:val="center"/>
          </w:tcPr>
          <w:p w14:paraId="769069E0" w14:textId="77777777" w:rsidR="007F2711" w:rsidRPr="00E3250C" w:rsidRDefault="007F2711" w:rsidP="00482B2E">
            <w:pPr>
              <w:suppressAutoHyphens w:val="0"/>
              <w:ind w:firstLine="0"/>
              <w:jc w:val="center"/>
              <w:rPr>
                <w:sz w:val="26"/>
                <w:szCs w:val="26"/>
                <w:lang w:eastAsia="ru-RU"/>
              </w:rPr>
            </w:pPr>
            <w:r>
              <w:rPr>
                <w:sz w:val="26"/>
                <w:szCs w:val="26"/>
                <w:lang w:eastAsia="ru-RU"/>
              </w:rPr>
              <w:t>12 345</w:t>
            </w:r>
          </w:p>
        </w:tc>
        <w:tc>
          <w:tcPr>
            <w:tcW w:w="1560" w:type="dxa"/>
            <w:tcBorders>
              <w:top w:val="nil"/>
              <w:left w:val="nil"/>
              <w:bottom w:val="single" w:sz="4" w:space="0" w:color="auto"/>
              <w:right w:val="single" w:sz="4" w:space="0" w:color="auto"/>
            </w:tcBorders>
            <w:vAlign w:val="center"/>
          </w:tcPr>
          <w:p w14:paraId="1D3AB17C" w14:textId="77777777" w:rsidR="007F2711" w:rsidRPr="00E3250C" w:rsidRDefault="007F2711" w:rsidP="00482B2E">
            <w:pPr>
              <w:suppressAutoHyphens w:val="0"/>
              <w:ind w:firstLine="0"/>
              <w:jc w:val="center"/>
              <w:rPr>
                <w:sz w:val="26"/>
                <w:szCs w:val="26"/>
                <w:lang w:eastAsia="ru-RU"/>
              </w:rPr>
            </w:pPr>
            <w:r>
              <w:rPr>
                <w:sz w:val="26"/>
                <w:szCs w:val="26"/>
                <w:lang w:eastAsia="ru-RU"/>
              </w:rPr>
              <w:t>12 658</w:t>
            </w:r>
          </w:p>
        </w:tc>
        <w:tc>
          <w:tcPr>
            <w:tcW w:w="1559" w:type="dxa"/>
            <w:tcBorders>
              <w:top w:val="nil"/>
              <w:left w:val="nil"/>
              <w:bottom w:val="single" w:sz="4" w:space="0" w:color="auto"/>
              <w:right w:val="single" w:sz="4" w:space="0" w:color="auto"/>
            </w:tcBorders>
            <w:vAlign w:val="center"/>
          </w:tcPr>
          <w:p w14:paraId="6FB7A64E" w14:textId="77777777" w:rsidR="007F2711" w:rsidRPr="00E3250C" w:rsidRDefault="007F2711" w:rsidP="00482B2E">
            <w:pPr>
              <w:suppressAutoHyphens w:val="0"/>
              <w:ind w:firstLine="0"/>
              <w:jc w:val="center"/>
              <w:rPr>
                <w:sz w:val="26"/>
                <w:szCs w:val="26"/>
                <w:lang w:eastAsia="ru-RU"/>
              </w:rPr>
            </w:pPr>
            <w:r>
              <w:rPr>
                <w:sz w:val="26"/>
                <w:szCs w:val="26"/>
                <w:lang w:eastAsia="ru-RU"/>
              </w:rPr>
              <w:t>18 175</w:t>
            </w:r>
          </w:p>
        </w:tc>
      </w:tr>
      <w:tr w:rsidR="007F2711" w:rsidRPr="00E3250C" w14:paraId="3A6B9495" w14:textId="77777777" w:rsidTr="007F2711">
        <w:trPr>
          <w:trHeight w:val="255"/>
        </w:trPr>
        <w:tc>
          <w:tcPr>
            <w:tcW w:w="2850" w:type="dxa"/>
            <w:tcBorders>
              <w:top w:val="nil"/>
              <w:left w:val="single" w:sz="4" w:space="0" w:color="auto"/>
              <w:bottom w:val="single" w:sz="4" w:space="0" w:color="auto"/>
              <w:right w:val="single" w:sz="4" w:space="0" w:color="auto"/>
            </w:tcBorders>
            <w:shd w:val="clear" w:color="000000" w:fill="FFFFFF"/>
            <w:vAlign w:val="center"/>
          </w:tcPr>
          <w:p w14:paraId="59D1C474" w14:textId="77777777" w:rsidR="007F2711" w:rsidRPr="00E3250C" w:rsidRDefault="007F2711" w:rsidP="00482B2E">
            <w:pPr>
              <w:suppressAutoHyphens w:val="0"/>
              <w:ind w:firstLine="0"/>
              <w:rPr>
                <w:sz w:val="26"/>
                <w:szCs w:val="26"/>
                <w:lang w:eastAsia="ru-RU"/>
              </w:rPr>
            </w:pPr>
            <w:r w:rsidRPr="00E3250C">
              <w:rPr>
                <w:sz w:val="26"/>
                <w:szCs w:val="26"/>
                <w:lang w:eastAsia="ru-RU"/>
              </w:rPr>
              <w:t xml:space="preserve"> - налоги на совокупный доход</w:t>
            </w:r>
          </w:p>
        </w:tc>
        <w:tc>
          <w:tcPr>
            <w:tcW w:w="1843" w:type="dxa"/>
            <w:tcBorders>
              <w:top w:val="nil"/>
              <w:left w:val="nil"/>
              <w:bottom w:val="single" w:sz="4" w:space="0" w:color="auto"/>
              <w:right w:val="single" w:sz="4" w:space="0" w:color="auto"/>
            </w:tcBorders>
            <w:vAlign w:val="center"/>
          </w:tcPr>
          <w:p w14:paraId="5F6A7167" w14:textId="77777777" w:rsidR="007F2711" w:rsidRPr="00E3250C" w:rsidRDefault="007F2711" w:rsidP="00482B2E">
            <w:pPr>
              <w:suppressAutoHyphens w:val="0"/>
              <w:ind w:firstLine="0"/>
              <w:jc w:val="center"/>
              <w:rPr>
                <w:sz w:val="26"/>
                <w:szCs w:val="26"/>
                <w:lang w:eastAsia="ru-RU"/>
              </w:rPr>
            </w:pPr>
            <w:r w:rsidRPr="00E3250C">
              <w:rPr>
                <w:sz w:val="26"/>
                <w:szCs w:val="26"/>
                <w:lang w:eastAsia="ru-RU"/>
              </w:rPr>
              <w:t>млн. рублей</w:t>
            </w:r>
          </w:p>
        </w:tc>
        <w:tc>
          <w:tcPr>
            <w:tcW w:w="1559" w:type="dxa"/>
            <w:tcBorders>
              <w:top w:val="nil"/>
              <w:left w:val="nil"/>
              <w:bottom w:val="single" w:sz="4" w:space="0" w:color="auto"/>
              <w:right w:val="single" w:sz="4" w:space="0" w:color="auto"/>
            </w:tcBorders>
            <w:vAlign w:val="center"/>
          </w:tcPr>
          <w:p w14:paraId="118D5F67" w14:textId="77777777" w:rsidR="007F2711" w:rsidRPr="00E3250C" w:rsidRDefault="007F2711" w:rsidP="00482B2E">
            <w:pPr>
              <w:suppressAutoHyphens w:val="0"/>
              <w:ind w:firstLine="0"/>
              <w:jc w:val="center"/>
              <w:rPr>
                <w:sz w:val="26"/>
                <w:szCs w:val="26"/>
                <w:lang w:eastAsia="ru-RU"/>
              </w:rPr>
            </w:pPr>
            <w:r>
              <w:rPr>
                <w:sz w:val="26"/>
                <w:szCs w:val="26"/>
                <w:lang w:eastAsia="ru-RU"/>
              </w:rPr>
              <w:t>1 627</w:t>
            </w:r>
          </w:p>
        </w:tc>
        <w:tc>
          <w:tcPr>
            <w:tcW w:w="1560" w:type="dxa"/>
            <w:tcBorders>
              <w:top w:val="nil"/>
              <w:left w:val="nil"/>
              <w:bottom w:val="single" w:sz="4" w:space="0" w:color="auto"/>
              <w:right w:val="single" w:sz="4" w:space="0" w:color="auto"/>
            </w:tcBorders>
            <w:vAlign w:val="center"/>
          </w:tcPr>
          <w:p w14:paraId="7791A3DE" w14:textId="77777777" w:rsidR="007F2711" w:rsidRPr="00E3250C" w:rsidRDefault="007F2711" w:rsidP="00482B2E">
            <w:pPr>
              <w:suppressAutoHyphens w:val="0"/>
              <w:ind w:firstLine="0"/>
              <w:jc w:val="center"/>
              <w:rPr>
                <w:sz w:val="26"/>
                <w:szCs w:val="26"/>
                <w:lang w:eastAsia="ru-RU"/>
              </w:rPr>
            </w:pPr>
            <w:r>
              <w:rPr>
                <w:sz w:val="26"/>
                <w:szCs w:val="26"/>
                <w:lang w:eastAsia="ru-RU"/>
              </w:rPr>
              <w:t>1 663</w:t>
            </w:r>
          </w:p>
        </w:tc>
        <w:tc>
          <w:tcPr>
            <w:tcW w:w="1559" w:type="dxa"/>
            <w:tcBorders>
              <w:top w:val="nil"/>
              <w:left w:val="nil"/>
              <w:bottom w:val="single" w:sz="4" w:space="0" w:color="auto"/>
              <w:right w:val="single" w:sz="4" w:space="0" w:color="auto"/>
            </w:tcBorders>
            <w:vAlign w:val="center"/>
          </w:tcPr>
          <w:p w14:paraId="2948775B" w14:textId="77777777" w:rsidR="007F2711" w:rsidRPr="00E3250C" w:rsidRDefault="007F2711" w:rsidP="00482B2E">
            <w:pPr>
              <w:suppressAutoHyphens w:val="0"/>
              <w:ind w:firstLine="0"/>
              <w:jc w:val="center"/>
              <w:rPr>
                <w:sz w:val="26"/>
                <w:szCs w:val="26"/>
                <w:lang w:eastAsia="ru-RU"/>
              </w:rPr>
            </w:pPr>
            <w:r>
              <w:rPr>
                <w:sz w:val="26"/>
                <w:szCs w:val="26"/>
                <w:lang w:eastAsia="ru-RU"/>
              </w:rPr>
              <w:t>2 862</w:t>
            </w:r>
          </w:p>
        </w:tc>
      </w:tr>
      <w:tr w:rsidR="007F2711" w:rsidRPr="00E3250C" w14:paraId="2D4191D4" w14:textId="77777777" w:rsidTr="007F2711">
        <w:trPr>
          <w:trHeight w:val="255"/>
        </w:trPr>
        <w:tc>
          <w:tcPr>
            <w:tcW w:w="2850" w:type="dxa"/>
            <w:tcBorders>
              <w:top w:val="nil"/>
              <w:left w:val="single" w:sz="4" w:space="0" w:color="auto"/>
              <w:bottom w:val="single" w:sz="4" w:space="0" w:color="auto"/>
              <w:right w:val="single" w:sz="4" w:space="0" w:color="auto"/>
            </w:tcBorders>
            <w:shd w:val="clear" w:color="000000" w:fill="FFFFFF"/>
            <w:vAlign w:val="center"/>
          </w:tcPr>
          <w:p w14:paraId="4C2FF7BD" w14:textId="77777777" w:rsidR="007F2711" w:rsidRPr="00E3250C" w:rsidRDefault="007F2711" w:rsidP="00482B2E">
            <w:pPr>
              <w:suppressAutoHyphens w:val="0"/>
              <w:ind w:firstLine="0"/>
              <w:rPr>
                <w:sz w:val="26"/>
                <w:szCs w:val="26"/>
                <w:lang w:eastAsia="ru-RU"/>
              </w:rPr>
            </w:pPr>
            <w:r w:rsidRPr="00E3250C">
              <w:rPr>
                <w:sz w:val="26"/>
                <w:szCs w:val="26"/>
                <w:lang w:eastAsia="ru-RU"/>
              </w:rPr>
              <w:t xml:space="preserve"> - налоги на имущество </w:t>
            </w:r>
          </w:p>
        </w:tc>
        <w:tc>
          <w:tcPr>
            <w:tcW w:w="1843" w:type="dxa"/>
            <w:tcBorders>
              <w:top w:val="nil"/>
              <w:left w:val="nil"/>
              <w:bottom w:val="single" w:sz="4" w:space="0" w:color="auto"/>
              <w:right w:val="single" w:sz="4" w:space="0" w:color="auto"/>
            </w:tcBorders>
            <w:vAlign w:val="center"/>
          </w:tcPr>
          <w:p w14:paraId="673FDECE" w14:textId="77777777" w:rsidR="007F2711" w:rsidRPr="00E3250C" w:rsidRDefault="007F2711" w:rsidP="00482B2E">
            <w:pPr>
              <w:suppressAutoHyphens w:val="0"/>
              <w:ind w:firstLine="0"/>
              <w:jc w:val="center"/>
              <w:rPr>
                <w:sz w:val="26"/>
                <w:szCs w:val="26"/>
                <w:lang w:eastAsia="ru-RU"/>
              </w:rPr>
            </w:pPr>
            <w:r w:rsidRPr="00E3250C">
              <w:rPr>
                <w:sz w:val="26"/>
                <w:szCs w:val="26"/>
                <w:lang w:eastAsia="ru-RU"/>
              </w:rPr>
              <w:t>млн. рублей</w:t>
            </w:r>
          </w:p>
        </w:tc>
        <w:tc>
          <w:tcPr>
            <w:tcW w:w="1559" w:type="dxa"/>
            <w:tcBorders>
              <w:top w:val="nil"/>
              <w:left w:val="nil"/>
              <w:bottom w:val="single" w:sz="4" w:space="0" w:color="auto"/>
              <w:right w:val="single" w:sz="4" w:space="0" w:color="auto"/>
            </w:tcBorders>
            <w:vAlign w:val="center"/>
          </w:tcPr>
          <w:p w14:paraId="18537A2D" w14:textId="77777777" w:rsidR="007F2711" w:rsidRPr="00E3250C" w:rsidRDefault="007F2711" w:rsidP="00482B2E">
            <w:pPr>
              <w:suppressAutoHyphens w:val="0"/>
              <w:ind w:firstLine="0"/>
              <w:jc w:val="center"/>
              <w:rPr>
                <w:sz w:val="26"/>
                <w:szCs w:val="26"/>
                <w:lang w:eastAsia="ru-RU"/>
              </w:rPr>
            </w:pPr>
            <w:r>
              <w:rPr>
                <w:sz w:val="26"/>
                <w:szCs w:val="26"/>
                <w:lang w:eastAsia="ru-RU"/>
              </w:rPr>
              <w:t>4 691</w:t>
            </w:r>
          </w:p>
        </w:tc>
        <w:tc>
          <w:tcPr>
            <w:tcW w:w="1560" w:type="dxa"/>
            <w:tcBorders>
              <w:top w:val="nil"/>
              <w:left w:val="nil"/>
              <w:bottom w:val="single" w:sz="4" w:space="0" w:color="auto"/>
              <w:right w:val="single" w:sz="4" w:space="0" w:color="auto"/>
            </w:tcBorders>
            <w:vAlign w:val="center"/>
          </w:tcPr>
          <w:p w14:paraId="5582D50E" w14:textId="77777777" w:rsidR="007F2711" w:rsidRPr="00E3250C" w:rsidRDefault="007F2711" w:rsidP="00482B2E">
            <w:pPr>
              <w:suppressAutoHyphens w:val="0"/>
              <w:ind w:firstLine="0"/>
              <w:jc w:val="center"/>
              <w:rPr>
                <w:sz w:val="26"/>
                <w:szCs w:val="26"/>
                <w:lang w:eastAsia="ru-RU"/>
              </w:rPr>
            </w:pPr>
            <w:r>
              <w:rPr>
                <w:sz w:val="26"/>
                <w:szCs w:val="26"/>
                <w:lang w:eastAsia="ru-RU"/>
              </w:rPr>
              <w:t>4 795</w:t>
            </w:r>
          </w:p>
        </w:tc>
        <w:tc>
          <w:tcPr>
            <w:tcW w:w="1559" w:type="dxa"/>
            <w:tcBorders>
              <w:top w:val="nil"/>
              <w:left w:val="nil"/>
              <w:bottom w:val="single" w:sz="4" w:space="0" w:color="auto"/>
              <w:right w:val="single" w:sz="4" w:space="0" w:color="auto"/>
            </w:tcBorders>
            <w:vAlign w:val="center"/>
          </w:tcPr>
          <w:p w14:paraId="17346995" w14:textId="77777777" w:rsidR="007F2711" w:rsidRPr="00E3250C" w:rsidRDefault="007F2711" w:rsidP="00482B2E">
            <w:pPr>
              <w:suppressAutoHyphens w:val="0"/>
              <w:ind w:firstLine="0"/>
              <w:jc w:val="center"/>
              <w:rPr>
                <w:sz w:val="26"/>
                <w:szCs w:val="26"/>
                <w:lang w:eastAsia="ru-RU"/>
              </w:rPr>
            </w:pPr>
            <w:r>
              <w:rPr>
                <w:sz w:val="26"/>
                <w:szCs w:val="26"/>
                <w:lang w:eastAsia="ru-RU"/>
              </w:rPr>
              <w:t>4 953</w:t>
            </w:r>
          </w:p>
        </w:tc>
      </w:tr>
      <w:tr w:rsidR="007F2711" w:rsidRPr="00E3250C" w14:paraId="61017537" w14:textId="77777777" w:rsidTr="007F2711">
        <w:trPr>
          <w:trHeight w:val="585"/>
        </w:trPr>
        <w:tc>
          <w:tcPr>
            <w:tcW w:w="2850" w:type="dxa"/>
            <w:tcBorders>
              <w:top w:val="nil"/>
              <w:left w:val="single" w:sz="4" w:space="0" w:color="auto"/>
              <w:bottom w:val="single" w:sz="4" w:space="0" w:color="auto"/>
              <w:right w:val="single" w:sz="4" w:space="0" w:color="auto"/>
            </w:tcBorders>
            <w:shd w:val="clear" w:color="000000" w:fill="FFFFFF"/>
            <w:vAlign w:val="center"/>
          </w:tcPr>
          <w:p w14:paraId="47844FE7" w14:textId="77777777" w:rsidR="007F2711" w:rsidRPr="00E3250C" w:rsidRDefault="007F2711" w:rsidP="00482B2E">
            <w:pPr>
              <w:suppressAutoHyphens w:val="0"/>
              <w:ind w:firstLine="0"/>
              <w:rPr>
                <w:sz w:val="26"/>
                <w:szCs w:val="26"/>
                <w:lang w:eastAsia="ru-RU"/>
              </w:rPr>
            </w:pPr>
            <w:r w:rsidRPr="00E3250C">
              <w:rPr>
                <w:sz w:val="26"/>
                <w:szCs w:val="26"/>
                <w:lang w:eastAsia="ru-RU"/>
              </w:rPr>
              <w:t xml:space="preserve"> - налоги, сборы за пользование природными ресурсами и прочие налоговые доходы</w:t>
            </w:r>
          </w:p>
        </w:tc>
        <w:tc>
          <w:tcPr>
            <w:tcW w:w="1843" w:type="dxa"/>
            <w:tcBorders>
              <w:top w:val="nil"/>
              <w:left w:val="nil"/>
              <w:bottom w:val="single" w:sz="4" w:space="0" w:color="auto"/>
              <w:right w:val="single" w:sz="4" w:space="0" w:color="auto"/>
            </w:tcBorders>
            <w:vAlign w:val="center"/>
          </w:tcPr>
          <w:p w14:paraId="39FA1B3F" w14:textId="77777777" w:rsidR="007F2711" w:rsidRPr="00E3250C" w:rsidRDefault="007F2711" w:rsidP="00482B2E">
            <w:pPr>
              <w:suppressAutoHyphens w:val="0"/>
              <w:ind w:firstLine="0"/>
              <w:jc w:val="center"/>
              <w:rPr>
                <w:sz w:val="26"/>
                <w:szCs w:val="26"/>
                <w:lang w:eastAsia="ru-RU"/>
              </w:rPr>
            </w:pPr>
            <w:r w:rsidRPr="00E3250C">
              <w:rPr>
                <w:sz w:val="26"/>
                <w:szCs w:val="26"/>
                <w:lang w:eastAsia="ru-RU"/>
              </w:rPr>
              <w:t>млн. рублей</w:t>
            </w:r>
          </w:p>
        </w:tc>
        <w:tc>
          <w:tcPr>
            <w:tcW w:w="1559" w:type="dxa"/>
            <w:tcBorders>
              <w:top w:val="nil"/>
              <w:left w:val="nil"/>
              <w:bottom w:val="single" w:sz="4" w:space="0" w:color="auto"/>
              <w:right w:val="single" w:sz="4" w:space="0" w:color="auto"/>
            </w:tcBorders>
            <w:vAlign w:val="center"/>
          </w:tcPr>
          <w:p w14:paraId="4AF420EB" w14:textId="77777777" w:rsidR="007F2711" w:rsidRPr="00E3250C" w:rsidRDefault="007F2711" w:rsidP="00482B2E">
            <w:pPr>
              <w:suppressAutoHyphens w:val="0"/>
              <w:ind w:firstLine="0"/>
              <w:jc w:val="center"/>
              <w:rPr>
                <w:sz w:val="26"/>
                <w:szCs w:val="26"/>
                <w:lang w:eastAsia="ru-RU"/>
              </w:rPr>
            </w:pPr>
            <w:r>
              <w:rPr>
                <w:sz w:val="26"/>
                <w:szCs w:val="26"/>
                <w:lang w:eastAsia="ru-RU"/>
              </w:rPr>
              <w:t>214</w:t>
            </w:r>
          </w:p>
        </w:tc>
        <w:tc>
          <w:tcPr>
            <w:tcW w:w="1560" w:type="dxa"/>
            <w:tcBorders>
              <w:top w:val="nil"/>
              <w:left w:val="nil"/>
              <w:bottom w:val="single" w:sz="4" w:space="0" w:color="auto"/>
              <w:right w:val="single" w:sz="4" w:space="0" w:color="auto"/>
            </w:tcBorders>
            <w:vAlign w:val="center"/>
          </w:tcPr>
          <w:p w14:paraId="129FB9D4" w14:textId="77777777" w:rsidR="007F2711" w:rsidRPr="00E3250C" w:rsidRDefault="007F2711" w:rsidP="00482B2E">
            <w:pPr>
              <w:suppressAutoHyphens w:val="0"/>
              <w:ind w:firstLine="0"/>
              <w:jc w:val="center"/>
              <w:rPr>
                <w:sz w:val="26"/>
                <w:szCs w:val="26"/>
                <w:lang w:eastAsia="ru-RU"/>
              </w:rPr>
            </w:pPr>
            <w:r>
              <w:rPr>
                <w:sz w:val="26"/>
                <w:szCs w:val="26"/>
                <w:lang w:eastAsia="ru-RU"/>
              </w:rPr>
              <w:t>216</w:t>
            </w:r>
          </w:p>
        </w:tc>
        <w:tc>
          <w:tcPr>
            <w:tcW w:w="1559" w:type="dxa"/>
            <w:tcBorders>
              <w:top w:val="nil"/>
              <w:left w:val="nil"/>
              <w:bottom w:val="single" w:sz="4" w:space="0" w:color="auto"/>
              <w:right w:val="single" w:sz="4" w:space="0" w:color="auto"/>
            </w:tcBorders>
            <w:vAlign w:val="center"/>
          </w:tcPr>
          <w:p w14:paraId="14A8C76B" w14:textId="77777777" w:rsidR="007F2711" w:rsidRPr="00E3250C" w:rsidRDefault="007F2711" w:rsidP="00482B2E">
            <w:pPr>
              <w:suppressAutoHyphens w:val="0"/>
              <w:ind w:firstLine="0"/>
              <w:jc w:val="center"/>
              <w:rPr>
                <w:sz w:val="26"/>
                <w:szCs w:val="26"/>
                <w:lang w:eastAsia="ru-RU"/>
              </w:rPr>
            </w:pPr>
            <w:r>
              <w:rPr>
                <w:sz w:val="26"/>
                <w:szCs w:val="26"/>
                <w:lang w:eastAsia="ru-RU"/>
              </w:rPr>
              <w:t>246</w:t>
            </w:r>
          </w:p>
        </w:tc>
      </w:tr>
      <w:tr w:rsidR="007F2711" w:rsidRPr="00E3250C" w14:paraId="02BA3984" w14:textId="77777777" w:rsidTr="007F2711">
        <w:trPr>
          <w:trHeight w:val="585"/>
        </w:trPr>
        <w:tc>
          <w:tcPr>
            <w:tcW w:w="2850" w:type="dxa"/>
            <w:tcBorders>
              <w:top w:val="nil"/>
              <w:left w:val="single" w:sz="4" w:space="0" w:color="auto"/>
              <w:bottom w:val="single" w:sz="4" w:space="0" w:color="auto"/>
              <w:right w:val="single" w:sz="4" w:space="0" w:color="auto"/>
            </w:tcBorders>
            <w:shd w:val="clear" w:color="000000" w:fill="FFFFFF"/>
            <w:vAlign w:val="center"/>
          </w:tcPr>
          <w:p w14:paraId="0FFABA3E" w14:textId="77777777" w:rsidR="007F2711" w:rsidRPr="00E3250C" w:rsidRDefault="007F2711" w:rsidP="00482B2E">
            <w:pPr>
              <w:suppressAutoHyphens w:val="0"/>
              <w:ind w:firstLine="0"/>
              <w:rPr>
                <w:sz w:val="26"/>
                <w:szCs w:val="26"/>
                <w:lang w:eastAsia="ru-RU"/>
              </w:rPr>
            </w:pPr>
            <w:r w:rsidRPr="00E3250C">
              <w:rPr>
                <w:sz w:val="26"/>
                <w:szCs w:val="26"/>
                <w:lang w:eastAsia="ru-RU"/>
              </w:rPr>
              <w:t>Из них: налоговые доходы местного бюджета</w:t>
            </w:r>
          </w:p>
        </w:tc>
        <w:tc>
          <w:tcPr>
            <w:tcW w:w="1843" w:type="dxa"/>
            <w:tcBorders>
              <w:top w:val="nil"/>
              <w:left w:val="nil"/>
              <w:bottom w:val="single" w:sz="4" w:space="0" w:color="auto"/>
              <w:right w:val="single" w:sz="4" w:space="0" w:color="auto"/>
            </w:tcBorders>
            <w:vAlign w:val="center"/>
          </w:tcPr>
          <w:p w14:paraId="20C78849" w14:textId="77777777" w:rsidR="007F2711" w:rsidRPr="00E3250C" w:rsidRDefault="007F2711" w:rsidP="00482B2E">
            <w:pPr>
              <w:suppressAutoHyphens w:val="0"/>
              <w:ind w:firstLine="0"/>
              <w:jc w:val="center"/>
              <w:rPr>
                <w:sz w:val="26"/>
                <w:szCs w:val="26"/>
                <w:lang w:eastAsia="ru-RU"/>
              </w:rPr>
            </w:pPr>
            <w:r w:rsidRPr="00E3250C">
              <w:rPr>
                <w:sz w:val="26"/>
                <w:szCs w:val="26"/>
                <w:lang w:eastAsia="ru-RU"/>
              </w:rPr>
              <w:t>млн. рублей</w:t>
            </w:r>
          </w:p>
        </w:tc>
        <w:tc>
          <w:tcPr>
            <w:tcW w:w="1559" w:type="dxa"/>
            <w:tcBorders>
              <w:top w:val="nil"/>
              <w:left w:val="nil"/>
              <w:bottom w:val="single" w:sz="4" w:space="0" w:color="auto"/>
              <w:right w:val="single" w:sz="4" w:space="0" w:color="auto"/>
            </w:tcBorders>
            <w:vAlign w:val="center"/>
          </w:tcPr>
          <w:p w14:paraId="21C40EFF" w14:textId="77777777" w:rsidR="007F2711" w:rsidRPr="00E3250C" w:rsidRDefault="007F2711" w:rsidP="00482B2E">
            <w:pPr>
              <w:suppressAutoHyphens w:val="0"/>
              <w:ind w:firstLine="0"/>
              <w:jc w:val="center"/>
              <w:rPr>
                <w:sz w:val="26"/>
                <w:szCs w:val="26"/>
                <w:lang w:eastAsia="ru-RU"/>
              </w:rPr>
            </w:pPr>
            <w:r>
              <w:rPr>
                <w:sz w:val="26"/>
                <w:szCs w:val="26"/>
                <w:lang w:eastAsia="ru-RU"/>
              </w:rPr>
              <w:t>6 212</w:t>
            </w:r>
          </w:p>
        </w:tc>
        <w:tc>
          <w:tcPr>
            <w:tcW w:w="1560" w:type="dxa"/>
            <w:tcBorders>
              <w:top w:val="nil"/>
              <w:left w:val="nil"/>
              <w:bottom w:val="single" w:sz="4" w:space="0" w:color="auto"/>
              <w:right w:val="single" w:sz="4" w:space="0" w:color="auto"/>
            </w:tcBorders>
            <w:vAlign w:val="center"/>
          </w:tcPr>
          <w:p w14:paraId="79800222" w14:textId="77777777" w:rsidR="007F2711" w:rsidRPr="00E3250C" w:rsidRDefault="007F2711" w:rsidP="00482B2E">
            <w:pPr>
              <w:suppressAutoHyphens w:val="0"/>
              <w:ind w:firstLine="0"/>
              <w:jc w:val="center"/>
              <w:rPr>
                <w:sz w:val="26"/>
                <w:szCs w:val="26"/>
                <w:lang w:eastAsia="ru-RU"/>
              </w:rPr>
            </w:pPr>
            <w:r>
              <w:rPr>
                <w:sz w:val="26"/>
                <w:szCs w:val="26"/>
                <w:lang w:eastAsia="ru-RU"/>
              </w:rPr>
              <w:t>6 370</w:t>
            </w:r>
          </w:p>
        </w:tc>
        <w:tc>
          <w:tcPr>
            <w:tcW w:w="1559" w:type="dxa"/>
            <w:tcBorders>
              <w:top w:val="nil"/>
              <w:left w:val="nil"/>
              <w:bottom w:val="single" w:sz="4" w:space="0" w:color="auto"/>
              <w:right w:val="single" w:sz="4" w:space="0" w:color="auto"/>
            </w:tcBorders>
            <w:vAlign w:val="center"/>
          </w:tcPr>
          <w:p w14:paraId="3EDEC6B7" w14:textId="08616AC0" w:rsidR="007F2711" w:rsidRPr="00E3250C" w:rsidRDefault="005611DD" w:rsidP="00482B2E">
            <w:pPr>
              <w:suppressAutoHyphens w:val="0"/>
              <w:ind w:firstLine="0"/>
              <w:jc w:val="center"/>
              <w:rPr>
                <w:sz w:val="26"/>
                <w:szCs w:val="26"/>
                <w:lang w:eastAsia="ru-RU"/>
              </w:rPr>
            </w:pPr>
            <w:r>
              <w:t>-</w:t>
            </w:r>
            <w:r w:rsidR="007F2711">
              <w:rPr>
                <w:rStyle w:val="affb"/>
              </w:rPr>
              <w:t>1</w:t>
            </w:r>
          </w:p>
        </w:tc>
      </w:tr>
      <w:tr w:rsidR="007F2711" w:rsidRPr="00E3250C" w14:paraId="2C206CFA" w14:textId="77777777" w:rsidTr="007F2711">
        <w:trPr>
          <w:trHeight w:val="255"/>
        </w:trPr>
        <w:tc>
          <w:tcPr>
            <w:tcW w:w="2850" w:type="dxa"/>
            <w:tcBorders>
              <w:top w:val="nil"/>
              <w:left w:val="single" w:sz="4" w:space="0" w:color="auto"/>
              <w:bottom w:val="single" w:sz="4" w:space="0" w:color="auto"/>
              <w:right w:val="single" w:sz="4" w:space="0" w:color="auto"/>
            </w:tcBorders>
            <w:shd w:val="clear" w:color="000000" w:fill="FFFFFF"/>
            <w:vAlign w:val="center"/>
          </w:tcPr>
          <w:p w14:paraId="3D3D323A" w14:textId="77777777" w:rsidR="007F2711" w:rsidRPr="00E3250C" w:rsidRDefault="007F2711" w:rsidP="00482B2E">
            <w:pPr>
              <w:suppressAutoHyphens w:val="0"/>
              <w:ind w:firstLine="0"/>
              <w:rPr>
                <w:sz w:val="26"/>
                <w:szCs w:val="26"/>
                <w:lang w:eastAsia="ru-RU"/>
              </w:rPr>
            </w:pPr>
            <w:r w:rsidRPr="00E3250C">
              <w:rPr>
                <w:sz w:val="26"/>
                <w:szCs w:val="26"/>
                <w:lang w:eastAsia="ru-RU"/>
              </w:rPr>
              <w:t>Неналоговые доходы местного бюджета</w:t>
            </w:r>
          </w:p>
        </w:tc>
        <w:tc>
          <w:tcPr>
            <w:tcW w:w="1843" w:type="dxa"/>
            <w:tcBorders>
              <w:top w:val="nil"/>
              <w:left w:val="nil"/>
              <w:bottom w:val="single" w:sz="4" w:space="0" w:color="auto"/>
              <w:right w:val="single" w:sz="4" w:space="0" w:color="auto"/>
            </w:tcBorders>
            <w:vAlign w:val="center"/>
          </w:tcPr>
          <w:p w14:paraId="6FBCBA87" w14:textId="77777777" w:rsidR="007F2711" w:rsidRPr="00E3250C" w:rsidRDefault="007F2711" w:rsidP="00482B2E">
            <w:pPr>
              <w:suppressAutoHyphens w:val="0"/>
              <w:ind w:firstLine="0"/>
              <w:jc w:val="center"/>
              <w:rPr>
                <w:sz w:val="26"/>
                <w:szCs w:val="26"/>
                <w:lang w:eastAsia="ru-RU"/>
              </w:rPr>
            </w:pPr>
            <w:r w:rsidRPr="00E3250C">
              <w:rPr>
                <w:sz w:val="26"/>
                <w:szCs w:val="26"/>
                <w:lang w:eastAsia="ru-RU"/>
              </w:rPr>
              <w:t>млн. рублей</w:t>
            </w:r>
          </w:p>
        </w:tc>
        <w:tc>
          <w:tcPr>
            <w:tcW w:w="1559" w:type="dxa"/>
            <w:tcBorders>
              <w:top w:val="nil"/>
              <w:left w:val="nil"/>
              <w:bottom w:val="single" w:sz="4" w:space="0" w:color="auto"/>
              <w:right w:val="single" w:sz="4" w:space="0" w:color="auto"/>
            </w:tcBorders>
            <w:vAlign w:val="center"/>
          </w:tcPr>
          <w:p w14:paraId="364CCD9F" w14:textId="77777777" w:rsidR="007F2711" w:rsidRPr="00E3250C" w:rsidRDefault="007F2711" w:rsidP="00482B2E">
            <w:pPr>
              <w:suppressAutoHyphens w:val="0"/>
              <w:ind w:firstLine="0"/>
              <w:jc w:val="center"/>
              <w:rPr>
                <w:sz w:val="26"/>
                <w:szCs w:val="26"/>
                <w:lang w:eastAsia="ru-RU"/>
              </w:rPr>
            </w:pPr>
            <w:r>
              <w:rPr>
                <w:sz w:val="26"/>
                <w:szCs w:val="26"/>
                <w:lang w:eastAsia="ru-RU"/>
              </w:rPr>
              <w:t>895</w:t>
            </w:r>
          </w:p>
        </w:tc>
        <w:tc>
          <w:tcPr>
            <w:tcW w:w="1560" w:type="dxa"/>
            <w:tcBorders>
              <w:top w:val="nil"/>
              <w:left w:val="nil"/>
              <w:bottom w:val="single" w:sz="4" w:space="0" w:color="auto"/>
              <w:right w:val="single" w:sz="4" w:space="0" w:color="auto"/>
            </w:tcBorders>
            <w:vAlign w:val="center"/>
          </w:tcPr>
          <w:p w14:paraId="3B791AEA" w14:textId="77777777" w:rsidR="007F2711" w:rsidRPr="00E3250C" w:rsidRDefault="007F2711" w:rsidP="00482B2E">
            <w:pPr>
              <w:suppressAutoHyphens w:val="0"/>
              <w:ind w:firstLine="0"/>
              <w:jc w:val="center"/>
              <w:rPr>
                <w:sz w:val="26"/>
                <w:szCs w:val="26"/>
                <w:lang w:eastAsia="ru-RU"/>
              </w:rPr>
            </w:pPr>
            <w:r>
              <w:rPr>
                <w:sz w:val="26"/>
                <w:szCs w:val="26"/>
                <w:lang w:eastAsia="ru-RU"/>
              </w:rPr>
              <w:t>901</w:t>
            </w:r>
          </w:p>
        </w:tc>
        <w:tc>
          <w:tcPr>
            <w:tcW w:w="1559" w:type="dxa"/>
            <w:tcBorders>
              <w:top w:val="nil"/>
              <w:left w:val="nil"/>
              <w:bottom w:val="single" w:sz="4" w:space="0" w:color="auto"/>
              <w:right w:val="single" w:sz="4" w:space="0" w:color="auto"/>
            </w:tcBorders>
            <w:vAlign w:val="center"/>
          </w:tcPr>
          <w:p w14:paraId="300A47CB" w14:textId="380E43E8" w:rsidR="007F2711" w:rsidRPr="00E3250C" w:rsidRDefault="005611DD" w:rsidP="00482B2E">
            <w:pPr>
              <w:suppressAutoHyphens w:val="0"/>
              <w:ind w:firstLine="0"/>
              <w:jc w:val="center"/>
              <w:rPr>
                <w:sz w:val="26"/>
                <w:szCs w:val="26"/>
                <w:lang w:eastAsia="ru-RU"/>
              </w:rPr>
            </w:pPr>
            <w:r>
              <w:t>-</w:t>
            </w:r>
            <w:r w:rsidR="007F2711">
              <w:rPr>
                <w:rStyle w:val="affb"/>
              </w:rPr>
              <w:t>1</w:t>
            </w:r>
          </w:p>
        </w:tc>
      </w:tr>
      <w:tr w:rsidR="007F2711" w:rsidRPr="00E3250C" w14:paraId="6C5FBFC7" w14:textId="77777777" w:rsidTr="007F2711">
        <w:trPr>
          <w:trHeight w:val="255"/>
        </w:trPr>
        <w:tc>
          <w:tcPr>
            <w:tcW w:w="2850" w:type="dxa"/>
            <w:tcBorders>
              <w:top w:val="nil"/>
              <w:left w:val="single" w:sz="4" w:space="0" w:color="auto"/>
              <w:bottom w:val="single" w:sz="4" w:space="0" w:color="auto"/>
              <w:right w:val="single" w:sz="4" w:space="0" w:color="auto"/>
            </w:tcBorders>
            <w:shd w:val="clear" w:color="000000" w:fill="FFFFFF"/>
            <w:vAlign w:val="center"/>
          </w:tcPr>
          <w:p w14:paraId="73018ADC" w14:textId="77777777" w:rsidR="007F2711" w:rsidRPr="00E3250C" w:rsidRDefault="007F2711" w:rsidP="00482B2E">
            <w:pPr>
              <w:suppressAutoHyphens w:val="0"/>
              <w:ind w:firstLine="0"/>
              <w:rPr>
                <w:sz w:val="26"/>
                <w:szCs w:val="26"/>
                <w:lang w:eastAsia="ru-RU"/>
              </w:rPr>
            </w:pPr>
            <w:r>
              <w:rPr>
                <w:sz w:val="26"/>
                <w:szCs w:val="26"/>
                <w:lang w:eastAsia="ru-RU"/>
              </w:rPr>
              <w:t>Неналоговые доходы</w:t>
            </w:r>
          </w:p>
        </w:tc>
        <w:tc>
          <w:tcPr>
            <w:tcW w:w="1843" w:type="dxa"/>
            <w:tcBorders>
              <w:top w:val="nil"/>
              <w:left w:val="nil"/>
              <w:bottom w:val="single" w:sz="4" w:space="0" w:color="auto"/>
              <w:right w:val="single" w:sz="4" w:space="0" w:color="auto"/>
            </w:tcBorders>
            <w:vAlign w:val="center"/>
          </w:tcPr>
          <w:p w14:paraId="1D39042C" w14:textId="77777777" w:rsidR="007F2711" w:rsidRPr="00E3250C" w:rsidRDefault="007F2711" w:rsidP="00482B2E">
            <w:pPr>
              <w:suppressAutoHyphens w:val="0"/>
              <w:ind w:firstLine="0"/>
              <w:jc w:val="center"/>
              <w:rPr>
                <w:sz w:val="26"/>
                <w:szCs w:val="26"/>
                <w:lang w:eastAsia="ru-RU"/>
              </w:rPr>
            </w:pPr>
            <w:r w:rsidRPr="00E3250C">
              <w:rPr>
                <w:sz w:val="26"/>
                <w:szCs w:val="26"/>
                <w:lang w:eastAsia="ru-RU"/>
              </w:rPr>
              <w:t>млн. рублей</w:t>
            </w:r>
          </w:p>
        </w:tc>
        <w:tc>
          <w:tcPr>
            <w:tcW w:w="1559" w:type="dxa"/>
            <w:tcBorders>
              <w:top w:val="nil"/>
              <w:left w:val="nil"/>
              <w:bottom w:val="single" w:sz="4" w:space="0" w:color="auto"/>
              <w:right w:val="single" w:sz="4" w:space="0" w:color="auto"/>
            </w:tcBorders>
            <w:vAlign w:val="center"/>
          </w:tcPr>
          <w:p w14:paraId="2F61D557" w14:textId="77777777" w:rsidR="007F2711" w:rsidRDefault="007F2711" w:rsidP="00482B2E">
            <w:pPr>
              <w:suppressAutoHyphens w:val="0"/>
              <w:ind w:firstLine="0"/>
              <w:jc w:val="center"/>
              <w:rPr>
                <w:sz w:val="26"/>
                <w:szCs w:val="26"/>
                <w:lang w:eastAsia="ru-RU"/>
              </w:rPr>
            </w:pPr>
            <w:r>
              <w:rPr>
                <w:sz w:val="26"/>
                <w:szCs w:val="26"/>
                <w:lang w:eastAsia="ru-RU"/>
              </w:rPr>
              <w:t>х</w:t>
            </w:r>
            <w:r>
              <w:rPr>
                <w:rStyle w:val="affb"/>
              </w:rPr>
              <w:t>1</w:t>
            </w:r>
          </w:p>
        </w:tc>
        <w:tc>
          <w:tcPr>
            <w:tcW w:w="1560" w:type="dxa"/>
            <w:tcBorders>
              <w:top w:val="nil"/>
              <w:left w:val="nil"/>
              <w:bottom w:val="single" w:sz="4" w:space="0" w:color="auto"/>
              <w:right w:val="single" w:sz="4" w:space="0" w:color="auto"/>
            </w:tcBorders>
            <w:vAlign w:val="center"/>
          </w:tcPr>
          <w:p w14:paraId="57423DC6" w14:textId="77777777" w:rsidR="007F2711" w:rsidRDefault="007F2711" w:rsidP="00482B2E">
            <w:pPr>
              <w:suppressAutoHyphens w:val="0"/>
              <w:ind w:firstLine="0"/>
              <w:jc w:val="center"/>
              <w:rPr>
                <w:sz w:val="26"/>
                <w:szCs w:val="26"/>
                <w:lang w:eastAsia="ru-RU"/>
              </w:rPr>
            </w:pPr>
            <w:r>
              <w:rPr>
                <w:sz w:val="26"/>
                <w:szCs w:val="26"/>
                <w:lang w:eastAsia="ru-RU"/>
              </w:rPr>
              <w:t>х</w:t>
            </w:r>
            <w:r>
              <w:rPr>
                <w:rStyle w:val="affb"/>
              </w:rPr>
              <w:t>1</w:t>
            </w:r>
          </w:p>
        </w:tc>
        <w:tc>
          <w:tcPr>
            <w:tcW w:w="1559" w:type="dxa"/>
            <w:tcBorders>
              <w:top w:val="nil"/>
              <w:left w:val="nil"/>
              <w:bottom w:val="single" w:sz="4" w:space="0" w:color="auto"/>
              <w:right w:val="single" w:sz="4" w:space="0" w:color="auto"/>
            </w:tcBorders>
            <w:vAlign w:val="center"/>
          </w:tcPr>
          <w:p w14:paraId="2348C699" w14:textId="77777777" w:rsidR="007F2711" w:rsidRDefault="007F2711" w:rsidP="00482B2E">
            <w:pPr>
              <w:suppressAutoHyphens w:val="0"/>
              <w:ind w:firstLine="0"/>
              <w:jc w:val="center"/>
              <w:rPr>
                <w:sz w:val="26"/>
                <w:szCs w:val="26"/>
                <w:lang w:eastAsia="ru-RU"/>
              </w:rPr>
            </w:pPr>
            <w:r>
              <w:rPr>
                <w:sz w:val="26"/>
                <w:szCs w:val="26"/>
                <w:lang w:eastAsia="ru-RU"/>
              </w:rPr>
              <w:t>859</w:t>
            </w:r>
          </w:p>
        </w:tc>
      </w:tr>
      <w:tr w:rsidR="007F2711" w:rsidRPr="00E3250C" w14:paraId="134208E7" w14:textId="77777777" w:rsidTr="007F2711">
        <w:trPr>
          <w:trHeight w:val="570"/>
        </w:trPr>
        <w:tc>
          <w:tcPr>
            <w:tcW w:w="2850" w:type="dxa"/>
            <w:tcBorders>
              <w:top w:val="nil"/>
              <w:left w:val="single" w:sz="4" w:space="0" w:color="auto"/>
              <w:bottom w:val="single" w:sz="4" w:space="0" w:color="auto"/>
              <w:right w:val="single" w:sz="4" w:space="0" w:color="auto"/>
            </w:tcBorders>
            <w:shd w:val="clear" w:color="000000" w:fill="FFFFFF"/>
            <w:vAlign w:val="center"/>
          </w:tcPr>
          <w:p w14:paraId="304D2DEE" w14:textId="77777777" w:rsidR="007F2711" w:rsidRPr="00E3250C" w:rsidRDefault="007F2711" w:rsidP="00482B2E">
            <w:pPr>
              <w:suppressAutoHyphens w:val="0"/>
              <w:ind w:firstLine="0"/>
              <w:rPr>
                <w:sz w:val="26"/>
                <w:szCs w:val="26"/>
                <w:lang w:eastAsia="ru-RU"/>
              </w:rPr>
            </w:pPr>
            <w:r w:rsidRPr="00E3250C">
              <w:rPr>
                <w:sz w:val="26"/>
                <w:szCs w:val="26"/>
                <w:lang w:eastAsia="ru-RU"/>
              </w:rPr>
              <w:t>Страховые взносы во внебюджетные фонды</w:t>
            </w:r>
          </w:p>
        </w:tc>
        <w:tc>
          <w:tcPr>
            <w:tcW w:w="1843" w:type="dxa"/>
            <w:tcBorders>
              <w:top w:val="nil"/>
              <w:left w:val="nil"/>
              <w:bottom w:val="single" w:sz="4" w:space="0" w:color="auto"/>
              <w:right w:val="single" w:sz="4" w:space="0" w:color="auto"/>
            </w:tcBorders>
            <w:vAlign w:val="center"/>
          </w:tcPr>
          <w:p w14:paraId="1BE7C806" w14:textId="77777777" w:rsidR="007F2711" w:rsidRPr="00E3250C" w:rsidRDefault="007F2711" w:rsidP="00482B2E">
            <w:pPr>
              <w:suppressAutoHyphens w:val="0"/>
              <w:ind w:firstLine="0"/>
              <w:jc w:val="center"/>
              <w:rPr>
                <w:sz w:val="26"/>
                <w:szCs w:val="26"/>
                <w:lang w:eastAsia="ru-RU"/>
              </w:rPr>
            </w:pPr>
            <w:r w:rsidRPr="00E3250C">
              <w:rPr>
                <w:sz w:val="26"/>
                <w:szCs w:val="26"/>
                <w:lang w:eastAsia="ru-RU"/>
              </w:rPr>
              <w:t>млн. рублей</w:t>
            </w:r>
          </w:p>
        </w:tc>
        <w:tc>
          <w:tcPr>
            <w:tcW w:w="1559" w:type="dxa"/>
            <w:tcBorders>
              <w:top w:val="nil"/>
              <w:left w:val="nil"/>
              <w:bottom w:val="single" w:sz="4" w:space="0" w:color="auto"/>
              <w:right w:val="single" w:sz="4" w:space="0" w:color="auto"/>
            </w:tcBorders>
            <w:vAlign w:val="center"/>
          </w:tcPr>
          <w:p w14:paraId="25F14960" w14:textId="77777777" w:rsidR="007F2711" w:rsidRPr="00E3250C" w:rsidRDefault="007F2711" w:rsidP="00482B2E">
            <w:pPr>
              <w:suppressAutoHyphens w:val="0"/>
              <w:ind w:firstLine="0"/>
              <w:jc w:val="center"/>
              <w:rPr>
                <w:sz w:val="26"/>
                <w:szCs w:val="26"/>
                <w:lang w:eastAsia="ru-RU"/>
              </w:rPr>
            </w:pPr>
            <w:r>
              <w:rPr>
                <w:sz w:val="26"/>
                <w:szCs w:val="26"/>
                <w:lang w:eastAsia="ru-RU"/>
              </w:rPr>
              <w:t>25 590</w:t>
            </w:r>
          </w:p>
        </w:tc>
        <w:tc>
          <w:tcPr>
            <w:tcW w:w="1560" w:type="dxa"/>
            <w:tcBorders>
              <w:top w:val="nil"/>
              <w:left w:val="nil"/>
              <w:bottom w:val="single" w:sz="4" w:space="0" w:color="auto"/>
              <w:right w:val="single" w:sz="4" w:space="0" w:color="auto"/>
            </w:tcBorders>
            <w:vAlign w:val="center"/>
          </w:tcPr>
          <w:p w14:paraId="3498AE62" w14:textId="77777777" w:rsidR="007F2711" w:rsidRPr="00E3250C" w:rsidRDefault="007F2711" w:rsidP="00482B2E">
            <w:pPr>
              <w:suppressAutoHyphens w:val="0"/>
              <w:ind w:firstLine="0"/>
              <w:jc w:val="center"/>
              <w:rPr>
                <w:sz w:val="26"/>
                <w:szCs w:val="26"/>
                <w:lang w:eastAsia="ru-RU"/>
              </w:rPr>
            </w:pPr>
            <w:r>
              <w:rPr>
                <w:sz w:val="26"/>
                <w:szCs w:val="26"/>
                <w:lang w:eastAsia="ru-RU"/>
              </w:rPr>
              <w:t>25 837</w:t>
            </w:r>
          </w:p>
        </w:tc>
        <w:tc>
          <w:tcPr>
            <w:tcW w:w="1559" w:type="dxa"/>
            <w:tcBorders>
              <w:top w:val="nil"/>
              <w:left w:val="nil"/>
              <w:bottom w:val="single" w:sz="4" w:space="0" w:color="auto"/>
              <w:right w:val="single" w:sz="4" w:space="0" w:color="auto"/>
            </w:tcBorders>
            <w:vAlign w:val="center"/>
          </w:tcPr>
          <w:p w14:paraId="6066BC84" w14:textId="77777777" w:rsidR="007F2711" w:rsidRPr="00E3250C" w:rsidRDefault="007F2711" w:rsidP="00482B2E">
            <w:pPr>
              <w:suppressAutoHyphens w:val="0"/>
              <w:ind w:firstLine="0"/>
              <w:jc w:val="center"/>
              <w:rPr>
                <w:sz w:val="26"/>
                <w:szCs w:val="26"/>
                <w:lang w:eastAsia="ru-RU"/>
              </w:rPr>
            </w:pPr>
            <w:r>
              <w:rPr>
                <w:sz w:val="26"/>
                <w:szCs w:val="26"/>
                <w:lang w:eastAsia="ru-RU"/>
              </w:rPr>
              <w:t>34 428</w:t>
            </w:r>
          </w:p>
        </w:tc>
      </w:tr>
      <w:tr w:rsidR="007F2711" w:rsidRPr="00E3250C" w14:paraId="1F63AE50" w14:textId="77777777" w:rsidTr="007F2711">
        <w:trPr>
          <w:trHeight w:val="555"/>
        </w:trPr>
        <w:tc>
          <w:tcPr>
            <w:tcW w:w="2850" w:type="dxa"/>
            <w:tcBorders>
              <w:top w:val="nil"/>
              <w:left w:val="single" w:sz="4" w:space="0" w:color="auto"/>
              <w:bottom w:val="single" w:sz="4" w:space="0" w:color="auto"/>
              <w:right w:val="single" w:sz="4" w:space="0" w:color="auto"/>
            </w:tcBorders>
            <w:shd w:val="clear" w:color="000000" w:fill="FFFFFF"/>
            <w:vAlign w:val="center"/>
          </w:tcPr>
          <w:p w14:paraId="675C418F" w14:textId="77777777" w:rsidR="007F2711" w:rsidRPr="00E3250C" w:rsidRDefault="007F2711" w:rsidP="00482B2E">
            <w:pPr>
              <w:suppressAutoHyphens w:val="0"/>
              <w:ind w:firstLine="0"/>
              <w:rPr>
                <w:sz w:val="26"/>
                <w:szCs w:val="26"/>
                <w:lang w:eastAsia="ru-RU"/>
              </w:rPr>
            </w:pPr>
            <w:r w:rsidRPr="00E3250C">
              <w:rPr>
                <w:sz w:val="26"/>
                <w:szCs w:val="26"/>
                <w:lang w:eastAsia="ru-RU"/>
              </w:rPr>
              <w:t>Расходы за счет средств, остающихся в распоряжении организаций</w:t>
            </w:r>
          </w:p>
        </w:tc>
        <w:tc>
          <w:tcPr>
            <w:tcW w:w="1843" w:type="dxa"/>
            <w:tcBorders>
              <w:top w:val="nil"/>
              <w:left w:val="nil"/>
              <w:bottom w:val="single" w:sz="4" w:space="0" w:color="auto"/>
              <w:right w:val="single" w:sz="4" w:space="0" w:color="auto"/>
            </w:tcBorders>
            <w:vAlign w:val="center"/>
          </w:tcPr>
          <w:p w14:paraId="594BFB44" w14:textId="77777777" w:rsidR="007F2711" w:rsidRPr="00E3250C" w:rsidRDefault="007F2711" w:rsidP="00482B2E">
            <w:pPr>
              <w:suppressAutoHyphens w:val="0"/>
              <w:ind w:firstLine="0"/>
              <w:jc w:val="center"/>
              <w:rPr>
                <w:sz w:val="26"/>
                <w:szCs w:val="26"/>
                <w:lang w:eastAsia="ru-RU"/>
              </w:rPr>
            </w:pPr>
            <w:r w:rsidRPr="00E3250C">
              <w:rPr>
                <w:sz w:val="26"/>
                <w:szCs w:val="26"/>
                <w:lang w:eastAsia="ru-RU"/>
              </w:rPr>
              <w:t>млн. рублей</w:t>
            </w:r>
          </w:p>
        </w:tc>
        <w:tc>
          <w:tcPr>
            <w:tcW w:w="1559" w:type="dxa"/>
            <w:tcBorders>
              <w:top w:val="nil"/>
              <w:left w:val="nil"/>
              <w:bottom w:val="single" w:sz="4" w:space="0" w:color="auto"/>
              <w:right w:val="single" w:sz="4" w:space="0" w:color="auto"/>
            </w:tcBorders>
            <w:vAlign w:val="center"/>
          </w:tcPr>
          <w:p w14:paraId="52F34442" w14:textId="77777777" w:rsidR="007F2711" w:rsidRPr="00E3250C" w:rsidRDefault="007F2711" w:rsidP="00482B2E">
            <w:pPr>
              <w:suppressAutoHyphens w:val="0"/>
              <w:ind w:firstLine="0"/>
              <w:jc w:val="center"/>
              <w:rPr>
                <w:sz w:val="26"/>
                <w:szCs w:val="26"/>
                <w:lang w:eastAsia="ru-RU"/>
              </w:rPr>
            </w:pPr>
            <w:r>
              <w:rPr>
                <w:sz w:val="26"/>
                <w:szCs w:val="26"/>
                <w:lang w:eastAsia="ru-RU"/>
              </w:rPr>
              <w:t>38 224</w:t>
            </w:r>
          </w:p>
        </w:tc>
        <w:tc>
          <w:tcPr>
            <w:tcW w:w="1560" w:type="dxa"/>
            <w:tcBorders>
              <w:top w:val="nil"/>
              <w:left w:val="nil"/>
              <w:bottom w:val="single" w:sz="4" w:space="0" w:color="auto"/>
              <w:right w:val="single" w:sz="4" w:space="0" w:color="auto"/>
            </w:tcBorders>
            <w:vAlign w:val="center"/>
          </w:tcPr>
          <w:p w14:paraId="598E68AC" w14:textId="77777777" w:rsidR="007F2711" w:rsidRPr="00E3250C" w:rsidRDefault="007F2711" w:rsidP="00482B2E">
            <w:pPr>
              <w:suppressAutoHyphens w:val="0"/>
              <w:ind w:firstLine="0"/>
              <w:jc w:val="center"/>
              <w:rPr>
                <w:sz w:val="26"/>
                <w:szCs w:val="26"/>
                <w:lang w:eastAsia="ru-RU"/>
              </w:rPr>
            </w:pPr>
            <w:r>
              <w:rPr>
                <w:sz w:val="26"/>
                <w:szCs w:val="26"/>
                <w:lang w:eastAsia="ru-RU"/>
              </w:rPr>
              <w:t>40 612</w:t>
            </w:r>
          </w:p>
        </w:tc>
        <w:tc>
          <w:tcPr>
            <w:tcW w:w="1559" w:type="dxa"/>
            <w:tcBorders>
              <w:top w:val="nil"/>
              <w:left w:val="nil"/>
              <w:bottom w:val="single" w:sz="4" w:space="0" w:color="auto"/>
              <w:right w:val="single" w:sz="4" w:space="0" w:color="auto"/>
            </w:tcBorders>
            <w:vAlign w:val="center"/>
          </w:tcPr>
          <w:p w14:paraId="47528060" w14:textId="77777777" w:rsidR="007F2711" w:rsidRPr="00E3250C" w:rsidRDefault="007F2711" w:rsidP="00482B2E">
            <w:pPr>
              <w:suppressAutoHyphens w:val="0"/>
              <w:ind w:firstLine="0"/>
              <w:jc w:val="center"/>
              <w:rPr>
                <w:sz w:val="26"/>
                <w:szCs w:val="26"/>
                <w:lang w:eastAsia="ru-RU"/>
              </w:rPr>
            </w:pPr>
            <w:r>
              <w:rPr>
                <w:sz w:val="26"/>
                <w:szCs w:val="26"/>
                <w:lang w:eastAsia="ru-RU"/>
              </w:rPr>
              <w:t>110 184</w:t>
            </w:r>
          </w:p>
        </w:tc>
      </w:tr>
      <w:tr w:rsidR="007F2711" w:rsidRPr="00E3250C" w14:paraId="442178DA" w14:textId="77777777" w:rsidTr="007F2711">
        <w:trPr>
          <w:trHeight w:val="555"/>
        </w:trPr>
        <w:tc>
          <w:tcPr>
            <w:tcW w:w="2850" w:type="dxa"/>
            <w:tcBorders>
              <w:top w:val="nil"/>
              <w:left w:val="single" w:sz="4" w:space="0" w:color="auto"/>
              <w:bottom w:val="single" w:sz="4" w:space="0" w:color="auto"/>
              <w:right w:val="single" w:sz="4" w:space="0" w:color="auto"/>
            </w:tcBorders>
            <w:shd w:val="clear" w:color="000000" w:fill="FFFFFF"/>
            <w:vAlign w:val="center"/>
          </w:tcPr>
          <w:p w14:paraId="4E22ECE8" w14:textId="77777777" w:rsidR="007F2711" w:rsidRPr="00E3250C" w:rsidRDefault="007F2711" w:rsidP="00482B2E">
            <w:pPr>
              <w:suppressAutoHyphens w:val="0"/>
              <w:ind w:firstLine="0"/>
              <w:rPr>
                <w:sz w:val="26"/>
                <w:szCs w:val="26"/>
                <w:lang w:eastAsia="ru-RU"/>
              </w:rPr>
            </w:pPr>
            <w:r w:rsidRPr="00E3250C">
              <w:rPr>
                <w:sz w:val="26"/>
                <w:szCs w:val="26"/>
                <w:lang w:eastAsia="ru-RU"/>
              </w:rPr>
              <w:t>Расходы за счёт средств местного бюджета (без средств вышестоящих бюджетов)</w:t>
            </w:r>
          </w:p>
        </w:tc>
        <w:tc>
          <w:tcPr>
            <w:tcW w:w="1843" w:type="dxa"/>
            <w:tcBorders>
              <w:top w:val="nil"/>
              <w:left w:val="nil"/>
              <w:bottom w:val="single" w:sz="4" w:space="0" w:color="auto"/>
              <w:right w:val="single" w:sz="4" w:space="0" w:color="auto"/>
            </w:tcBorders>
            <w:vAlign w:val="center"/>
          </w:tcPr>
          <w:p w14:paraId="2CE762D0" w14:textId="77777777" w:rsidR="007F2711" w:rsidRPr="00E3250C" w:rsidRDefault="007F2711" w:rsidP="00482B2E">
            <w:pPr>
              <w:suppressAutoHyphens w:val="0"/>
              <w:ind w:firstLine="0"/>
              <w:jc w:val="center"/>
              <w:rPr>
                <w:sz w:val="26"/>
                <w:szCs w:val="26"/>
                <w:lang w:eastAsia="ru-RU"/>
              </w:rPr>
            </w:pPr>
            <w:r w:rsidRPr="00E3250C">
              <w:rPr>
                <w:sz w:val="26"/>
                <w:szCs w:val="26"/>
                <w:lang w:eastAsia="ru-RU"/>
              </w:rPr>
              <w:t>млн. рублей</w:t>
            </w:r>
          </w:p>
        </w:tc>
        <w:tc>
          <w:tcPr>
            <w:tcW w:w="1559" w:type="dxa"/>
            <w:tcBorders>
              <w:top w:val="nil"/>
              <w:left w:val="nil"/>
              <w:bottom w:val="single" w:sz="4" w:space="0" w:color="auto"/>
              <w:right w:val="single" w:sz="4" w:space="0" w:color="auto"/>
            </w:tcBorders>
            <w:vAlign w:val="center"/>
          </w:tcPr>
          <w:p w14:paraId="43C699EF" w14:textId="77777777" w:rsidR="007F2711" w:rsidRPr="00E3250C" w:rsidRDefault="007F2711" w:rsidP="00482B2E">
            <w:pPr>
              <w:suppressAutoHyphens w:val="0"/>
              <w:ind w:firstLine="0"/>
              <w:jc w:val="center"/>
              <w:rPr>
                <w:sz w:val="26"/>
                <w:szCs w:val="26"/>
                <w:lang w:eastAsia="ru-RU"/>
              </w:rPr>
            </w:pPr>
            <w:r>
              <w:rPr>
                <w:sz w:val="26"/>
                <w:szCs w:val="26"/>
                <w:lang w:eastAsia="ru-RU"/>
              </w:rPr>
              <w:t>7 890</w:t>
            </w:r>
          </w:p>
        </w:tc>
        <w:tc>
          <w:tcPr>
            <w:tcW w:w="1560" w:type="dxa"/>
            <w:tcBorders>
              <w:top w:val="nil"/>
              <w:left w:val="nil"/>
              <w:bottom w:val="single" w:sz="4" w:space="0" w:color="auto"/>
              <w:right w:val="single" w:sz="4" w:space="0" w:color="auto"/>
            </w:tcBorders>
            <w:vAlign w:val="center"/>
          </w:tcPr>
          <w:p w14:paraId="350C2D88" w14:textId="77777777" w:rsidR="007F2711" w:rsidRPr="00E3250C" w:rsidRDefault="007F2711" w:rsidP="00482B2E">
            <w:pPr>
              <w:suppressAutoHyphens w:val="0"/>
              <w:ind w:firstLine="0"/>
              <w:jc w:val="center"/>
              <w:rPr>
                <w:sz w:val="26"/>
                <w:szCs w:val="26"/>
                <w:lang w:eastAsia="ru-RU"/>
              </w:rPr>
            </w:pPr>
            <w:r>
              <w:rPr>
                <w:sz w:val="26"/>
                <w:szCs w:val="26"/>
                <w:lang w:eastAsia="ru-RU"/>
              </w:rPr>
              <w:t>7 940</w:t>
            </w:r>
          </w:p>
        </w:tc>
        <w:tc>
          <w:tcPr>
            <w:tcW w:w="1559" w:type="dxa"/>
            <w:tcBorders>
              <w:top w:val="nil"/>
              <w:left w:val="nil"/>
              <w:bottom w:val="single" w:sz="4" w:space="0" w:color="auto"/>
              <w:right w:val="single" w:sz="4" w:space="0" w:color="auto"/>
            </w:tcBorders>
            <w:vAlign w:val="center"/>
          </w:tcPr>
          <w:p w14:paraId="2F3B8DBA" w14:textId="1192F96F" w:rsidR="007F2711" w:rsidRPr="00E3250C" w:rsidRDefault="005611DD" w:rsidP="00482B2E">
            <w:pPr>
              <w:suppressAutoHyphens w:val="0"/>
              <w:ind w:firstLine="0"/>
              <w:jc w:val="center"/>
              <w:rPr>
                <w:sz w:val="26"/>
                <w:szCs w:val="26"/>
                <w:lang w:eastAsia="ru-RU"/>
              </w:rPr>
            </w:pPr>
            <w:r>
              <w:t>-</w:t>
            </w:r>
            <w:r w:rsidR="007F2711">
              <w:rPr>
                <w:rStyle w:val="affb"/>
              </w:rPr>
              <w:t>1</w:t>
            </w:r>
          </w:p>
        </w:tc>
      </w:tr>
      <w:tr w:rsidR="007F2711" w:rsidRPr="00E3250C" w14:paraId="0FACCDB8" w14:textId="77777777" w:rsidTr="007F2711">
        <w:trPr>
          <w:trHeight w:val="570"/>
        </w:trPr>
        <w:tc>
          <w:tcPr>
            <w:tcW w:w="2850" w:type="dxa"/>
            <w:tcBorders>
              <w:top w:val="single" w:sz="4" w:space="0" w:color="auto"/>
              <w:left w:val="single" w:sz="4" w:space="0" w:color="auto"/>
              <w:bottom w:val="single" w:sz="4" w:space="0" w:color="auto"/>
              <w:right w:val="single" w:sz="4" w:space="0" w:color="auto"/>
            </w:tcBorders>
            <w:shd w:val="clear" w:color="000000" w:fill="FFFFFF"/>
            <w:vAlign w:val="center"/>
          </w:tcPr>
          <w:p w14:paraId="53261730" w14:textId="77777777" w:rsidR="007F2711" w:rsidRPr="00E3250C" w:rsidRDefault="007F2711" w:rsidP="00482B2E">
            <w:pPr>
              <w:suppressAutoHyphens w:val="0"/>
              <w:ind w:firstLine="0"/>
              <w:rPr>
                <w:sz w:val="26"/>
                <w:szCs w:val="26"/>
                <w:lang w:eastAsia="ru-RU"/>
              </w:rPr>
            </w:pPr>
            <w:r w:rsidRPr="00E3250C">
              <w:rPr>
                <w:sz w:val="26"/>
                <w:szCs w:val="26"/>
                <w:lang w:eastAsia="ru-RU"/>
              </w:rPr>
              <w:t>Расходы внебюджетных фондов</w:t>
            </w:r>
          </w:p>
        </w:tc>
        <w:tc>
          <w:tcPr>
            <w:tcW w:w="1843" w:type="dxa"/>
            <w:tcBorders>
              <w:top w:val="single" w:sz="4" w:space="0" w:color="auto"/>
              <w:left w:val="nil"/>
              <w:bottom w:val="single" w:sz="4" w:space="0" w:color="auto"/>
              <w:right w:val="single" w:sz="4" w:space="0" w:color="auto"/>
            </w:tcBorders>
            <w:vAlign w:val="center"/>
          </w:tcPr>
          <w:p w14:paraId="77547E07" w14:textId="77777777" w:rsidR="007F2711" w:rsidRPr="00E3250C" w:rsidRDefault="007F2711" w:rsidP="00482B2E">
            <w:pPr>
              <w:suppressAutoHyphens w:val="0"/>
              <w:ind w:firstLine="0"/>
              <w:jc w:val="center"/>
              <w:rPr>
                <w:sz w:val="26"/>
                <w:szCs w:val="26"/>
                <w:lang w:eastAsia="ru-RU"/>
              </w:rPr>
            </w:pPr>
            <w:r w:rsidRPr="00E3250C">
              <w:rPr>
                <w:sz w:val="26"/>
                <w:szCs w:val="26"/>
                <w:lang w:eastAsia="ru-RU"/>
              </w:rPr>
              <w:t>млн. рублей</w:t>
            </w:r>
          </w:p>
        </w:tc>
        <w:tc>
          <w:tcPr>
            <w:tcW w:w="1559" w:type="dxa"/>
            <w:tcBorders>
              <w:top w:val="single" w:sz="4" w:space="0" w:color="auto"/>
              <w:left w:val="nil"/>
              <w:bottom w:val="single" w:sz="4" w:space="0" w:color="auto"/>
              <w:right w:val="single" w:sz="4" w:space="0" w:color="auto"/>
            </w:tcBorders>
            <w:vAlign w:val="center"/>
          </w:tcPr>
          <w:p w14:paraId="7F73BA77" w14:textId="77777777" w:rsidR="007F2711" w:rsidRPr="00E3250C" w:rsidRDefault="007F2711" w:rsidP="00482B2E">
            <w:pPr>
              <w:suppressAutoHyphens w:val="0"/>
              <w:ind w:firstLine="0"/>
              <w:jc w:val="center"/>
              <w:rPr>
                <w:sz w:val="26"/>
                <w:szCs w:val="26"/>
                <w:lang w:eastAsia="ru-RU"/>
              </w:rPr>
            </w:pPr>
            <w:r>
              <w:rPr>
                <w:sz w:val="26"/>
                <w:szCs w:val="26"/>
                <w:lang w:eastAsia="ru-RU"/>
              </w:rPr>
              <w:t>54 658</w:t>
            </w:r>
          </w:p>
        </w:tc>
        <w:tc>
          <w:tcPr>
            <w:tcW w:w="1560" w:type="dxa"/>
            <w:tcBorders>
              <w:top w:val="single" w:sz="4" w:space="0" w:color="auto"/>
              <w:left w:val="nil"/>
              <w:bottom w:val="single" w:sz="4" w:space="0" w:color="auto"/>
              <w:right w:val="single" w:sz="4" w:space="0" w:color="auto"/>
            </w:tcBorders>
            <w:vAlign w:val="center"/>
          </w:tcPr>
          <w:p w14:paraId="15C5650A" w14:textId="77777777" w:rsidR="007F2711" w:rsidRPr="00E3250C" w:rsidRDefault="007F2711" w:rsidP="00482B2E">
            <w:pPr>
              <w:suppressAutoHyphens w:val="0"/>
              <w:ind w:firstLine="0"/>
              <w:jc w:val="center"/>
              <w:rPr>
                <w:sz w:val="26"/>
                <w:szCs w:val="26"/>
                <w:lang w:eastAsia="ru-RU"/>
              </w:rPr>
            </w:pPr>
            <w:r>
              <w:rPr>
                <w:sz w:val="26"/>
                <w:szCs w:val="26"/>
                <w:lang w:eastAsia="ru-RU"/>
              </w:rPr>
              <w:t>55 186</w:t>
            </w:r>
          </w:p>
        </w:tc>
        <w:tc>
          <w:tcPr>
            <w:tcW w:w="1559" w:type="dxa"/>
            <w:tcBorders>
              <w:top w:val="single" w:sz="4" w:space="0" w:color="auto"/>
              <w:left w:val="nil"/>
              <w:bottom w:val="single" w:sz="4" w:space="0" w:color="auto"/>
              <w:right w:val="single" w:sz="4" w:space="0" w:color="auto"/>
            </w:tcBorders>
            <w:vAlign w:val="center"/>
          </w:tcPr>
          <w:p w14:paraId="50C1E335" w14:textId="77777777" w:rsidR="007F2711" w:rsidRPr="00E3250C" w:rsidRDefault="007F2711" w:rsidP="00482B2E">
            <w:pPr>
              <w:suppressAutoHyphens w:val="0"/>
              <w:ind w:firstLine="0"/>
              <w:jc w:val="center"/>
              <w:rPr>
                <w:sz w:val="26"/>
                <w:szCs w:val="26"/>
                <w:lang w:eastAsia="ru-RU"/>
              </w:rPr>
            </w:pPr>
            <w:r>
              <w:rPr>
                <w:sz w:val="26"/>
                <w:szCs w:val="26"/>
                <w:lang w:eastAsia="ru-RU"/>
              </w:rPr>
              <w:t>67 253</w:t>
            </w:r>
          </w:p>
        </w:tc>
      </w:tr>
    </w:tbl>
    <w:p w14:paraId="469D900D" w14:textId="4E77C388" w:rsidR="00482B2E" w:rsidRPr="00762A53" w:rsidRDefault="00482B2E" w:rsidP="00482B2E">
      <w:pPr>
        <w:pStyle w:val="af9"/>
        <w:spacing w:after="0"/>
        <w:rPr>
          <w:sz w:val="22"/>
          <w:szCs w:val="22"/>
          <w:lang w:bidi="en-US"/>
        </w:rPr>
      </w:pPr>
      <w:r w:rsidRPr="00762A53">
        <w:rPr>
          <w:sz w:val="22"/>
          <w:szCs w:val="22"/>
          <w:vertAlign w:val="superscript"/>
        </w:rPr>
        <w:t>1</w:t>
      </w:r>
      <w:r w:rsidRPr="00762A53">
        <w:rPr>
          <w:sz w:val="22"/>
          <w:szCs w:val="22"/>
        </w:rPr>
        <w:t xml:space="preserve"> – </w:t>
      </w:r>
      <w:r w:rsidR="005611DD" w:rsidRPr="00762A53">
        <w:rPr>
          <w:sz w:val="22"/>
          <w:szCs w:val="22"/>
        </w:rPr>
        <w:t xml:space="preserve">исключено </w:t>
      </w:r>
      <w:r w:rsidRPr="00762A53">
        <w:rPr>
          <w:sz w:val="22"/>
          <w:szCs w:val="22"/>
        </w:rPr>
        <w:t xml:space="preserve">в соответствии с постановлением администрации городского округа Тольятти от </w:t>
      </w:r>
      <w:r w:rsidR="005068F8" w:rsidRPr="00762A53">
        <w:rPr>
          <w:sz w:val="22"/>
          <w:szCs w:val="22"/>
        </w:rPr>
        <w:t>19.08.2021</w:t>
      </w:r>
      <w:r w:rsidRPr="00762A53">
        <w:rPr>
          <w:sz w:val="22"/>
          <w:szCs w:val="22"/>
        </w:rPr>
        <w:t xml:space="preserve"> № </w:t>
      </w:r>
      <w:r w:rsidR="005068F8" w:rsidRPr="00762A53">
        <w:rPr>
          <w:sz w:val="22"/>
          <w:szCs w:val="22"/>
        </w:rPr>
        <w:t>2847-п/1</w:t>
      </w:r>
      <w:r w:rsidRPr="00762A53">
        <w:rPr>
          <w:sz w:val="22"/>
          <w:szCs w:val="22"/>
        </w:rPr>
        <w:t xml:space="preserve"> «</w:t>
      </w:r>
      <w:r w:rsidRPr="00762A53">
        <w:rPr>
          <w:sz w:val="22"/>
          <w:szCs w:val="22"/>
          <w:lang w:bidi="en-US"/>
        </w:rPr>
        <w:t>О внесении изменений в постановление мэрии городского округа Тольятти от 24.08.2015 № 2742-п/1 «Об утверждении Порядка разработки прогноза социально-экономического развития городского округа Тольятти на очередной финансовый год и на плановый период»</w:t>
      </w:r>
      <w:r w:rsidR="005068F8" w:rsidRPr="00762A53">
        <w:rPr>
          <w:sz w:val="22"/>
          <w:szCs w:val="22"/>
          <w:lang w:bidi="en-US"/>
        </w:rPr>
        <w:t>.</w:t>
      </w:r>
    </w:p>
    <w:p w14:paraId="1E677CDF" w14:textId="083F1DD8" w:rsidR="00A50BA4" w:rsidRDefault="00A50BA4" w:rsidP="00974690">
      <w:pPr>
        <w:pStyle w:val="3"/>
        <w:suppressAutoHyphens w:val="0"/>
        <w:rPr>
          <w:sz w:val="28"/>
          <w:szCs w:val="28"/>
        </w:rPr>
      </w:pPr>
      <w:r w:rsidRPr="006D46A4">
        <w:rPr>
          <w:sz w:val="28"/>
          <w:szCs w:val="28"/>
        </w:rPr>
        <w:lastRenderedPageBreak/>
        <w:t>Демография и занятость населения</w:t>
      </w:r>
      <w:bookmarkStart w:id="4" w:name="демогр"/>
      <w:bookmarkEnd w:id="4"/>
    </w:p>
    <w:p w14:paraId="5E17E93E" w14:textId="77777777" w:rsidR="00C66193" w:rsidRDefault="00C66193" w:rsidP="00C66193">
      <w:pPr>
        <w:jc w:val="center"/>
        <w:rPr>
          <w:sz w:val="28"/>
          <w:szCs w:val="28"/>
          <w:lang w:eastAsia="en-US"/>
        </w:rPr>
      </w:pPr>
    </w:p>
    <w:p w14:paraId="032E2B8A" w14:textId="3B54CBE3" w:rsidR="00974690" w:rsidRDefault="00C66193" w:rsidP="003D6FC4">
      <w:pPr>
        <w:suppressAutoHyphens w:val="0"/>
        <w:autoSpaceDE w:val="0"/>
        <w:autoSpaceDN w:val="0"/>
        <w:adjustRightInd w:val="0"/>
        <w:spacing w:line="276" w:lineRule="auto"/>
        <w:ind w:firstLine="0"/>
        <w:jc w:val="center"/>
        <w:rPr>
          <w:rFonts w:eastAsiaTheme="minorEastAsia"/>
          <w:sz w:val="28"/>
          <w:szCs w:val="28"/>
          <w:lang w:eastAsia="ru-RU"/>
        </w:rPr>
      </w:pPr>
      <w:r w:rsidRPr="00851D53">
        <w:rPr>
          <w:rFonts w:eastAsiaTheme="minorEastAsia"/>
          <w:sz w:val="28"/>
          <w:szCs w:val="28"/>
          <w:lang w:eastAsia="ru-RU"/>
        </w:rPr>
        <w:t>Демография</w:t>
      </w:r>
    </w:p>
    <w:p w14:paraId="2A99ABC2" w14:textId="3A6BCCC4" w:rsidR="00220E21" w:rsidRPr="00220E21" w:rsidRDefault="00220E21" w:rsidP="00EA2EED">
      <w:pPr>
        <w:keepNext/>
        <w:widowControl w:val="0"/>
        <w:numPr>
          <w:ilvl w:val="0"/>
          <w:numId w:val="5"/>
        </w:numPr>
        <w:tabs>
          <w:tab w:val="left" w:pos="142"/>
          <w:tab w:val="left" w:pos="9720"/>
        </w:tabs>
        <w:suppressAutoHyphens w:val="0"/>
        <w:spacing w:line="276" w:lineRule="auto"/>
        <w:ind w:left="0" w:firstLine="709"/>
        <w:textAlignment w:val="top"/>
        <w:rPr>
          <w:sz w:val="28"/>
          <w:szCs w:val="28"/>
          <w:lang w:eastAsia="en-US"/>
        </w:rPr>
      </w:pPr>
      <w:r w:rsidRPr="00EA2EED">
        <w:rPr>
          <w:sz w:val="28"/>
          <w:szCs w:val="28"/>
          <w:lang w:eastAsia="en-US"/>
        </w:rPr>
        <w:t>Демографическая ситуация в городском округе Тольятти, как и в</w:t>
      </w:r>
      <w:r w:rsidRPr="00220E21">
        <w:rPr>
          <w:sz w:val="28"/>
          <w:szCs w:val="28"/>
          <w:lang w:eastAsia="en-US"/>
        </w:rPr>
        <w:t xml:space="preserve"> целом по </w:t>
      </w:r>
      <w:r w:rsidR="009278E9">
        <w:rPr>
          <w:sz w:val="28"/>
          <w:szCs w:val="28"/>
          <w:lang w:eastAsia="en-US"/>
        </w:rPr>
        <w:t>Самарской области</w:t>
      </w:r>
      <w:r w:rsidRPr="00220E21">
        <w:rPr>
          <w:sz w:val="28"/>
          <w:szCs w:val="28"/>
          <w:lang w:eastAsia="en-US"/>
        </w:rPr>
        <w:t>, остается достаточно сложной, и характеризуется следующим образом.</w:t>
      </w:r>
    </w:p>
    <w:p w14:paraId="10CE176A" w14:textId="0AD9CCE4" w:rsidR="00220E21" w:rsidRDefault="00220E21" w:rsidP="00EA2EED">
      <w:pPr>
        <w:keepNext/>
        <w:widowControl w:val="0"/>
        <w:numPr>
          <w:ilvl w:val="0"/>
          <w:numId w:val="5"/>
        </w:numPr>
        <w:tabs>
          <w:tab w:val="left" w:pos="142"/>
          <w:tab w:val="left" w:pos="9720"/>
        </w:tabs>
        <w:suppressAutoHyphens w:val="0"/>
        <w:spacing w:line="276" w:lineRule="auto"/>
        <w:ind w:left="0" w:firstLine="709"/>
        <w:textAlignment w:val="top"/>
        <w:rPr>
          <w:sz w:val="28"/>
          <w:szCs w:val="28"/>
          <w:lang w:eastAsia="en-US"/>
        </w:rPr>
      </w:pPr>
      <w:r w:rsidRPr="00EA2EED">
        <w:rPr>
          <w:sz w:val="28"/>
          <w:szCs w:val="28"/>
          <w:lang w:eastAsia="en-US"/>
        </w:rPr>
        <w:t xml:space="preserve">По данным </w:t>
      </w:r>
      <w:proofErr w:type="spellStart"/>
      <w:r w:rsidRPr="00220E21">
        <w:rPr>
          <w:sz w:val="28"/>
          <w:szCs w:val="28"/>
          <w:lang w:eastAsia="en-US"/>
        </w:rPr>
        <w:t>Самарастат</w:t>
      </w:r>
      <w:r w:rsidR="00EA2EED">
        <w:rPr>
          <w:sz w:val="28"/>
          <w:szCs w:val="28"/>
          <w:lang w:eastAsia="en-US"/>
        </w:rPr>
        <w:t>а</w:t>
      </w:r>
      <w:proofErr w:type="spellEnd"/>
      <w:r w:rsidRPr="00220E21">
        <w:rPr>
          <w:sz w:val="28"/>
          <w:szCs w:val="28"/>
          <w:lang w:eastAsia="en-US"/>
        </w:rPr>
        <w:t xml:space="preserve"> численность постоянного населения городского округа Тольятти ежегодно сокращается. На начало 202</w:t>
      </w:r>
      <w:r>
        <w:rPr>
          <w:sz w:val="28"/>
          <w:szCs w:val="28"/>
          <w:lang w:eastAsia="en-US"/>
        </w:rPr>
        <w:t>1</w:t>
      </w:r>
      <w:r w:rsidRPr="00220E21">
        <w:rPr>
          <w:sz w:val="28"/>
          <w:szCs w:val="28"/>
          <w:lang w:eastAsia="en-US"/>
        </w:rPr>
        <w:t xml:space="preserve"> года она составила </w:t>
      </w:r>
      <w:r>
        <w:rPr>
          <w:sz w:val="28"/>
          <w:szCs w:val="28"/>
          <w:lang w:eastAsia="en-US"/>
        </w:rPr>
        <w:t>693,072</w:t>
      </w:r>
      <w:r w:rsidRPr="00220E21">
        <w:rPr>
          <w:sz w:val="28"/>
          <w:szCs w:val="28"/>
          <w:lang w:eastAsia="en-US"/>
        </w:rPr>
        <w:t xml:space="preserve"> тыс. чел</w:t>
      </w:r>
      <w:r>
        <w:rPr>
          <w:sz w:val="28"/>
          <w:szCs w:val="28"/>
          <w:lang w:eastAsia="en-US"/>
        </w:rPr>
        <w:t>овек</w:t>
      </w:r>
      <w:r w:rsidRPr="00220E21">
        <w:rPr>
          <w:sz w:val="28"/>
          <w:szCs w:val="28"/>
          <w:lang w:eastAsia="en-US"/>
        </w:rPr>
        <w:t>, снизившись на 2</w:t>
      </w:r>
      <w:r>
        <w:rPr>
          <w:sz w:val="28"/>
          <w:szCs w:val="28"/>
          <w:lang w:eastAsia="en-US"/>
        </w:rPr>
        <w:t>6,</w:t>
      </w:r>
      <w:r w:rsidR="009A6400">
        <w:rPr>
          <w:sz w:val="28"/>
          <w:szCs w:val="28"/>
          <w:lang w:eastAsia="en-US"/>
        </w:rPr>
        <w:t>5</w:t>
      </w:r>
      <w:r w:rsidRPr="00220E21">
        <w:rPr>
          <w:sz w:val="28"/>
          <w:szCs w:val="28"/>
          <w:lang w:eastAsia="en-US"/>
        </w:rPr>
        <w:t xml:space="preserve"> тыс. чел</w:t>
      </w:r>
      <w:r>
        <w:rPr>
          <w:sz w:val="28"/>
          <w:szCs w:val="28"/>
          <w:lang w:eastAsia="en-US"/>
        </w:rPr>
        <w:t>овек</w:t>
      </w:r>
      <w:r w:rsidRPr="00220E21">
        <w:rPr>
          <w:sz w:val="28"/>
          <w:szCs w:val="28"/>
          <w:lang w:eastAsia="en-US"/>
        </w:rPr>
        <w:t xml:space="preserve"> к </w:t>
      </w:r>
      <w:r w:rsidR="009A6400">
        <w:rPr>
          <w:sz w:val="28"/>
          <w:szCs w:val="28"/>
          <w:lang w:eastAsia="en-US"/>
        </w:rPr>
        <w:t>2010</w:t>
      </w:r>
      <w:r w:rsidRPr="00220E21">
        <w:rPr>
          <w:sz w:val="28"/>
          <w:szCs w:val="28"/>
          <w:lang w:eastAsia="en-US"/>
        </w:rPr>
        <w:t xml:space="preserve"> году</w:t>
      </w:r>
      <w:r>
        <w:rPr>
          <w:sz w:val="28"/>
          <w:szCs w:val="28"/>
          <w:lang w:eastAsia="en-US"/>
        </w:rPr>
        <w:t>.</w:t>
      </w:r>
      <w:r w:rsidR="00ED70CB">
        <w:rPr>
          <w:sz w:val="28"/>
          <w:szCs w:val="28"/>
          <w:lang w:eastAsia="en-US"/>
        </w:rPr>
        <w:t xml:space="preserve"> Доля мужчин в общей численности населения </w:t>
      </w:r>
      <w:r w:rsidR="00ED70CB" w:rsidRPr="00594DE1">
        <w:rPr>
          <w:sz w:val="28"/>
          <w:szCs w:val="28"/>
          <w:lang w:eastAsia="en-US"/>
        </w:rPr>
        <w:t xml:space="preserve">составляет </w:t>
      </w:r>
      <w:r w:rsidR="007F6B03" w:rsidRPr="00594DE1">
        <w:rPr>
          <w:sz w:val="28"/>
          <w:szCs w:val="28"/>
          <w:lang w:eastAsia="en-US"/>
        </w:rPr>
        <w:t xml:space="preserve">- </w:t>
      </w:r>
      <w:r w:rsidR="00ED70CB" w:rsidRPr="00594DE1">
        <w:rPr>
          <w:sz w:val="28"/>
          <w:szCs w:val="28"/>
          <w:lang w:eastAsia="en-US"/>
        </w:rPr>
        <w:t>45,</w:t>
      </w:r>
      <w:r w:rsidR="00594DE1" w:rsidRPr="00594DE1">
        <w:rPr>
          <w:sz w:val="28"/>
          <w:szCs w:val="28"/>
          <w:lang w:eastAsia="en-US"/>
        </w:rPr>
        <w:t>8</w:t>
      </w:r>
      <w:r w:rsidR="00ED70CB" w:rsidRPr="00594DE1">
        <w:rPr>
          <w:sz w:val="28"/>
          <w:szCs w:val="28"/>
          <w:lang w:eastAsia="en-US"/>
        </w:rPr>
        <w:t>%, женщин – 54,</w:t>
      </w:r>
      <w:r w:rsidR="00594DE1" w:rsidRPr="00594DE1">
        <w:rPr>
          <w:sz w:val="28"/>
          <w:szCs w:val="28"/>
          <w:lang w:eastAsia="en-US"/>
        </w:rPr>
        <w:t>2</w:t>
      </w:r>
      <w:r w:rsidR="00ED70CB" w:rsidRPr="00594DE1">
        <w:rPr>
          <w:sz w:val="28"/>
          <w:szCs w:val="28"/>
          <w:lang w:eastAsia="en-US"/>
        </w:rPr>
        <w:t>%.</w:t>
      </w:r>
    </w:p>
    <w:p w14:paraId="5FDF919B" w14:textId="6239110A" w:rsidR="00A340C4" w:rsidRPr="00EA2EED" w:rsidRDefault="00220E21" w:rsidP="00EA2EED">
      <w:pPr>
        <w:keepNext/>
        <w:widowControl w:val="0"/>
        <w:numPr>
          <w:ilvl w:val="0"/>
          <w:numId w:val="5"/>
        </w:numPr>
        <w:tabs>
          <w:tab w:val="left" w:pos="142"/>
          <w:tab w:val="left" w:pos="9720"/>
        </w:tabs>
        <w:suppressAutoHyphens w:val="0"/>
        <w:spacing w:line="276" w:lineRule="auto"/>
        <w:ind w:left="0" w:firstLine="709"/>
        <w:textAlignment w:val="top"/>
        <w:rPr>
          <w:sz w:val="28"/>
          <w:szCs w:val="28"/>
          <w:lang w:eastAsia="en-US"/>
        </w:rPr>
      </w:pPr>
      <w:r w:rsidRPr="00EA2EED">
        <w:rPr>
          <w:sz w:val="28"/>
          <w:szCs w:val="28"/>
          <w:lang w:eastAsia="en-US"/>
        </w:rPr>
        <w:t xml:space="preserve">Начиная с 2017 года в городе наблюдается естественная </w:t>
      </w:r>
      <w:r w:rsidR="008F0EA2">
        <w:rPr>
          <w:sz w:val="28"/>
          <w:szCs w:val="28"/>
          <w:lang w:eastAsia="en-US"/>
        </w:rPr>
        <w:t>убыль населения: в 2020 году – 4844</w:t>
      </w:r>
      <w:r w:rsidRPr="00EA2EED">
        <w:rPr>
          <w:sz w:val="28"/>
          <w:szCs w:val="28"/>
          <w:lang w:eastAsia="en-US"/>
        </w:rPr>
        <w:t xml:space="preserve"> человек, в 20</w:t>
      </w:r>
      <w:r w:rsidR="008F0EA2">
        <w:rPr>
          <w:sz w:val="28"/>
          <w:szCs w:val="28"/>
          <w:lang w:eastAsia="en-US"/>
        </w:rPr>
        <w:t xml:space="preserve">19 году – </w:t>
      </w:r>
      <w:r w:rsidRPr="00EA2EED">
        <w:rPr>
          <w:sz w:val="28"/>
          <w:szCs w:val="28"/>
          <w:lang w:eastAsia="en-US"/>
        </w:rPr>
        <w:t>1842</w:t>
      </w:r>
      <w:r w:rsidR="008F0EA2">
        <w:rPr>
          <w:sz w:val="28"/>
          <w:szCs w:val="28"/>
          <w:lang w:eastAsia="en-US"/>
        </w:rPr>
        <w:t xml:space="preserve"> человек, в 2018 году – </w:t>
      </w:r>
      <w:r w:rsidRPr="00EA2EED">
        <w:rPr>
          <w:sz w:val="28"/>
          <w:szCs w:val="28"/>
          <w:lang w:eastAsia="en-US"/>
        </w:rPr>
        <w:t>1504 человек</w:t>
      </w:r>
      <w:r w:rsidR="00EA2EED" w:rsidRPr="00EA2EED">
        <w:rPr>
          <w:sz w:val="28"/>
          <w:szCs w:val="28"/>
          <w:lang w:eastAsia="en-US"/>
        </w:rPr>
        <w:t xml:space="preserve">, </w:t>
      </w:r>
      <w:r w:rsidR="008F0EA2">
        <w:rPr>
          <w:sz w:val="28"/>
          <w:szCs w:val="28"/>
          <w:lang w:eastAsia="en-US"/>
        </w:rPr>
        <w:t xml:space="preserve">в 2017 году – </w:t>
      </w:r>
      <w:r w:rsidRPr="00EA2EED">
        <w:rPr>
          <w:sz w:val="28"/>
          <w:szCs w:val="28"/>
          <w:lang w:eastAsia="en-US"/>
        </w:rPr>
        <w:t>714 человек.</w:t>
      </w:r>
    </w:p>
    <w:p w14:paraId="54CD214D" w14:textId="4F90D945" w:rsidR="009A4B8B" w:rsidRPr="00A340C4" w:rsidRDefault="009A4B8B" w:rsidP="009278E9">
      <w:pPr>
        <w:pStyle w:val="aff0"/>
        <w:keepNext/>
        <w:numPr>
          <w:ilvl w:val="0"/>
          <w:numId w:val="5"/>
        </w:numPr>
        <w:tabs>
          <w:tab w:val="num" w:pos="-141"/>
          <w:tab w:val="left" w:pos="142"/>
          <w:tab w:val="left" w:pos="9720"/>
        </w:tabs>
        <w:suppressAutoHyphens w:val="0"/>
        <w:spacing w:line="276" w:lineRule="auto"/>
        <w:ind w:left="0" w:firstLine="709"/>
        <w:textAlignment w:val="top"/>
        <w:rPr>
          <w:szCs w:val="28"/>
          <w:lang w:eastAsia="en-US"/>
        </w:rPr>
      </w:pPr>
      <w:r w:rsidRPr="00A340C4">
        <w:rPr>
          <w:szCs w:val="28"/>
          <w:lang w:eastAsia="en-US"/>
        </w:rPr>
        <w:t xml:space="preserve">Естественная убыль населения </w:t>
      </w:r>
      <w:r w:rsidR="007F6B03">
        <w:rPr>
          <w:szCs w:val="28"/>
          <w:lang w:eastAsia="en-US"/>
        </w:rPr>
        <w:t xml:space="preserve">городского округа Тольятти </w:t>
      </w:r>
      <w:r w:rsidRPr="00A340C4">
        <w:rPr>
          <w:szCs w:val="28"/>
          <w:lang w:eastAsia="en-US"/>
        </w:rPr>
        <w:t>формируется в результате роста смертности и снижения рождаемости. Так, в 2020 году родилось 5,55 тыс. человек, а умерло 10,4 тыс. человек.  Для сравнения, в 2015 году аналогичные показатели были на уровне 9,49 человек и 8,34 человек соответственно.</w:t>
      </w:r>
    </w:p>
    <w:p w14:paraId="2A98EC68" w14:textId="1DBCC7C9" w:rsidR="0057664A" w:rsidRDefault="009A4B8B" w:rsidP="009278E9">
      <w:pPr>
        <w:keepNext/>
        <w:widowControl w:val="0"/>
        <w:numPr>
          <w:ilvl w:val="0"/>
          <w:numId w:val="5"/>
        </w:numPr>
        <w:tabs>
          <w:tab w:val="left" w:pos="142"/>
          <w:tab w:val="left" w:pos="9720"/>
        </w:tabs>
        <w:suppressAutoHyphens w:val="0"/>
        <w:spacing w:line="276" w:lineRule="auto"/>
        <w:ind w:left="0" w:firstLine="709"/>
        <w:textAlignment w:val="top"/>
        <w:rPr>
          <w:sz w:val="28"/>
          <w:szCs w:val="28"/>
          <w:lang w:eastAsia="en-US"/>
        </w:rPr>
      </w:pPr>
      <w:r w:rsidRPr="0057664A">
        <w:rPr>
          <w:sz w:val="28"/>
          <w:szCs w:val="28"/>
          <w:lang w:eastAsia="en-US"/>
        </w:rPr>
        <w:t xml:space="preserve">Ухудшение показателей рождаемости объясняется, прежде всего, тем, что в настоящее время в активном репродуктивном возрасте находится малочисленное поколение, рожденное в 90-е и в начале двухтысячных годов. Кроме этого, данная категория населения является наиболее мобильной и склонна к миграции. </w:t>
      </w:r>
    </w:p>
    <w:p w14:paraId="27556C24" w14:textId="36607CBB" w:rsidR="000B6339" w:rsidRDefault="0057664A" w:rsidP="009278E9">
      <w:pPr>
        <w:keepNext/>
        <w:widowControl w:val="0"/>
        <w:numPr>
          <w:ilvl w:val="0"/>
          <w:numId w:val="5"/>
        </w:numPr>
        <w:tabs>
          <w:tab w:val="left" w:pos="142"/>
          <w:tab w:val="left" w:pos="9720"/>
        </w:tabs>
        <w:suppressAutoHyphens w:val="0"/>
        <w:spacing w:line="276" w:lineRule="auto"/>
        <w:ind w:left="0" w:firstLine="709"/>
        <w:textAlignment w:val="top"/>
        <w:rPr>
          <w:sz w:val="28"/>
          <w:szCs w:val="28"/>
          <w:lang w:eastAsia="en-US"/>
        </w:rPr>
      </w:pPr>
      <w:r>
        <w:rPr>
          <w:sz w:val="28"/>
          <w:szCs w:val="28"/>
          <w:lang w:eastAsia="en-US"/>
        </w:rPr>
        <w:t xml:space="preserve">Рост смертности </w:t>
      </w:r>
      <w:r w:rsidR="009A6400">
        <w:rPr>
          <w:sz w:val="28"/>
          <w:szCs w:val="28"/>
          <w:lang w:eastAsia="en-US"/>
        </w:rPr>
        <w:t xml:space="preserve">в городском округе Тольятти </w:t>
      </w:r>
      <w:r>
        <w:rPr>
          <w:sz w:val="28"/>
          <w:szCs w:val="28"/>
          <w:lang w:eastAsia="en-US"/>
        </w:rPr>
        <w:t xml:space="preserve">вызван, прежде всего так называемым, «старением» населения. </w:t>
      </w:r>
    </w:p>
    <w:p w14:paraId="1244A7ED" w14:textId="148A0BAD" w:rsidR="00F835C9" w:rsidRDefault="000B6339" w:rsidP="00F835C9">
      <w:pPr>
        <w:keepNext/>
        <w:widowControl w:val="0"/>
        <w:numPr>
          <w:ilvl w:val="0"/>
          <w:numId w:val="5"/>
        </w:numPr>
        <w:tabs>
          <w:tab w:val="left" w:pos="142"/>
          <w:tab w:val="left" w:pos="9720"/>
        </w:tabs>
        <w:suppressAutoHyphens w:val="0"/>
        <w:spacing w:line="276" w:lineRule="auto"/>
        <w:ind w:left="0" w:firstLine="709"/>
        <w:textAlignment w:val="top"/>
        <w:rPr>
          <w:sz w:val="28"/>
          <w:szCs w:val="28"/>
          <w:lang w:eastAsia="en-US"/>
        </w:rPr>
      </w:pPr>
      <w:r>
        <w:rPr>
          <w:sz w:val="28"/>
          <w:szCs w:val="28"/>
          <w:lang w:eastAsia="en-US"/>
        </w:rPr>
        <w:t xml:space="preserve">Так, </w:t>
      </w:r>
      <w:r w:rsidR="00851D53">
        <w:rPr>
          <w:sz w:val="28"/>
          <w:szCs w:val="28"/>
          <w:lang w:eastAsia="en-US"/>
        </w:rPr>
        <w:t>з</w:t>
      </w:r>
      <w:r w:rsidRPr="000B6339">
        <w:rPr>
          <w:sz w:val="28"/>
          <w:szCs w:val="28"/>
          <w:lang w:eastAsia="en-US"/>
        </w:rPr>
        <w:t xml:space="preserve">а последние 10 лет численность населения старше трудоспособного возраста выросла на </w:t>
      </w:r>
      <w:r w:rsidR="00851D53">
        <w:rPr>
          <w:sz w:val="28"/>
          <w:szCs w:val="28"/>
          <w:lang w:eastAsia="en-US"/>
        </w:rPr>
        <w:t>2</w:t>
      </w:r>
      <w:r w:rsidR="007D2D3A">
        <w:rPr>
          <w:sz w:val="28"/>
          <w:szCs w:val="28"/>
          <w:lang w:eastAsia="en-US"/>
        </w:rPr>
        <w:t>2,4</w:t>
      </w:r>
      <w:r w:rsidRPr="000B6339">
        <w:rPr>
          <w:sz w:val="28"/>
          <w:szCs w:val="28"/>
          <w:lang w:eastAsia="en-US"/>
        </w:rPr>
        <w:t xml:space="preserve"> тыс. человек</w:t>
      </w:r>
      <w:r w:rsidR="00851D53">
        <w:rPr>
          <w:sz w:val="28"/>
          <w:szCs w:val="28"/>
          <w:lang w:eastAsia="en-US"/>
        </w:rPr>
        <w:t xml:space="preserve">, </w:t>
      </w:r>
      <w:r w:rsidR="009A6400" w:rsidRPr="000B6339">
        <w:rPr>
          <w:sz w:val="28"/>
          <w:szCs w:val="28"/>
          <w:lang w:eastAsia="en-US"/>
        </w:rPr>
        <w:t>средн</w:t>
      </w:r>
      <w:r w:rsidR="009A6400">
        <w:rPr>
          <w:sz w:val="28"/>
          <w:szCs w:val="28"/>
          <w:lang w:eastAsia="en-US"/>
        </w:rPr>
        <w:t>ий</w:t>
      </w:r>
      <w:r w:rsidR="009A6400" w:rsidRPr="000B6339">
        <w:rPr>
          <w:sz w:val="28"/>
          <w:szCs w:val="28"/>
          <w:lang w:eastAsia="en-US"/>
        </w:rPr>
        <w:t xml:space="preserve"> возраст жителей город</w:t>
      </w:r>
      <w:r w:rsidR="009A6400">
        <w:rPr>
          <w:sz w:val="28"/>
          <w:szCs w:val="28"/>
          <w:lang w:eastAsia="en-US"/>
        </w:rPr>
        <w:t>ского округа Тольятти</w:t>
      </w:r>
      <w:r w:rsidR="009A6400" w:rsidRPr="000B6339">
        <w:rPr>
          <w:sz w:val="28"/>
          <w:szCs w:val="28"/>
          <w:lang w:eastAsia="en-US"/>
        </w:rPr>
        <w:t xml:space="preserve"> </w:t>
      </w:r>
      <w:r w:rsidR="009A6400">
        <w:rPr>
          <w:sz w:val="28"/>
          <w:szCs w:val="28"/>
          <w:lang w:eastAsia="en-US"/>
        </w:rPr>
        <w:t>увеличился</w:t>
      </w:r>
      <w:r w:rsidR="009A6400" w:rsidRPr="000B6339">
        <w:rPr>
          <w:sz w:val="28"/>
          <w:szCs w:val="28"/>
          <w:lang w:eastAsia="en-US"/>
        </w:rPr>
        <w:t xml:space="preserve"> до </w:t>
      </w:r>
      <w:r w:rsidR="009A6400" w:rsidRPr="005B4105">
        <w:rPr>
          <w:sz w:val="28"/>
          <w:szCs w:val="28"/>
          <w:lang w:eastAsia="en-US"/>
        </w:rPr>
        <w:t>40,9</w:t>
      </w:r>
      <w:r w:rsidR="009A6400" w:rsidRPr="000B6339">
        <w:rPr>
          <w:sz w:val="28"/>
          <w:szCs w:val="28"/>
          <w:lang w:eastAsia="en-US"/>
        </w:rPr>
        <w:t xml:space="preserve"> лет </w:t>
      </w:r>
      <w:r w:rsidR="009A6400">
        <w:rPr>
          <w:sz w:val="28"/>
          <w:szCs w:val="28"/>
          <w:lang w:eastAsia="en-US"/>
        </w:rPr>
        <w:t>в</w:t>
      </w:r>
      <w:r w:rsidR="009A6400" w:rsidRPr="000B6339">
        <w:rPr>
          <w:sz w:val="28"/>
          <w:szCs w:val="28"/>
          <w:lang w:eastAsia="en-US"/>
        </w:rPr>
        <w:t xml:space="preserve"> 202</w:t>
      </w:r>
      <w:r w:rsidR="009A6400">
        <w:rPr>
          <w:sz w:val="28"/>
          <w:szCs w:val="28"/>
          <w:lang w:eastAsia="en-US"/>
        </w:rPr>
        <w:t>0</w:t>
      </w:r>
      <w:r w:rsidR="005B579E">
        <w:rPr>
          <w:sz w:val="28"/>
          <w:szCs w:val="28"/>
          <w:lang w:eastAsia="en-US"/>
        </w:rPr>
        <w:t xml:space="preserve"> </w:t>
      </w:r>
      <w:r w:rsidR="009A6400">
        <w:rPr>
          <w:sz w:val="28"/>
          <w:szCs w:val="28"/>
          <w:lang w:eastAsia="en-US"/>
        </w:rPr>
        <w:t>году</w:t>
      </w:r>
      <w:r w:rsidR="009A6400" w:rsidRPr="000B6339">
        <w:rPr>
          <w:sz w:val="28"/>
          <w:szCs w:val="28"/>
          <w:lang w:eastAsia="en-US"/>
        </w:rPr>
        <w:t xml:space="preserve"> (в 2010 году </w:t>
      </w:r>
      <w:r w:rsidR="005B579E">
        <w:rPr>
          <w:sz w:val="28"/>
          <w:szCs w:val="28"/>
          <w:lang w:eastAsia="en-US"/>
        </w:rPr>
        <w:t>составлял</w:t>
      </w:r>
      <w:r w:rsidR="009A6400" w:rsidRPr="000B6339">
        <w:rPr>
          <w:sz w:val="28"/>
          <w:szCs w:val="28"/>
          <w:lang w:eastAsia="en-US"/>
        </w:rPr>
        <w:t xml:space="preserve"> 38,4 года)</w:t>
      </w:r>
      <w:r w:rsidR="005B4105">
        <w:rPr>
          <w:sz w:val="28"/>
          <w:szCs w:val="28"/>
          <w:lang w:eastAsia="en-US"/>
        </w:rPr>
        <w:t xml:space="preserve">, </w:t>
      </w:r>
      <w:r w:rsidR="009A6400">
        <w:rPr>
          <w:sz w:val="28"/>
          <w:szCs w:val="28"/>
          <w:lang w:eastAsia="en-US"/>
        </w:rPr>
        <w:t xml:space="preserve">при этом </w:t>
      </w:r>
      <w:r w:rsidR="005B4105">
        <w:rPr>
          <w:sz w:val="28"/>
          <w:szCs w:val="28"/>
          <w:lang w:eastAsia="en-US"/>
        </w:rPr>
        <w:t xml:space="preserve">средний возраст жителей Самарской области </w:t>
      </w:r>
      <w:r w:rsidR="009A6400">
        <w:rPr>
          <w:sz w:val="28"/>
          <w:szCs w:val="28"/>
          <w:lang w:eastAsia="en-US"/>
        </w:rPr>
        <w:t>выше</w:t>
      </w:r>
      <w:r w:rsidR="005B579E">
        <w:rPr>
          <w:sz w:val="28"/>
          <w:szCs w:val="28"/>
          <w:lang w:eastAsia="en-US"/>
        </w:rPr>
        <w:t xml:space="preserve"> и составляет </w:t>
      </w:r>
      <w:r w:rsidR="005B4105">
        <w:rPr>
          <w:sz w:val="28"/>
          <w:szCs w:val="28"/>
          <w:lang w:eastAsia="en-US"/>
        </w:rPr>
        <w:t xml:space="preserve">41,3 </w:t>
      </w:r>
      <w:r w:rsidR="005B579E">
        <w:rPr>
          <w:sz w:val="28"/>
          <w:szCs w:val="28"/>
          <w:lang w:eastAsia="en-US"/>
        </w:rPr>
        <w:t>года</w:t>
      </w:r>
      <w:r w:rsidR="005B4105">
        <w:rPr>
          <w:sz w:val="28"/>
          <w:szCs w:val="28"/>
          <w:lang w:eastAsia="en-US"/>
        </w:rPr>
        <w:t xml:space="preserve">, </w:t>
      </w:r>
      <w:r w:rsidR="005B579E">
        <w:rPr>
          <w:sz w:val="28"/>
          <w:szCs w:val="28"/>
          <w:lang w:eastAsia="en-US"/>
        </w:rPr>
        <w:t xml:space="preserve">а </w:t>
      </w:r>
      <w:r w:rsidR="005B4105">
        <w:rPr>
          <w:sz w:val="28"/>
          <w:szCs w:val="28"/>
          <w:lang w:eastAsia="en-US"/>
        </w:rPr>
        <w:t xml:space="preserve">по Российской Федерации </w:t>
      </w:r>
      <w:r w:rsidR="005B579E">
        <w:rPr>
          <w:sz w:val="28"/>
          <w:szCs w:val="28"/>
          <w:lang w:eastAsia="en-US"/>
        </w:rPr>
        <w:t xml:space="preserve">ниже - </w:t>
      </w:r>
      <w:r w:rsidR="005B4105">
        <w:rPr>
          <w:sz w:val="28"/>
          <w:szCs w:val="28"/>
          <w:lang w:eastAsia="en-US"/>
        </w:rPr>
        <w:t xml:space="preserve"> 40,4 </w:t>
      </w:r>
      <w:r w:rsidR="005B579E">
        <w:rPr>
          <w:sz w:val="28"/>
          <w:szCs w:val="28"/>
          <w:lang w:eastAsia="en-US"/>
        </w:rPr>
        <w:t>года</w:t>
      </w:r>
      <w:r w:rsidR="005B4105">
        <w:rPr>
          <w:sz w:val="28"/>
          <w:szCs w:val="28"/>
          <w:lang w:eastAsia="en-US"/>
        </w:rPr>
        <w:t>.</w:t>
      </w:r>
      <w:r w:rsidR="00F835C9" w:rsidRPr="00F835C9">
        <w:rPr>
          <w:sz w:val="28"/>
          <w:szCs w:val="28"/>
          <w:lang w:eastAsia="en-US"/>
        </w:rPr>
        <w:t xml:space="preserve"> </w:t>
      </w:r>
      <w:r w:rsidR="00F835C9">
        <w:rPr>
          <w:sz w:val="28"/>
          <w:szCs w:val="28"/>
          <w:lang w:eastAsia="en-US"/>
        </w:rPr>
        <w:t xml:space="preserve">Средний возраст матери при рождении ребенка также растет и на начало 2021 года составил </w:t>
      </w:r>
      <w:r w:rsidR="00F835C9" w:rsidRPr="009A6400">
        <w:rPr>
          <w:sz w:val="28"/>
          <w:szCs w:val="28"/>
          <w:lang w:eastAsia="en-US"/>
        </w:rPr>
        <w:t xml:space="preserve">30,22 </w:t>
      </w:r>
      <w:r w:rsidR="00F835C9">
        <w:rPr>
          <w:sz w:val="28"/>
          <w:szCs w:val="28"/>
          <w:lang w:eastAsia="en-US"/>
        </w:rPr>
        <w:t xml:space="preserve">года </w:t>
      </w:r>
      <w:r w:rsidR="00F835C9" w:rsidRPr="009A6400">
        <w:rPr>
          <w:sz w:val="28"/>
          <w:szCs w:val="28"/>
          <w:lang w:eastAsia="en-US"/>
        </w:rPr>
        <w:t>(</w:t>
      </w:r>
      <w:r w:rsidR="00F835C9">
        <w:rPr>
          <w:sz w:val="28"/>
          <w:szCs w:val="28"/>
          <w:lang w:eastAsia="en-US"/>
        </w:rPr>
        <w:t>по Самарской области - 28,89 лет).</w:t>
      </w:r>
    </w:p>
    <w:p w14:paraId="37BCCA51" w14:textId="2A3627C3" w:rsidR="000B6339" w:rsidRPr="000B6339" w:rsidRDefault="000B6339" w:rsidP="000B6339">
      <w:pPr>
        <w:keepNext/>
        <w:widowControl w:val="0"/>
        <w:numPr>
          <w:ilvl w:val="0"/>
          <w:numId w:val="5"/>
        </w:numPr>
        <w:tabs>
          <w:tab w:val="left" w:pos="142"/>
          <w:tab w:val="left" w:pos="9720"/>
        </w:tabs>
        <w:suppressAutoHyphens w:val="0"/>
        <w:spacing w:line="276" w:lineRule="auto"/>
        <w:ind w:left="0" w:firstLine="709"/>
        <w:textAlignment w:val="top"/>
        <w:rPr>
          <w:sz w:val="28"/>
          <w:szCs w:val="28"/>
          <w:lang w:eastAsia="en-US"/>
        </w:rPr>
      </w:pPr>
      <w:r w:rsidRPr="000B6339">
        <w:rPr>
          <w:sz w:val="28"/>
          <w:szCs w:val="28"/>
          <w:lang w:eastAsia="en-US"/>
        </w:rPr>
        <w:t xml:space="preserve">В 2020 году </w:t>
      </w:r>
      <w:r w:rsidR="00607D6D">
        <w:rPr>
          <w:sz w:val="28"/>
          <w:szCs w:val="28"/>
          <w:lang w:eastAsia="en-US"/>
        </w:rPr>
        <w:t>дополнительным негативным фактором, повлиявшим на ухудшени</w:t>
      </w:r>
      <w:r w:rsidR="00F835C9">
        <w:rPr>
          <w:sz w:val="28"/>
          <w:szCs w:val="28"/>
          <w:lang w:eastAsia="en-US"/>
        </w:rPr>
        <w:t>е</w:t>
      </w:r>
      <w:r w:rsidR="00607D6D">
        <w:rPr>
          <w:sz w:val="28"/>
          <w:szCs w:val="28"/>
          <w:lang w:eastAsia="en-US"/>
        </w:rPr>
        <w:t xml:space="preserve"> </w:t>
      </w:r>
      <w:r>
        <w:rPr>
          <w:sz w:val="28"/>
          <w:szCs w:val="28"/>
          <w:lang w:eastAsia="en-US"/>
        </w:rPr>
        <w:t>показател</w:t>
      </w:r>
      <w:r w:rsidR="00607D6D">
        <w:rPr>
          <w:sz w:val="28"/>
          <w:szCs w:val="28"/>
          <w:lang w:eastAsia="en-US"/>
        </w:rPr>
        <w:t>ей</w:t>
      </w:r>
      <w:r>
        <w:rPr>
          <w:sz w:val="28"/>
          <w:szCs w:val="28"/>
          <w:lang w:eastAsia="en-US"/>
        </w:rPr>
        <w:t xml:space="preserve"> смертности</w:t>
      </w:r>
      <w:r w:rsidR="00607D6D">
        <w:rPr>
          <w:sz w:val="28"/>
          <w:szCs w:val="28"/>
          <w:lang w:eastAsia="en-US"/>
        </w:rPr>
        <w:t xml:space="preserve">, стала сложная эпидемиологическая обстановка, связанная с </w:t>
      </w:r>
      <w:r w:rsidR="00FC20A4">
        <w:rPr>
          <w:sz w:val="28"/>
          <w:szCs w:val="28"/>
          <w:lang w:eastAsia="en-US"/>
        </w:rPr>
        <w:t xml:space="preserve">распространением </w:t>
      </w:r>
      <w:r w:rsidR="00607D6D">
        <w:rPr>
          <w:sz w:val="28"/>
          <w:szCs w:val="28"/>
          <w:lang w:eastAsia="en-US"/>
        </w:rPr>
        <w:t>новой коронавирусной инфекци</w:t>
      </w:r>
      <w:r w:rsidR="00FC20A4">
        <w:rPr>
          <w:sz w:val="28"/>
          <w:szCs w:val="28"/>
          <w:lang w:eastAsia="en-US"/>
        </w:rPr>
        <w:t>и</w:t>
      </w:r>
      <w:r w:rsidR="00607D6D">
        <w:rPr>
          <w:sz w:val="28"/>
          <w:szCs w:val="28"/>
          <w:lang w:eastAsia="en-US"/>
        </w:rPr>
        <w:t xml:space="preserve">: </w:t>
      </w:r>
      <w:r>
        <w:rPr>
          <w:sz w:val="28"/>
          <w:szCs w:val="28"/>
          <w:lang w:eastAsia="en-US"/>
        </w:rPr>
        <w:t xml:space="preserve">количество умерших </w:t>
      </w:r>
      <w:r w:rsidR="00607D6D">
        <w:rPr>
          <w:sz w:val="28"/>
          <w:szCs w:val="28"/>
          <w:lang w:eastAsia="en-US"/>
        </w:rPr>
        <w:t xml:space="preserve">за 2020 год </w:t>
      </w:r>
      <w:r>
        <w:rPr>
          <w:sz w:val="28"/>
          <w:szCs w:val="28"/>
          <w:lang w:eastAsia="en-US"/>
        </w:rPr>
        <w:t>выросло на 31,3% к 2019 году</w:t>
      </w:r>
      <w:r w:rsidR="00145F62">
        <w:rPr>
          <w:sz w:val="28"/>
          <w:szCs w:val="28"/>
          <w:lang w:eastAsia="en-US"/>
        </w:rPr>
        <w:t xml:space="preserve"> и составило 10,4 тыс. человек</w:t>
      </w:r>
      <w:r>
        <w:rPr>
          <w:sz w:val="28"/>
          <w:szCs w:val="28"/>
          <w:lang w:eastAsia="en-US"/>
        </w:rPr>
        <w:t xml:space="preserve">.  </w:t>
      </w:r>
    </w:p>
    <w:p w14:paraId="78773F16" w14:textId="25BFE4D7" w:rsidR="00A340C4" w:rsidRDefault="005B579E" w:rsidP="009278E9">
      <w:pPr>
        <w:keepNext/>
        <w:widowControl w:val="0"/>
        <w:numPr>
          <w:ilvl w:val="0"/>
          <w:numId w:val="5"/>
        </w:numPr>
        <w:tabs>
          <w:tab w:val="left" w:pos="142"/>
          <w:tab w:val="left" w:pos="9720"/>
        </w:tabs>
        <w:suppressAutoHyphens w:val="0"/>
        <w:spacing w:line="276" w:lineRule="auto"/>
        <w:ind w:left="0" w:firstLine="709"/>
        <w:textAlignment w:val="top"/>
        <w:rPr>
          <w:sz w:val="28"/>
          <w:szCs w:val="28"/>
          <w:lang w:eastAsia="en-US"/>
        </w:rPr>
      </w:pPr>
      <w:r>
        <w:rPr>
          <w:sz w:val="28"/>
          <w:szCs w:val="28"/>
          <w:lang w:eastAsia="en-US"/>
        </w:rPr>
        <w:t xml:space="preserve">По </w:t>
      </w:r>
      <w:r w:rsidR="00BC12DB">
        <w:rPr>
          <w:sz w:val="28"/>
          <w:szCs w:val="28"/>
          <w:lang w:eastAsia="en-US"/>
        </w:rPr>
        <w:t>сведениям</w:t>
      </w:r>
      <w:r>
        <w:rPr>
          <w:sz w:val="28"/>
          <w:szCs w:val="28"/>
          <w:lang w:eastAsia="en-US"/>
        </w:rPr>
        <w:t xml:space="preserve"> </w:t>
      </w:r>
      <w:proofErr w:type="spellStart"/>
      <w:r>
        <w:rPr>
          <w:sz w:val="28"/>
          <w:szCs w:val="28"/>
          <w:lang w:eastAsia="en-US"/>
        </w:rPr>
        <w:t>Самарастата</w:t>
      </w:r>
      <w:proofErr w:type="spellEnd"/>
      <w:r>
        <w:rPr>
          <w:sz w:val="28"/>
          <w:szCs w:val="28"/>
          <w:lang w:eastAsia="en-US"/>
        </w:rPr>
        <w:t>, о</w:t>
      </w:r>
      <w:r w:rsidR="00A340C4">
        <w:rPr>
          <w:sz w:val="28"/>
          <w:szCs w:val="28"/>
          <w:lang w:eastAsia="en-US"/>
        </w:rPr>
        <w:t xml:space="preserve">сновными причинами смертности (по </w:t>
      </w:r>
      <w:r w:rsidR="00A340C4">
        <w:rPr>
          <w:sz w:val="28"/>
          <w:szCs w:val="28"/>
          <w:lang w:eastAsia="en-US"/>
        </w:rPr>
        <w:lastRenderedPageBreak/>
        <w:t xml:space="preserve">данным за 2020 год) </w:t>
      </w:r>
      <w:r>
        <w:rPr>
          <w:sz w:val="28"/>
          <w:szCs w:val="28"/>
          <w:lang w:eastAsia="en-US"/>
        </w:rPr>
        <w:t>стали</w:t>
      </w:r>
      <w:r w:rsidR="00A340C4">
        <w:rPr>
          <w:sz w:val="28"/>
          <w:szCs w:val="28"/>
          <w:lang w:eastAsia="en-US"/>
        </w:rPr>
        <w:t>:</w:t>
      </w:r>
    </w:p>
    <w:p w14:paraId="25748C12" w14:textId="6CCD251F" w:rsidR="00A340C4" w:rsidRPr="005B579E" w:rsidRDefault="00A340C4" w:rsidP="009278E9">
      <w:pPr>
        <w:keepNext/>
        <w:widowControl w:val="0"/>
        <w:numPr>
          <w:ilvl w:val="0"/>
          <w:numId w:val="5"/>
        </w:numPr>
        <w:tabs>
          <w:tab w:val="left" w:pos="142"/>
          <w:tab w:val="left" w:pos="9720"/>
        </w:tabs>
        <w:suppressAutoHyphens w:val="0"/>
        <w:spacing w:line="276" w:lineRule="auto"/>
        <w:ind w:left="0" w:firstLine="709"/>
        <w:textAlignment w:val="top"/>
        <w:rPr>
          <w:sz w:val="28"/>
          <w:szCs w:val="28"/>
          <w:lang w:eastAsia="en-US"/>
        </w:rPr>
      </w:pPr>
      <w:r w:rsidRPr="005B579E">
        <w:rPr>
          <w:sz w:val="28"/>
          <w:szCs w:val="28"/>
          <w:lang w:eastAsia="en-US"/>
        </w:rPr>
        <w:t xml:space="preserve">- болезни системы кровообращения – </w:t>
      </w:r>
      <w:r w:rsidR="005B579E" w:rsidRPr="005B579E">
        <w:rPr>
          <w:sz w:val="28"/>
          <w:szCs w:val="28"/>
          <w:lang w:eastAsia="en-US"/>
        </w:rPr>
        <w:t xml:space="preserve">4496 </w:t>
      </w:r>
      <w:r w:rsidRPr="005B579E">
        <w:rPr>
          <w:sz w:val="28"/>
          <w:szCs w:val="28"/>
          <w:lang w:eastAsia="en-US"/>
        </w:rPr>
        <w:t xml:space="preserve"> человек </w:t>
      </w:r>
      <w:r w:rsidR="00EB73ED" w:rsidRPr="005B579E">
        <w:rPr>
          <w:sz w:val="28"/>
          <w:szCs w:val="28"/>
          <w:lang w:eastAsia="en-US"/>
        </w:rPr>
        <w:t xml:space="preserve">или </w:t>
      </w:r>
      <w:r w:rsidR="005B579E" w:rsidRPr="005B579E">
        <w:rPr>
          <w:sz w:val="28"/>
          <w:szCs w:val="28"/>
          <w:lang w:eastAsia="en-US"/>
        </w:rPr>
        <w:t>43,3</w:t>
      </w:r>
      <w:r w:rsidR="00EB73ED" w:rsidRPr="005B579E">
        <w:rPr>
          <w:sz w:val="28"/>
          <w:szCs w:val="28"/>
          <w:lang w:eastAsia="en-US"/>
        </w:rPr>
        <w:t xml:space="preserve">% </w:t>
      </w:r>
      <w:r w:rsidRPr="005B579E">
        <w:rPr>
          <w:sz w:val="28"/>
          <w:szCs w:val="28"/>
          <w:lang w:eastAsia="en-US"/>
        </w:rPr>
        <w:t xml:space="preserve">(на </w:t>
      </w:r>
      <w:r w:rsidR="005B579E" w:rsidRPr="005B579E">
        <w:rPr>
          <w:sz w:val="28"/>
          <w:szCs w:val="28"/>
          <w:lang w:eastAsia="en-US"/>
        </w:rPr>
        <w:t xml:space="preserve">1430 </w:t>
      </w:r>
      <w:r w:rsidRPr="005B579E">
        <w:rPr>
          <w:sz w:val="28"/>
          <w:szCs w:val="28"/>
          <w:lang w:eastAsia="en-US"/>
        </w:rPr>
        <w:t>человек больше 2019 года);</w:t>
      </w:r>
    </w:p>
    <w:p w14:paraId="6E5E5A32" w14:textId="0ACF4910" w:rsidR="00A340C4" w:rsidRPr="005B579E" w:rsidRDefault="00A340C4" w:rsidP="009278E9">
      <w:pPr>
        <w:keepNext/>
        <w:widowControl w:val="0"/>
        <w:numPr>
          <w:ilvl w:val="0"/>
          <w:numId w:val="5"/>
        </w:numPr>
        <w:tabs>
          <w:tab w:val="left" w:pos="142"/>
          <w:tab w:val="left" w:pos="9720"/>
        </w:tabs>
        <w:suppressAutoHyphens w:val="0"/>
        <w:spacing w:line="276" w:lineRule="auto"/>
        <w:ind w:left="0" w:firstLine="709"/>
        <w:textAlignment w:val="top"/>
        <w:rPr>
          <w:sz w:val="28"/>
          <w:szCs w:val="28"/>
          <w:lang w:eastAsia="en-US"/>
        </w:rPr>
      </w:pPr>
      <w:r w:rsidRPr="005B579E">
        <w:rPr>
          <w:sz w:val="28"/>
          <w:szCs w:val="28"/>
          <w:lang w:eastAsia="en-US"/>
        </w:rPr>
        <w:t xml:space="preserve">- от новообразований </w:t>
      </w:r>
      <w:r w:rsidR="00EB73ED" w:rsidRPr="005B579E">
        <w:rPr>
          <w:sz w:val="28"/>
          <w:szCs w:val="28"/>
          <w:lang w:eastAsia="en-US"/>
        </w:rPr>
        <w:t>–</w:t>
      </w:r>
      <w:r w:rsidRPr="005B579E">
        <w:rPr>
          <w:sz w:val="28"/>
          <w:szCs w:val="28"/>
          <w:lang w:eastAsia="en-US"/>
        </w:rPr>
        <w:t xml:space="preserve"> </w:t>
      </w:r>
      <w:r w:rsidR="00EB73ED" w:rsidRPr="005B579E">
        <w:rPr>
          <w:sz w:val="28"/>
          <w:szCs w:val="28"/>
          <w:lang w:eastAsia="en-US"/>
        </w:rPr>
        <w:t>12</w:t>
      </w:r>
      <w:r w:rsidR="005B579E">
        <w:rPr>
          <w:sz w:val="28"/>
          <w:szCs w:val="28"/>
          <w:lang w:eastAsia="en-US"/>
        </w:rPr>
        <w:t>84</w:t>
      </w:r>
      <w:r w:rsidR="00EB73ED" w:rsidRPr="005B579E">
        <w:rPr>
          <w:sz w:val="28"/>
          <w:szCs w:val="28"/>
          <w:lang w:eastAsia="en-US"/>
        </w:rPr>
        <w:t xml:space="preserve"> человек или  1</w:t>
      </w:r>
      <w:r w:rsidR="005B579E">
        <w:rPr>
          <w:sz w:val="28"/>
          <w:szCs w:val="28"/>
          <w:lang w:eastAsia="en-US"/>
        </w:rPr>
        <w:t>2</w:t>
      </w:r>
      <w:r w:rsidR="00EB73ED" w:rsidRPr="005B579E">
        <w:rPr>
          <w:sz w:val="28"/>
          <w:szCs w:val="28"/>
          <w:lang w:eastAsia="en-US"/>
        </w:rPr>
        <w:t xml:space="preserve">,4% (на </w:t>
      </w:r>
      <w:r w:rsidR="005B579E">
        <w:rPr>
          <w:sz w:val="28"/>
          <w:szCs w:val="28"/>
          <w:lang w:eastAsia="en-US"/>
        </w:rPr>
        <w:t xml:space="preserve">12 </w:t>
      </w:r>
      <w:r w:rsidR="00EB73ED" w:rsidRPr="005B579E">
        <w:rPr>
          <w:sz w:val="28"/>
          <w:szCs w:val="28"/>
          <w:lang w:eastAsia="en-US"/>
        </w:rPr>
        <w:t xml:space="preserve">человек </w:t>
      </w:r>
      <w:r w:rsidR="005B579E">
        <w:rPr>
          <w:sz w:val="28"/>
          <w:szCs w:val="28"/>
          <w:lang w:eastAsia="en-US"/>
        </w:rPr>
        <w:t>меньше</w:t>
      </w:r>
      <w:r w:rsidR="00EB73ED" w:rsidRPr="005B579E">
        <w:rPr>
          <w:sz w:val="28"/>
          <w:szCs w:val="28"/>
          <w:lang w:eastAsia="en-US"/>
        </w:rPr>
        <w:t xml:space="preserve"> 2019 года);</w:t>
      </w:r>
    </w:p>
    <w:p w14:paraId="783325B0" w14:textId="4BE48988" w:rsidR="00EB73ED" w:rsidRPr="005B579E" w:rsidRDefault="00EB73ED" w:rsidP="009278E9">
      <w:pPr>
        <w:keepNext/>
        <w:widowControl w:val="0"/>
        <w:numPr>
          <w:ilvl w:val="0"/>
          <w:numId w:val="5"/>
        </w:numPr>
        <w:tabs>
          <w:tab w:val="left" w:pos="142"/>
          <w:tab w:val="left" w:pos="9720"/>
        </w:tabs>
        <w:suppressAutoHyphens w:val="0"/>
        <w:spacing w:line="276" w:lineRule="auto"/>
        <w:ind w:left="0" w:firstLine="709"/>
        <w:textAlignment w:val="top"/>
        <w:rPr>
          <w:sz w:val="28"/>
          <w:szCs w:val="28"/>
          <w:lang w:eastAsia="en-US"/>
        </w:rPr>
      </w:pPr>
      <w:r w:rsidRPr="005B579E">
        <w:rPr>
          <w:sz w:val="28"/>
          <w:szCs w:val="28"/>
          <w:lang w:eastAsia="en-US"/>
        </w:rPr>
        <w:t>- от несчастных случаев,</w:t>
      </w:r>
      <w:r w:rsidR="009A43F5" w:rsidRPr="005B579E">
        <w:rPr>
          <w:sz w:val="28"/>
          <w:szCs w:val="28"/>
          <w:lang w:eastAsia="en-US"/>
        </w:rPr>
        <w:t xml:space="preserve"> </w:t>
      </w:r>
      <w:r w:rsidRPr="005B579E">
        <w:rPr>
          <w:sz w:val="28"/>
          <w:szCs w:val="28"/>
          <w:lang w:eastAsia="en-US"/>
        </w:rPr>
        <w:t xml:space="preserve">отравлений, травм – </w:t>
      </w:r>
      <w:r w:rsidR="005B579E" w:rsidRPr="005B579E">
        <w:rPr>
          <w:sz w:val="28"/>
          <w:szCs w:val="28"/>
          <w:lang w:eastAsia="en-US"/>
        </w:rPr>
        <w:t>1008</w:t>
      </w:r>
      <w:r w:rsidRPr="005B579E">
        <w:rPr>
          <w:sz w:val="28"/>
          <w:szCs w:val="28"/>
          <w:lang w:eastAsia="en-US"/>
        </w:rPr>
        <w:t xml:space="preserve"> человек или </w:t>
      </w:r>
      <w:r w:rsidR="005B579E" w:rsidRPr="005B579E">
        <w:rPr>
          <w:sz w:val="28"/>
          <w:szCs w:val="28"/>
          <w:lang w:eastAsia="en-US"/>
        </w:rPr>
        <w:t>9,7</w:t>
      </w:r>
      <w:r w:rsidRPr="005B579E">
        <w:rPr>
          <w:sz w:val="28"/>
          <w:szCs w:val="28"/>
          <w:lang w:eastAsia="en-US"/>
        </w:rPr>
        <w:t xml:space="preserve">% (на </w:t>
      </w:r>
      <w:r w:rsidR="005B579E" w:rsidRPr="005B579E">
        <w:rPr>
          <w:sz w:val="28"/>
          <w:szCs w:val="28"/>
          <w:lang w:eastAsia="en-US"/>
        </w:rPr>
        <w:t>40 человек</w:t>
      </w:r>
      <w:r w:rsidRPr="005B579E">
        <w:rPr>
          <w:sz w:val="28"/>
          <w:szCs w:val="28"/>
          <w:lang w:eastAsia="en-US"/>
        </w:rPr>
        <w:t xml:space="preserve"> больше 2019 года</w:t>
      </w:r>
      <w:r w:rsidR="005B579E">
        <w:rPr>
          <w:sz w:val="28"/>
          <w:szCs w:val="28"/>
          <w:lang w:eastAsia="en-US"/>
        </w:rPr>
        <w:t>).</w:t>
      </w:r>
    </w:p>
    <w:p w14:paraId="37F39EF1" w14:textId="7556A9F7" w:rsidR="00EB73ED" w:rsidRPr="005B579E" w:rsidRDefault="005B579E" w:rsidP="009278E9">
      <w:pPr>
        <w:keepNext/>
        <w:widowControl w:val="0"/>
        <w:numPr>
          <w:ilvl w:val="0"/>
          <w:numId w:val="5"/>
        </w:numPr>
        <w:tabs>
          <w:tab w:val="left" w:pos="142"/>
          <w:tab w:val="left" w:pos="9720"/>
        </w:tabs>
        <w:suppressAutoHyphens w:val="0"/>
        <w:spacing w:line="276" w:lineRule="auto"/>
        <w:ind w:left="0" w:firstLine="709"/>
        <w:textAlignment w:val="top"/>
        <w:rPr>
          <w:sz w:val="28"/>
          <w:szCs w:val="28"/>
          <w:lang w:eastAsia="en-US"/>
        </w:rPr>
      </w:pPr>
      <w:r w:rsidRPr="005B579E">
        <w:rPr>
          <w:sz w:val="28"/>
          <w:szCs w:val="28"/>
          <w:lang w:eastAsia="en-US"/>
        </w:rPr>
        <w:t xml:space="preserve">От коронавирусной инфекции, вызванной </w:t>
      </w:r>
      <w:r w:rsidRPr="005B579E">
        <w:rPr>
          <w:sz w:val="28"/>
          <w:szCs w:val="28"/>
          <w:lang w:val="en-US" w:eastAsia="en-US"/>
        </w:rPr>
        <w:t>COVID</w:t>
      </w:r>
      <w:r w:rsidRPr="005B579E">
        <w:rPr>
          <w:sz w:val="28"/>
          <w:szCs w:val="28"/>
          <w:lang w:eastAsia="en-US"/>
        </w:rPr>
        <w:t>19, в 2020 году умерло 559 граждан городского округа Тольятти</w:t>
      </w:r>
      <w:r w:rsidR="00BC12DB">
        <w:rPr>
          <w:sz w:val="28"/>
          <w:szCs w:val="28"/>
          <w:lang w:eastAsia="en-US"/>
        </w:rPr>
        <w:t xml:space="preserve">, в том числе 282 мужчины и 277 женщин (157 человек </w:t>
      </w:r>
      <w:r w:rsidR="00EA2EED">
        <w:rPr>
          <w:sz w:val="28"/>
          <w:szCs w:val="28"/>
          <w:lang w:eastAsia="en-US"/>
        </w:rPr>
        <w:t xml:space="preserve">в возрасте </w:t>
      </w:r>
      <w:r w:rsidR="00BC12DB">
        <w:rPr>
          <w:sz w:val="28"/>
          <w:szCs w:val="28"/>
          <w:lang w:eastAsia="en-US"/>
        </w:rPr>
        <w:t xml:space="preserve">до 65 лет и 402 человека старше 65 лет). </w:t>
      </w:r>
    </w:p>
    <w:p w14:paraId="45219BC9" w14:textId="25C97D9F" w:rsidR="00505A89" w:rsidRDefault="00BC12DB" w:rsidP="009278E9">
      <w:pPr>
        <w:keepNext/>
        <w:widowControl w:val="0"/>
        <w:numPr>
          <w:ilvl w:val="0"/>
          <w:numId w:val="5"/>
        </w:numPr>
        <w:tabs>
          <w:tab w:val="left" w:pos="142"/>
          <w:tab w:val="left" w:pos="9720"/>
        </w:tabs>
        <w:suppressAutoHyphens w:val="0"/>
        <w:spacing w:line="276" w:lineRule="auto"/>
        <w:ind w:left="0" w:firstLine="709"/>
        <w:textAlignment w:val="top"/>
        <w:rPr>
          <w:sz w:val="28"/>
          <w:szCs w:val="28"/>
          <w:lang w:eastAsia="en-US"/>
        </w:rPr>
      </w:pPr>
      <w:r>
        <w:rPr>
          <w:sz w:val="28"/>
          <w:szCs w:val="28"/>
          <w:lang w:eastAsia="en-US"/>
        </w:rPr>
        <w:t xml:space="preserve">При этом, ситуация со смертностью в городском округе </w:t>
      </w:r>
      <w:r w:rsidR="00505A89">
        <w:rPr>
          <w:sz w:val="28"/>
          <w:szCs w:val="28"/>
          <w:lang w:eastAsia="en-US"/>
        </w:rPr>
        <w:t xml:space="preserve">Тольятти </w:t>
      </w:r>
      <w:r>
        <w:rPr>
          <w:sz w:val="28"/>
          <w:szCs w:val="28"/>
          <w:lang w:eastAsia="en-US"/>
        </w:rPr>
        <w:t xml:space="preserve">сложилась лучше, чем в других городских округах Самарской области: </w:t>
      </w:r>
      <w:r w:rsidR="00505A89">
        <w:rPr>
          <w:sz w:val="28"/>
          <w:szCs w:val="28"/>
          <w:lang w:eastAsia="en-US"/>
        </w:rPr>
        <w:t>количеств</w:t>
      </w:r>
      <w:r>
        <w:rPr>
          <w:sz w:val="28"/>
          <w:szCs w:val="28"/>
          <w:lang w:eastAsia="en-US"/>
        </w:rPr>
        <w:t>о</w:t>
      </w:r>
      <w:r w:rsidR="00505A89">
        <w:rPr>
          <w:sz w:val="28"/>
          <w:szCs w:val="28"/>
          <w:lang w:eastAsia="en-US"/>
        </w:rPr>
        <w:t xml:space="preserve"> умерших на 1000 человек населения </w:t>
      </w:r>
      <w:r>
        <w:rPr>
          <w:sz w:val="28"/>
          <w:szCs w:val="28"/>
          <w:lang w:eastAsia="en-US"/>
        </w:rPr>
        <w:t xml:space="preserve">в 2020 году в </w:t>
      </w:r>
      <w:r w:rsidR="00EA2EED">
        <w:rPr>
          <w:sz w:val="28"/>
          <w:szCs w:val="28"/>
          <w:lang w:eastAsia="en-US"/>
        </w:rPr>
        <w:t>городском округе Тольятти</w:t>
      </w:r>
      <w:r>
        <w:rPr>
          <w:sz w:val="28"/>
          <w:szCs w:val="28"/>
          <w:lang w:eastAsia="en-US"/>
        </w:rPr>
        <w:t xml:space="preserve"> составило</w:t>
      </w:r>
      <w:r w:rsidR="00505A89">
        <w:rPr>
          <w:sz w:val="28"/>
          <w:szCs w:val="28"/>
          <w:lang w:eastAsia="en-US"/>
        </w:rPr>
        <w:t xml:space="preserve"> 14,9 промилле</w:t>
      </w:r>
      <w:r>
        <w:rPr>
          <w:sz w:val="28"/>
          <w:szCs w:val="28"/>
          <w:lang w:eastAsia="en-US"/>
        </w:rPr>
        <w:t xml:space="preserve"> и это лучший результат</w:t>
      </w:r>
      <w:r w:rsidR="00505A89">
        <w:rPr>
          <w:sz w:val="28"/>
          <w:szCs w:val="28"/>
          <w:lang w:eastAsia="en-US"/>
        </w:rPr>
        <w:t xml:space="preserve">. </w:t>
      </w:r>
      <w:r>
        <w:rPr>
          <w:sz w:val="28"/>
          <w:szCs w:val="28"/>
          <w:lang w:eastAsia="en-US"/>
        </w:rPr>
        <w:t xml:space="preserve">Для сравнения, </w:t>
      </w:r>
      <w:r w:rsidR="00505A89">
        <w:rPr>
          <w:sz w:val="28"/>
          <w:szCs w:val="28"/>
          <w:lang w:eastAsia="en-US"/>
        </w:rPr>
        <w:t xml:space="preserve">в г.о. Жигулевск – 20,6 промилле, г.о. Сызрань – 18,8 промилле, г.о. Самара – 17 промилле.   </w:t>
      </w:r>
    </w:p>
    <w:p w14:paraId="08064988" w14:textId="4113E461" w:rsidR="009A4B8B" w:rsidRPr="0057664A" w:rsidRDefault="009A4B8B" w:rsidP="009278E9">
      <w:pPr>
        <w:keepNext/>
        <w:widowControl w:val="0"/>
        <w:numPr>
          <w:ilvl w:val="0"/>
          <w:numId w:val="5"/>
        </w:numPr>
        <w:tabs>
          <w:tab w:val="left" w:pos="142"/>
          <w:tab w:val="left" w:pos="9720"/>
        </w:tabs>
        <w:suppressAutoHyphens w:val="0"/>
        <w:spacing w:line="276" w:lineRule="auto"/>
        <w:ind w:left="0" w:firstLine="709"/>
        <w:textAlignment w:val="top"/>
        <w:rPr>
          <w:sz w:val="28"/>
          <w:szCs w:val="28"/>
          <w:lang w:eastAsia="en-US"/>
        </w:rPr>
      </w:pPr>
      <w:r w:rsidRPr="0057664A">
        <w:rPr>
          <w:sz w:val="28"/>
          <w:szCs w:val="28"/>
          <w:lang w:eastAsia="en-US"/>
        </w:rPr>
        <w:t>В сфере миграции</w:t>
      </w:r>
      <w:r w:rsidR="00D27A42">
        <w:rPr>
          <w:sz w:val="28"/>
          <w:szCs w:val="28"/>
          <w:lang w:eastAsia="en-US"/>
        </w:rPr>
        <w:t xml:space="preserve"> населения с</w:t>
      </w:r>
      <w:r w:rsidRPr="0057664A">
        <w:rPr>
          <w:sz w:val="28"/>
          <w:szCs w:val="28"/>
          <w:lang w:eastAsia="en-US"/>
        </w:rPr>
        <w:t xml:space="preserve"> 2010 года </w:t>
      </w:r>
      <w:r w:rsidR="00D27A42">
        <w:rPr>
          <w:sz w:val="28"/>
          <w:szCs w:val="28"/>
          <w:lang w:eastAsia="en-US"/>
        </w:rPr>
        <w:t xml:space="preserve">в </w:t>
      </w:r>
      <w:r w:rsidRPr="0057664A">
        <w:rPr>
          <w:sz w:val="28"/>
          <w:szCs w:val="28"/>
          <w:lang w:eastAsia="en-US"/>
        </w:rPr>
        <w:t xml:space="preserve">результате массовых сокращений работников с градообразующего предприятия АО «АВТОВАЗ» и других предприятий автомобилестроения в период финансово-экономического кризиса </w:t>
      </w:r>
      <w:r w:rsidR="00D27A42">
        <w:rPr>
          <w:sz w:val="28"/>
          <w:szCs w:val="28"/>
          <w:lang w:eastAsia="en-US"/>
        </w:rPr>
        <w:t>2009 года</w:t>
      </w:r>
      <w:r w:rsidRPr="0057664A">
        <w:rPr>
          <w:sz w:val="28"/>
          <w:szCs w:val="28"/>
          <w:lang w:eastAsia="en-US"/>
        </w:rPr>
        <w:t xml:space="preserve"> и </w:t>
      </w:r>
      <w:r w:rsidR="00D27A42">
        <w:rPr>
          <w:sz w:val="28"/>
          <w:szCs w:val="28"/>
          <w:lang w:eastAsia="en-US"/>
        </w:rPr>
        <w:t>2014</w:t>
      </w:r>
      <w:r w:rsidRPr="0057664A">
        <w:rPr>
          <w:sz w:val="28"/>
          <w:szCs w:val="28"/>
          <w:lang w:eastAsia="en-US"/>
        </w:rPr>
        <w:t xml:space="preserve"> год</w:t>
      </w:r>
      <w:r w:rsidR="00D27A42">
        <w:rPr>
          <w:sz w:val="28"/>
          <w:szCs w:val="28"/>
          <w:lang w:eastAsia="en-US"/>
        </w:rPr>
        <w:t>а</w:t>
      </w:r>
      <w:r w:rsidRPr="0057664A">
        <w:rPr>
          <w:sz w:val="28"/>
          <w:szCs w:val="28"/>
          <w:lang w:eastAsia="en-US"/>
        </w:rPr>
        <w:t>, наблюдался  существенный рост безработицы, что в свою очередь повлекло миграционный отток населения. Миграционная убыль населения в городском округе Тольятти была настолько велика</w:t>
      </w:r>
      <w:r w:rsidR="007F2711">
        <w:rPr>
          <w:sz w:val="28"/>
          <w:szCs w:val="28"/>
          <w:lang w:eastAsia="en-US"/>
        </w:rPr>
        <w:t xml:space="preserve"> (</w:t>
      </w:r>
      <w:r w:rsidR="00D27A42">
        <w:rPr>
          <w:sz w:val="28"/>
          <w:szCs w:val="28"/>
          <w:lang w:eastAsia="en-US"/>
        </w:rPr>
        <w:t>например,</w:t>
      </w:r>
      <w:r w:rsidR="00EA2EED" w:rsidRPr="00EA2EED">
        <w:rPr>
          <w:sz w:val="28"/>
          <w:szCs w:val="28"/>
          <w:lang w:eastAsia="en-US"/>
        </w:rPr>
        <w:t xml:space="preserve"> </w:t>
      </w:r>
      <w:r w:rsidR="00EA2EED">
        <w:rPr>
          <w:sz w:val="28"/>
          <w:szCs w:val="28"/>
          <w:lang w:eastAsia="en-US"/>
        </w:rPr>
        <w:t>в 2015 году</w:t>
      </w:r>
      <w:r w:rsidR="009F3F4B">
        <w:rPr>
          <w:sz w:val="28"/>
          <w:szCs w:val="28"/>
          <w:lang w:eastAsia="en-US"/>
        </w:rPr>
        <w:t xml:space="preserve"> - </w:t>
      </w:r>
      <w:r w:rsidR="007F2711">
        <w:rPr>
          <w:sz w:val="28"/>
          <w:szCs w:val="28"/>
          <w:lang w:eastAsia="en-US"/>
        </w:rPr>
        <w:t>8,2 тыс. человек)</w:t>
      </w:r>
      <w:r w:rsidRPr="0057664A">
        <w:rPr>
          <w:sz w:val="28"/>
          <w:szCs w:val="28"/>
          <w:lang w:eastAsia="en-US"/>
        </w:rPr>
        <w:t xml:space="preserve">, что естественный прирост не мог ее компенсировать. </w:t>
      </w:r>
      <w:r w:rsidR="007F2711">
        <w:rPr>
          <w:sz w:val="28"/>
          <w:szCs w:val="28"/>
          <w:lang w:eastAsia="en-US"/>
        </w:rPr>
        <w:t>В последующие годы масштабы миграции сократились.</w:t>
      </w:r>
    </w:p>
    <w:p w14:paraId="2B4DA99E" w14:textId="71367597" w:rsidR="00220E21" w:rsidRDefault="009A4B8B" w:rsidP="0057664A">
      <w:pPr>
        <w:keepNext/>
        <w:suppressAutoHyphens w:val="0"/>
        <w:spacing w:line="276" w:lineRule="auto"/>
        <w:rPr>
          <w:sz w:val="28"/>
          <w:szCs w:val="28"/>
          <w:lang w:eastAsia="en-US"/>
        </w:rPr>
      </w:pPr>
      <w:r w:rsidRPr="009A4B8B">
        <w:rPr>
          <w:sz w:val="28"/>
          <w:szCs w:val="28"/>
          <w:lang w:eastAsia="en-US"/>
        </w:rPr>
        <w:t>В 2020 году сальдо миграции в городском округе сохран</w:t>
      </w:r>
      <w:r>
        <w:rPr>
          <w:sz w:val="28"/>
          <w:szCs w:val="28"/>
          <w:lang w:eastAsia="en-US"/>
        </w:rPr>
        <w:t>илось</w:t>
      </w:r>
      <w:r w:rsidRPr="009A4B8B">
        <w:rPr>
          <w:sz w:val="28"/>
          <w:szCs w:val="28"/>
          <w:lang w:eastAsia="en-US"/>
        </w:rPr>
        <w:t xml:space="preserve"> отрицательным, но сократил</w:t>
      </w:r>
      <w:r w:rsidR="00D27A42">
        <w:rPr>
          <w:sz w:val="28"/>
          <w:szCs w:val="28"/>
          <w:lang w:eastAsia="en-US"/>
        </w:rPr>
        <w:t>ось</w:t>
      </w:r>
      <w:r w:rsidRPr="009A4B8B">
        <w:rPr>
          <w:sz w:val="28"/>
          <w:szCs w:val="28"/>
          <w:lang w:eastAsia="en-US"/>
        </w:rPr>
        <w:t xml:space="preserve"> </w:t>
      </w:r>
      <w:r w:rsidR="00D27A42">
        <w:rPr>
          <w:sz w:val="28"/>
          <w:szCs w:val="28"/>
          <w:lang w:eastAsia="en-US"/>
        </w:rPr>
        <w:t>и составило -1,51</w:t>
      </w:r>
      <w:r>
        <w:rPr>
          <w:sz w:val="28"/>
          <w:szCs w:val="28"/>
          <w:lang w:eastAsia="en-US"/>
        </w:rPr>
        <w:t xml:space="preserve"> тыс. человек (с учетом республики Крым) </w:t>
      </w:r>
      <w:r w:rsidRPr="009A4B8B">
        <w:rPr>
          <w:sz w:val="28"/>
          <w:szCs w:val="28"/>
          <w:lang w:eastAsia="en-US"/>
        </w:rPr>
        <w:t>в связи с введением ограничительных мер, направленных на сдерживание распространения новой коронавирусной инфекции</w:t>
      </w:r>
      <w:r>
        <w:rPr>
          <w:sz w:val="28"/>
          <w:szCs w:val="28"/>
          <w:lang w:eastAsia="en-US"/>
        </w:rPr>
        <w:t xml:space="preserve"> (в 2019 году </w:t>
      </w:r>
      <w:r w:rsidR="00D27A42">
        <w:rPr>
          <w:sz w:val="28"/>
          <w:szCs w:val="28"/>
          <w:lang w:eastAsia="en-US"/>
        </w:rPr>
        <w:t>миграционная убыль составила 1,56</w:t>
      </w:r>
      <w:r>
        <w:rPr>
          <w:sz w:val="28"/>
          <w:szCs w:val="28"/>
          <w:lang w:eastAsia="en-US"/>
        </w:rPr>
        <w:t xml:space="preserve"> тыс. человек, в 2018 году </w:t>
      </w:r>
      <w:r w:rsidR="009F3F4B">
        <w:rPr>
          <w:sz w:val="28"/>
          <w:szCs w:val="28"/>
          <w:lang w:eastAsia="en-US"/>
        </w:rPr>
        <w:t>-</w:t>
      </w:r>
      <w:r>
        <w:rPr>
          <w:sz w:val="28"/>
          <w:szCs w:val="28"/>
          <w:lang w:eastAsia="en-US"/>
        </w:rPr>
        <w:t xml:space="preserve"> </w:t>
      </w:r>
      <w:r w:rsidR="0057664A">
        <w:rPr>
          <w:sz w:val="28"/>
          <w:szCs w:val="28"/>
          <w:lang w:eastAsia="en-US"/>
        </w:rPr>
        <w:t>3,1 тыс. человек, в 2017 году -2,45 тыс. человек)</w:t>
      </w:r>
      <w:r>
        <w:rPr>
          <w:sz w:val="28"/>
          <w:szCs w:val="28"/>
          <w:lang w:eastAsia="en-US"/>
        </w:rPr>
        <w:t xml:space="preserve">. </w:t>
      </w:r>
    </w:p>
    <w:p w14:paraId="58F19B91" w14:textId="514A0A01" w:rsidR="00206BF5" w:rsidRPr="00206BF5" w:rsidRDefault="00206BF5" w:rsidP="00206BF5">
      <w:pPr>
        <w:widowControl w:val="0"/>
        <w:suppressAutoHyphens w:val="0"/>
        <w:spacing w:line="276" w:lineRule="auto"/>
        <w:rPr>
          <w:sz w:val="28"/>
          <w:szCs w:val="28"/>
          <w:lang w:eastAsia="en-US"/>
        </w:rPr>
      </w:pPr>
      <w:r w:rsidRPr="00206BF5">
        <w:rPr>
          <w:sz w:val="28"/>
          <w:szCs w:val="28"/>
          <w:lang w:eastAsia="en-US"/>
        </w:rPr>
        <w:t xml:space="preserve">Основной причиной </w:t>
      </w:r>
      <w:r w:rsidR="00D27A42">
        <w:rPr>
          <w:sz w:val="28"/>
          <w:szCs w:val="28"/>
          <w:lang w:eastAsia="en-US"/>
        </w:rPr>
        <w:t xml:space="preserve">смены места жительства, по данным </w:t>
      </w:r>
      <w:proofErr w:type="spellStart"/>
      <w:r w:rsidR="00D27A42">
        <w:rPr>
          <w:sz w:val="28"/>
          <w:szCs w:val="28"/>
          <w:lang w:eastAsia="en-US"/>
        </w:rPr>
        <w:t>Самарастата</w:t>
      </w:r>
      <w:proofErr w:type="spellEnd"/>
      <w:r w:rsidR="00D27A42">
        <w:rPr>
          <w:sz w:val="28"/>
          <w:szCs w:val="28"/>
          <w:lang w:eastAsia="en-US"/>
        </w:rPr>
        <w:t>,</w:t>
      </w:r>
      <w:r w:rsidRPr="00206BF5">
        <w:rPr>
          <w:sz w:val="28"/>
          <w:szCs w:val="28"/>
          <w:lang w:eastAsia="en-US"/>
        </w:rPr>
        <w:t xml:space="preserve"> </w:t>
      </w:r>
      <w:r w:rsidR="00D27A42">
        <w:rPr>
          <w:sz w:val="28"/>
          <w:szCs w:val="28"/>
          <w:lang w:eastAsia="en-US"/>
        </w:rPr>
        <w:t xml:space="preserve">выбывшие </w:t>
      </w:r>
      <w:r w:rsidRPr="00206BF5">
        <w:rPr>
          <w:sz w:val="28"/>
          <w:szCs w:val="28"/>
          <w:lang w:eastAsia="en-US"/>
        </w:rPr>
        <w:t xml:space="preserve">граждане указывали причину возвращения после временного отсутствия  </w:t>
      </w:r>
      <w:r w:rsidR="00D27A42">
        <w:rPr>
          <w:sz w:val="28"/>
          <w:szCs w:val="28"/>
          <w:lang w:eastAsia="en-US"/>
        </w:rPr>
        <w:t xml:space="preserve">(в 2020 году - </w:t>
      </w:r>
      <w:r w:rsidRPr="00D27A42">
        <w:rPr>
          <w:sz w:val="28"/>
          <w:szCs w:val="28"/>
          <w:lang w:eastAsia="en-US"/>
        </w:rPr>
        <w:t>3</w:t>
      </w:r>
      <w:r w:rsidR="00D27A42" w:rsidRPr="00D27A42">
        <w:rPr>
          <w:sz w:val="28"/>
          <w:szCs w:val="28"/>
          <w:lang w:eastAsia="en-US"/>
        </w:rPr>
        <w:t>6</w:t>
      </w:r>
      <w:r w:rsidRPr="00206BF5">
        <w:rPr>
          <w:sz w:val="28"/>
          <w:szCs w:val="28"/>
          <w:lang w:eastAsia="en-US"/>
        </w:rPr>
        <w:t>%</w:t>
      </w:r>
      <w:r w:rsidR="00F835C9">
        <w:rPr>
          <w:sz w:val="28"/>
          <w:szCs w:val="28"/>
          <w:lang w:eastAsia="en-US"/>
        </w:rPr>
        <w:t xml:space="preserve"> </w:t>
      </w:r>
      <w:r w:rsidR="00F835C9" w:rsidRPr="00206BF5">
        <w:rPr>
          <w:sz w:val="28"/>
          <w:szCs w:val="28"/>
          <w:lang w:eastAsia="en-US"/>
        </w:rPr>
        <w:t xml:space="preserve">от числа </w:t>
      </w:r>
      <w:r w:rsidR="00F835C9">
        <w:rPr>
          <w:sz w:val="28"/>
          <w:szCs w:val="28"/>
          <w:lang w:eastAsia="en-US"/>
        </w:rPr>
        <w:t xml:space="preserve">выбывших </w:t>
      </w:r>
      <w:r w:rsidR="00F835C9" w:rsidRPr="00206BF5">
        <w:rPr>
          <w:sz w:val="28"/>
          <w:szCs w:val="28"/>
          <w:lang w:eastAsia="en-US"/>
        </w:rPr>
        <w:t>граждан в возрасте от 14 лет и старше</w:t>
      </w:r>
      <w:r w:rsidR="00F835C9">
        <w:rPr>
          <w:sz w:val="28"/>
          <w:szCs w:val="28"/>
          <w:lang w:eastAsia="en-US"/>
        </w:rPr>
        <w:t>)</w:t>
      </w:r>
      <w:r w:rsidRPr="00206BF5">
        <w:rPr>
          <w:sz w:val="28"/>
          <w:szCs w:val="28"/>
          <w:lang w:eastAsia="en-US"/>
        </w:rPr>
        <w:t xml:space="preserve">, причины личного, семейного характера -  </w:t>
      </w:r>
      <w:r w:rsidRPr="00A0447D">
        <w:rPr>
          <w:sz w:val="28"/>
          <w:szCs w:val="28"/>
          <w:lang w:eastAsia="en-US"/>
        </w:rPr>
        <w:t>27%</w:t>
      </w:r>
      <w:r w:rsidRPr="00206BF5">
        <w:rPr>
          <w:sz w:val="28"/>
          <w:szCs w:val="28"/>
          <w:lang w:eastAsia="en-US"/>
        </w:rPr>
        <w:t xml:space="preserve"> </w:t>
      </w:r>
      <w:r w:rsidR="007F2711">
        <w:rPr>
          <w:sz w:val="28"/>
          <w:szCs w:val="28"/>
          <w:lang w:eastAsia="en-US"/>
        </w:rPr>
        <w:t xml:space="preserve"> </w:t>
      </w:r>
      <w:r w:rsidRPr="00206BF5">
        <w:rPr>
          <w:sz w:val="28"/>
          <w:szCs w:val="28"/>
          <w:lang w:eastAsia="en-US"/>
        </w:rPr>
        <w:t xml:space="preserve">от числа </w:t>
      </w:r>
      <w:r w:rsidR="00A0447D">
        <w:rPr>
          <w:sz w:val="28"/>
          <w:szCs w:val="28"/>
          <w:lang w:eastAsia="en-US"/>
        </w:rPr>
        <w:t xml:space="preserve">выбывших </w:t>
      </w:r>
      <w:r w:rsidRPr="00206BF5">
        <w:rPr>
          <w:sz w:val="28"/>
          <w:szCs w:val="28"/>
          <w:lang w:eastAsia="en-US"/>
        </w:rPr>
        <w:t xml:space="preserve">граждан в возрасте от 14 лет и старше. </w:t>
      </w:r>
      <w:r w:rsidR="007F2711">
        <w:rPr>
          <w:sz w:val="28"/>
          <w:szCs w:val="28"/>
          <w:lang w:eastAsia="en-US"/>
        </w:rPr>
        <w:t>При этом</w:t>
      </w:r>
      <w:r w:rsidR="00100D23">
        <w:rPr>
          <w:sz w:val="28"/>
          <w:szCs w:val="28"/>
          <w:lang w:eastAsia="en-US"/>
        </w:rPr>
        <w:t>,</w:t>
      </w:r>
      <w:r w:rsidR="007F2711">
        <w:rPr>
          <w:sz w:val="28"/>
          <w:szCs w:val="28"/>
          <w:lang w:eastAsia="en-US"/>
        </w:rPr>
        <w:t xml:space="preserve"> в связи с работой </w:t>
      </w:r>
      <w:r w:rsidR="00047010">
        <w:rPr>
          <w:sz w:val="28"/>
          <w:szCs w:val="28"/>
          <w:lang w:eastAsia="en-US"/>
        </w:rPr>
        <w:t xml:space="preserve">в 2020 году </w:t>
      </w:r>
      <w:r w:rsidR="007F2711">
        <w:rPr>
          <w:sz w:val="28"/>
          <w:szCs w:val="28"/>
          <w:lang w:eastAsia="en-US"/>
        </w:rPr>
        <w:t>зафиксирован прирост (</w:t>
      </w:r>
      <w:r w:rsidR="00A0447D">
        <w:rPr>
          <w:sz w:val="28"/>
          <w:szCs w:val="28"/>
          <w:lang w:eastAsia="en-US"/>
        </w:rPr>
        <w:t>1</w:t>
      </w:r>
      <w:r w:rsidR="00F835C9">
        <w:rPr>
          <w:sz w:val="28"/>
          <w:szCs w:val="28"/>
          <w:lang w:eastAsia="en-US"/>
        </w:rPr>
        <w:t>,</w:t>
      </w:r>
      <w:r w:rsidR="00A0447D">
        <w:rPr>
          <w:sz w:val="28"/>
          <w:szCs w:val="28"/>
          <w:lang w:eastAsia="en-US"/>
        </w:rPr>
        <w:t>2</w:t>
      </w:r>
      <w:r w:rsidR="00F835C9">
        <w:rPr>
          <w:sz w:val="28"/>
          <w:szCs w:val="28"/>
          <w:lang w:eastAsia="en-US"/>
        </w:rPr>
        <w:t xml:space="preserve"> тыс. человек</w:t>
      </w:r>
      <w:r w:rsidR="007F2711">
        <w:rPr>
          <w:sz w:val="28"/>
          <w:szCs w:val="28"/>
          <w:lang w:eastAsia="en-US"/>
        </w:rPr>
        <w:t xml:space="preserve">), в связи с учебой </w:t>
      </w:r>
      <w:r w:rsidR="00047010">
        <w:rPr>
          <w:sz w:val="28"/>
          <w:szCs w:val="28"/>
          <w:lang w:eastAsia="en-US"/>
        </w:rPr>
        <w:t xml:space="preserve">– миграционная убыль не </w:t>
      </w:r>
      <w:r w:rsidR="00A0447D">
        <w:rPr>
          <w:sz w:val="28"/>
          <w:szCs w:val="28"/>
          <w:lang w:eastAsia="en-US"/>
        </w:rPr>
        <w:t xml:space="preserve">столь </w:t>
      </w:r>
      <w:r w:rsidR="00047010">
        <w:rPr>
          <w:sz w:val="28"/>
          <w:szCs w:val="28"/>
          <w:lang w:eastAsia="en-US"/>
        </w:rPr>
        <w:t xml:space="preserve">значительна и составила </w:t>
      </w:r>
      <w:r w:rsidR="00F835C9">
        <w:rPr>
          <w:sz w:val="28"/>
          <w:szCs w:val="28"/>
          <w:lang w:eastAsia="en-US"/>
        </w:rPr>
        <w:t>0,</w:t>
      </w:r>
      <w:r w:rsidR="00A0447D">
        <w:rPr>
          <w:sz w:val="28"/>
          <w:szCs w:val="28"/>
          <w:lang w:eastAsia="en-US"/>
        </w:rPr>
        <w:t xml:space="preserve">25 </w:t>
      </w:r>
      <w:r w:rsidR="00F835C9">
        <w:rPr>
          <w:sz w:val="28"/>
          <w:szCs w:val="28"/>
          <w:lang w:eastAsia="en-US"/>
        </w:rPr>
        <w:t xml:space="preserve">тыс. </w:t>
      </w:r>
      <w:r w:rsidR="00A0447D">
        <w:rPr>
          <w:sz w:val="28"/>
          <w:szCs w:val="28"/>
          <w:lang w:eastAsia="en-US"/>
        </w:rPr>
        <w:t>человек</w:t>
      </w:r>
      <w:r w:rsidR="00047010">
        <w:rPr>
          <w:sz w:val="28"/>
          <w:szCs w:val="28"/>
          <w:lang w:eastAsia="en-US"/>
        </w:rPr>
        <w:t>.</w:t>
      </w:r>
    </w:p>
    <w:p w14:paraId="47E9F280" w14:textId="751AB37F" w:rsidR="00206BF5" w:rsidRPr="00206BF5" w:rsidRDefault="00206BF5" w:rsidP="00206BF5">
      <w:pPr>
        <w:widowControl w:val="0"/>
        <w:suppressAutoHyphens w:val="0"/>
        <w:spacing w:line="276" w:lineRule="auto"/>
        <w:rPr>
          <w:sz w:val="28"/>
          <w:szCs w:val="28"/>
          <w:lang w:eastAsia="en-US"/>
        </w:rPr>
      </w:pPr>
      <w:r w:rsidRPr="00206BF5">
        <w:rPr>
          <w:sz w:val="28"/>
          <w:szCs w:val="28"/>
          <w:lang w:eastAsia="en-US"/>
        </w:rPr>
        <w:lastRenderedPageBreak/>
        <w:t xml:space="preserve">По направлению миграции граждан первое место занимает территория Самарской области - </w:t>
      </w:r>
      <w:r w:rsidR="00A0447D">
        <w:rPr>
          <w:sz w:val="28"/>
          <w:szCs w:val="28"/>
          <w:lang w:eastAsia="en-US"/>
        </w:rPr>
        <w:t>миграционная убыль по данной территории составила           -953 человека</w:t>
      </w:r>
      <w:r w:rsidR="00E52637">
        <w:rPr>
          <w:sz w:val="28"/>
          <w:szCs w:val="28"/>
          <w:lang w:eastAsia="en-US"/>
        </w:rPr>
        <w:t xml:space="preserve"> (64% от общей миграции)</w:t>
      </w:r>
      <w:r w:rsidR="00A0447D">
        <w:rPr>
          <w:sz w:val="28"/>
          <w:szCs w:val="28"/>
          <w:lang w:eastAsia="en-US"/>
        </w:rPr>
        <w:t>, на втором месте международная миграция (-376 человек) и на третьем - межрегиональная (-94 человека).</w:t>
      </w:r>
      <w:r w:rsidRPr="00206BF5">
        <w:rPr>
          <w:sz w:val="28"/>
          <w:szCs w:val="28"/>
          <w:lang w:eastAsia="en-US"/>
        </w:rPr>
        <w:t xml:space="preserve"> Одновременно с этим наблюдается прирост численности населения Ставропольского муниципального района, граничащего с территорией городского округа Тольятти. Всего с 2010 года, благодаря массовой застройке жилыми массивами, численность населения Ставропольского района увеличилась на </w:t>
      </w:r>
      <w:r w:rsidR="00F835C9">
        <w:rPr>
          <w:sz w:val="28"/>
          <w:szCs w:val="28"/>
          <w:lang w:eastAsia="en-US"/>
        </w:rPr>
        <w:t>25</w:t>
      </w:r>
      <w:r w:rsidRPr="00206BF5">
        <w:rPr>
          <w:sz w:val="28"/>
          <w:szCs w:val="28"/>
          <w:lang w:eastAsia="en-US"/>
        </w:rPr>
        <w:t> тыс. чел</w:t>
      </w:r>
      <w:r w:rsidR="00A0447D">
        <w:rPr>
          <w:sz w:val="28"/>
          <w:szCs w:val="28"/>
          <w:lang w:eastAsia="en-US"/>
        </w:rPr>
        <w:t>овек</w:t>
      </w:r>
      <w:r w:rsidR="00F835C9">
        <w:rPr>
          <w:sz w:val="28"/>
          <w:szCs w:val="28"/>
          <w:lang w:eastAsia="en-US"/>
        </w:rPr>
        <w:t>, в том числе в 2020 году - на 1,4 тыс. человек</w:t>
      </w:r>
      <w:r w:rsidR="00962775">
        <w:rPr>
          <w:sz w:val="28"/>
          <w:szCs w:val="28"/>
          <w:lang w:eastAsia="en-US"/>
        </w:rPr>
        <w:t>,</w:t>
      </w:r>
      <w:r w:rsidR="00F835C9">
        <w:rPr>
          <w:sz w:val="28"/>
          <w:szCs w:val="28"/>
          <w:lang w:eastAsia="en-US"/>
        </w:rPr>
        <w:t xml:space="preserve"> и составила 78,6 тыс. человек</w:t>
      </w:r>
      <w:r w:rsidRPr="00206BF5">
        <w:rPr>
          <w:sz w:val="28"/>
          <w:szCs w:val="28"/>
          <w:lang w:eastAsia="en-US"/>
        </w:rPr>
        <w:t xml:space="preserve">. Миграционный прирост района ежегодно составляет </w:t>
      </w:r>
      <w:r w:rsidRPr="00A0447D">
        <w:rPr>
          <w:sz w:val="28"/>
          <w:szCs w:val="28"/>
          <w:lang w:eastAsia="en-US"/>
        </w:rPr>
        <w:t>более 1,</w:t>
      </w:r>
      <w:r w:rsidR="00A0447D" w:rsidRPr="00A0447D">
        <w:rPr>
          <w:sz w:val="28"/>
          <w:szCs w:val="28"/>
          <w:lang w:eastAsia="en-US"/>
        </w:rPr>
        <w:t>3</w:t>
      </w:r>
      <w:r w:rsidRPr="00A0447D">
        <w:rPr>
          <w:sz w:val="28"/>
          <w:szCs w:val="28"/>
          <w:lang w:eastAsia="en-US"/>
        </w:rPr>
        <w:t>-2,0 тыс</w:t>
      </w:r>
      <w:r w:rsidRPr="00206BF5">
        <w:rPr>
          <w:sz w:val="28"/>
          <w:szCs w:val="28"/>
          <w:lang w:eastAsia="en-US"/>
        </w:rPr>
        <w:t>. чел</w:t>
      </w:r>
      <w:r w:rsidR="00A0447D">
        <w:rPr>
          <w:sz w:val="28"/>
          <w:szCs w:val="28"/>
          <w:lang w:eastAsia="en-US"/>
        </w:rPr>
        <w:t>овек</w:t>
      </w:r>
      <w:r w:rsidRPr="00206BF5">
        <w:rPr>
          <w:sz w:val="28"/>
          <w:szCs w:val="28"/>
          <w:lang w:eastAsia="en-US"/>
        </w:rPr>
        <w:t>, а обеспеченность жильем - более 40 метров на человека. Среди городов и районов области это первое место.</w:t>
      </w:r>
    </w:p>
    <w:p w14:paraId="38C533E7" w14:textId="39D8B8E7" w:rsidR="0057664A" w:rsidRPr="003323D7" w:rsidRDefault="0057664A" w:rsidP="0057664A">
      <w:pPr>
        <w:widowControl w:val="0"/>
        <w:numPr>
          <w:ilvl w:val="0"/>
          <w:numId w:val="5"/>
        </w:numPr>
        <w:suppressAutoHyphens w:val="0"/>
        <w:spacing w:line="276" w:lineRule="auto"/>
        <w:ind w:left="0" w:firstLine="709"/>
        <w:contextualSpacing/>
        <w:rPr>
          <w:sz w:val="28"/>
          <w:szCs w:val="28"/>
          <w:lang w:eastAsia="en-US"/>
        </w:rPr>
      </w:pPr>
      <w:r w:rsidRPr="0057664A">
        <w:rPr>
          <w:sz w:val="28"/>
          <w:szCs w:val="28"/>
          <w:lang w:eastAsia="en-US"/>
        </w:rPr>
        <w:t xml:space="preserve">Есть все основания полагать, что данная тенденция сложилась, в основном за счёт жителей </w:t>
      </w:r>
      <w:r w:rsidR="00206BF5">
        <w:rPr>
          <w:sz w:val="28"/>
          <w:szCs w:val="28"/>
          <w:lang w:eastAsia="en-US"/>
        </w:rPr>
        <w:t xml:space="preserve">городского округа </w:t>
      </w:r>
      <w:r w:rsidRPr="0057664A">
        <w:rPr>
          <w:sz w:val="28"/>
          <w:szCs w:val="28"/>
          <w:lang w:eastAsia="en-US"/>
        </w:rPr>
        <w:t xml:space="preserve">Тольятти, которые выбирают в качестве постоянного места жительства приграничные с городом сельские населенные пункты - Приморский, Подстепки, Ягодное, Тимофеевку. По данным </w:t>
      </w:r>
      <w:proofErr w:type="spellStart"/>
      <w:r w:rsidR="00962775">
        <w:rPr>
          <w:sz w:val="28"/>
          <w:szCs w:val="28"/>
          <w:lang w:eastAsia="en-US"/>
        </w:rPr>
        <w:t>Самарастата</w:t>
      </w:r>
      <w:proofErr w:type="spellEnd"/>
      <w:r w:rsidRPr="0057664A">
        <w:rPr>
          <w:sz w:val="28"/>
          <w:szCs w:val="28"/>
          <w:lang w:eastAsia="en-US"/>
        </w:rPr>
        <w:t xml:space="preserve"> только </w:t>
      </w:r>
      <w:r w:rsidRPr="003323D7">
        <w:rPr>
          <w:sz w:val="28"/>
          <w:szCs w:val="28"/>
          <w:lang w:eastAsia="en-US"/>
        </w:rPr>
        <w:t xml:space="preserve">за </w:t>
      </w:r>
      <w:r w:rsidR="00962775">
        <w:rPr>
          <w:sz w:val="28"/>
          <w:szCs w:val="28"/>
          <w:lang w:eastAsia="en-US"/>
        </w:rPr>
        <w:t xml:space="preserve">пятилетний </w:t>
      </w:r>
      <w:r w:rsidRPr="003323D7">
        <w:rPr>
          <w:sz w:val="28"/>
          <w:szCs w:val="28"/>
          <w:lang w:eastAsia="en-US"/>
        </w:rPr>
        <w:t>период 2016-20</w:t>
      </w:r>
      <w:r w:rsidR="00A0447D" w:rsidRPr="003323D7">
        <w:rPr>
          <w:sz w:val="28"/>
          <w:szCs w:val="28"/>
          <w:lang w:eastAsia="en-US"/>
        </w:rPr>
        <w:t>20</w:t>
      </w:r>
      <w:r w:rsidRPr="003323D7">
        <w:rPr>
          <w:sz w:val="28"/>
          <w:szCs w:val="28"/>
          <w:lang w:eastAsia="en-US"/>
        </w:rPr>
        <w:t xml:space="preserve"> годов </w:t>
      </w:r>
      <w:r w:rsidR="003323D7" w:rsidRPr="003323D7">
        <w:rPr>
          <w:sz w:val="28"/>
          <w:szCs w:val="28"/>
          <w:lang w:eastAsia="en-US"/>
        </w:rPr>
        <w:t xml:space="preserve">миграционная убыль </w:t>
      </w:r>
      <w:r w:rsidR="00962775">
        <w:rPr>
          <w:sz w:val="28"/>
          <w:szCs w:val="28"/>
          <w:lang w:eastAsia="en-US"/>
        </w:rPr>
        <w:t xml:space="preserve">городского округа </w:t>
      </w:r>
      <w:r w:rsidR="003323D7" w:rsidRPr="003323D7">
        <w:rPr>
          <w:sz w:val="28"/>
          <w:szCs w:val="28"/>
          <w:lang w:eastAsia="en-US"/>
        </w:rPr>
        <w:t xml:space="preserve">Тольятти с территорией района </w:t>
      </w:r>
      <w:r w:rsidRPr="003323D7">
        <w:rPr>
          <w:sz w:val="28"/>
          <w:szCs w:val="28"/>
          <w:lang w:eastAsia="en-US"/>
        </w:rPr>
        <w:t xml:space="preserve">за </w:t>
      </w:r>
      <w:r w:rsidR="003323D7" w:rsidRPr="003323D7">
        <w:rPr>
          <w:sz w:val="28"/>
          <w:szCs w:val="28"/>
          <w:lang w:eastAsia="en-US"/>
        </w:rPr>
        <w:t>пять лет</w:t>
      </w:r>
      <w:r w:rsidRPr="003323D7">
        <w:rPr>
          <w:sz w:val="28"/>
          <w:szCs w:val="28"/>
          <w:lang w:eastAsia="en-US"/>
        </w:rPr>
        <w:t xml:space="preserve"> составила </w:t>
      </w:r>
      <w:r w:rsidR="003323D7" w:rsidRPr="003323D7">
        <w:rPr>
          <w:sz w:val="28"/>
          <w:szCs w:val="28"/>
          <w:lang w:eastAsia="en-US"/>
        </w:rPr>
        <w:t>9,1</w:t>
      </w:r>
      <w:r w:rsidRPr="003323D7">
        <w:rPr>
          <w:sz w:val="28"/>
          <w:szCs w:val="28"/>
          <w:lang w:eastAsia="en-US"/>
        </w:rPr>
        <w:t xml:space="preserve"> тыс</w:t>
      </w:r>
      <w:r w:rsidR="003323D7">
        <w:rPr>
          <w:sz w:val="28"/>
          <w:szCs w:val="28"/>
          <w:lang w:eastAsia="en-US"/>
        </w:rPr>
        <w:t>.</w:t>
      </w:r>
      <w:r w:rsidRPr="003323D7">
        <w:rPr>
          <w:sz w:val="28"/>
          <w:szCs w:val="28"/>
          <w:lang w:eastAsia="en-US"/>
        </w:rPr>
        <w:t xml:space="preserve"> человек</w:t>
      </w:r>
      <w:r w:rsidR="003323D7">
        <w:rPr>
          <w:sz w:val="28"/>
          <w:szCs w:val="28"/>
          <w:lang w:eastAsia="en-US"/>
        </w:rPr>
        <w:t>, в том числе в 2020 году</w:t>
      </w:r>
      <w:r w:rsidR="009F3F4B">
        <w:rPr>
          <w:sz w:val="28"/>
          <w:szCs w:val="28"/>
          <w:lang w:eastAsia="en-US"/>
        </w:rPr>
        <w:t xml:space="preserve"> </w:t>
      </w:r>
      <w:r w:rsidR="003323D7">
        <w:rPr>
          <w:sz w:val="28"/>
          <w:szCs w:val="28"/>
          <w:lang w:eastAsia="en-US"/>
        </w:rPr>
        <w:t>-</w:t>
      </w:r>
      <w:r w:rsidR="009F3F4B">
        <w:rPr>
          <w:sz w:val="28"/>
          <w:szCs w:val="28"/>
          <w:lang w:eastAsia="en-US"/>
        </w:rPr>
        <w:t xml:space="preserve"> </w:t>
      </w:r>
      <w:r w:rsidR="003323D7">
        <w:rPr>
          <w:sz w:val="28"/>
          <w:szCs w:val="28"/>
          <w:lang w:eastAsia="en-US"/>
        </w:rPr>
        <w:t>1,37 тыс. человек</w:t>
      </w:r>
      <w:r w:rsidR="00962775">
        <w:rPr>
          <w:sz w:val="28"/>
          <w:szCs w:val="28"/>
          <w:lang w:eastAsia="en-US"/>
        </w:rPr>
        <w:t xml:space="preserve"> (сопоставимо с приростом Ставропольского района в 2020 году)</w:t>
      </w:r>
      <w:r w:rsidRPr="003323D7">
        <w:rPr>
          <w:sz w:val="28"/>
          <w:szCs w:val="28"/>
          <w:lang w:eastAsia="en-US"/>
        </w:rPr>
        <w:t>.</w:t>
      </w:r>
    </w:p>
    <w:p w14:paraId="0064FDA3" w14:textId="50058B74" w:rsidR="0057664A" w:rsidRPr="0057664A" w:rsidRDefault="0057664A" w:rsidP="0057664A">
      <w:pPr>
        <w:widowControl w:val="0"/>
        <w:numPr>
          <w:ilvl w:val="0"/>
          <w:numId w:val="5"/>
        </w:numPr>
        <w:suppressAutoHyphens w:val="0"/>
        <w:spacing w:line="276" w:lineRule="auto"/>
        <w:ind w:left="0" w:firstLine="709"/>
        <w:contextualSpacing/>
        <w:rPr>
          <w:sz w:val="28"/>
          <w:szCs w:val="28"/>
          <w:lang w:eastAsia="en-US"/>
        </w:rPr>
      </w:pPr>
      <w:r w:rsidRPr="0057664A">
        <w:rPr>
          <w:sz w:val="28"/>
          <w:szCs w:val="28"/>
          <w:lang w:eastAsia="en-US"/>
        </w:rPr>
        <w:t xml:space="preserve">При этом, население проживающее на близлежащих территориях, продолжает работать в </w:t>
      </w:r>
      <w:r w:rsidR="00100D23">
        <w:rPr>
          <w:sz w:val="28"/>
          <w:szCs w:val="28"/>
          <w:lang w:eastAsia="en-US"/>
        </w:rPr>
        <w:t xml:space="preserve">городском округе </w:t>
      </w:r>
      <w:r w:rsidRPr="0057664A">
        <w:rPr>
          <w:sz w:val="28"/>
          <w:szCs w:val="28"/>
          <w:lang w:eastAsia="en-US"/>
        </w:rPr>
        <w:t>Тольятти и активно пользоваться его инфраструктурой.</w:t>
      </w:r>
    </w:p>
    <w:p w14:paraId="28C73035" w14:textId="7B50A5DE" w:rsidR="0057664A" w:rsidRPr="0057664A" w:rsidRDefault="005C523D" w:rsidP="0057664A">
      <w:pPr>
        <w:keepNext/>
        <w:suppressAutoHyphens w:val="0"/>
        <w:spacing w:line="276" w:lineRule="auto"/>
        <w:rPr>
          <w:sz w:val="28"/>
          <w:szCs w:val="28"/>
          <w:lang w:eastAsia="en-US"/>
        </w:rPr>
      </w:pPr>
      <w:r w:rsidRPr="0057664A">
        <w:rPr>
          <w:sz w:val="28"/>
          <w:szCs w:val="28"/>
          <w:lang w:eastAsia="en-US"/>
        </w:rPr>
        <w:t xml:space="preserve">В текущем году в городском округе Тольятти, как и по Самарской области </w:t>
      </w:r>
      <w:r w:rsidR="00100D23">
        <w:rPr>
          <w:sz w:val="28"/>
          <w:szCs w:val="28"/>
          <w:lang w:eastAsia="en-US"/>
        </w:rPr>
        <w:t xml:space="preserve">в целом, </w:t>
      </w:r>
      <w:r w:rsidRPr="0057664A">
        <w:rPr>
          <w:sz w:val="28"/>
          <w:szCs w:val="28"/>
          <w:lang w:eastAsia="en-US"/>
        </w:rPr>
        <w:t>численность постоянного населения</w:t>
      </w:r>
      <w:r w:rsidR="0057664A" w:rsidRPr="0057664A">
        <w:rPr>
          <w:sz w:val="28"/>
          <w:szCs w:val="28"/>
          <w:lang w:eastAsia="en-US"/>
        </w:rPr>
        <w:t xml:space="preserve"> продолжает снижаться</w:t>
      </w:r>
      <w:r w:rsidRPr="0057664A">
        <w:rPr>
          <w:sz w:val="28"/>
          <w:szCs w:val="28"/>
          <w:lang w:eastAsia="en-US"/>
        </w:rPr>
        <w:t xml:space="preserve">. </w:t>
      </w:r>
    </w:p>
    <w:p w14:paraId="39A5065D" w14:textId="75150DCC" w:rsidR="00F2775C" w:rsidRPr="00F2775C" w:rsidRDefault="00F2775C" w:rsidP="00F2775C">
      <w:pPr>
        <w:tabs>
          <w:tab w:val="left" w:pos="8306"/>
        </w:tabs>
        <w:suppressAutoHyphens w:val="0"/>
        <w:snapToGrid w:val="0"/>
        <w:spacing w:line="276" w:lineRule="auto"/>
        <w:textAlignment w:val="top"/>
        <w:rPr>
          <w:rFonts w:eastAsia="Calibri"/>
          <w:bCs/>
          <w:sz w:val="28"/>
          <w:szCs w:val="28"/>
          <w:lang w:eastAsia="en-US"/>
        </w:rPr>
      </w:pPr>
      <w:r w:rsidRPr="00F2775C">
        <w:rPr>
          <w:rFonts w:eastAsia="Calibri"/>
          <w:bCs/>
          <w:sz w:val="28"/>
          <w:szCs w:val="28"/>
          <w:lang w:eastAsia="en-US"/>
        </w:rPr>
        <w:t xml:space="preserve">По состоянию на 01.07.2021 численность постоянного населения составила 689,7 тыс. человек. В городском округе Тольятти </w:t>
      </w:r>
      <w:r w:rsidR="00E52637">
        <w:rPr>
          <w:rFonts w:eastAsia="Calibri"/>
          <w:bCs/>
          <w:sz w:val="28"/>
          <w:szCs w:val="28"/>
          <w:lang w:eastAsia="en-US"/>
        </w:rPr>
        <w:t xml:space="preserve">в текущем году </w:t>
      </w:r>
      <w:r w:rsidRPr="00F2775C">
        <w:rPr>
          <w:rFonts w:eastAsia="Calibri"/>
          <w:bCs/>
          <w:sz w:val="28"/>
          <w:szCs w:val="28"/>
          <w:lang w:eastAsia="en-US"/>
        </w:rPr>
        <w:t xml:space="preserve">наблюдается незначительное увеличение количества родившихся - на 1,5% по сравнению с аналогичным периодом 2020 года до 2,7 тыс. человек (в России и Самарской области снижение данного показателя составило на 0,4% и 1,6% соответственно). Коэффициент рождаемости составил 7,9 промилле против 7,6 </w:t>
      </w:r>
      <w:r w:rsidR="00962775">
        <w:rPr>
          <w:rFonts w:eastAsia="Calibri"/>
          <w:bCs/>
          <w:sz w:val="28"/>
          <w:szCs w:val="28"/>
          <w:lang w:eastAsia="en-US"/>
        </w:rPr>
        <w:t xml:space="preserve">промилле </w:t>
      </w:r>
      <w:r w:rsidRPr="00F2775C">
        <w:rPr>
          <w:rFonts w:eastAsia="Calibri"/>
          <w:bCs/>
          <w:sz w:val="28"/>
          <w:szCs w:val="28"/>
          <w:lang w:eastAsia="en-US"/>
        </w:rPr>
        <w:t>за январь-июнь 2020 года.</w:t>
      </w:r>
    </w:p>
    <w:p w14:paraId="0AF1F18F" w14:textId="58D4A7E8" w:rsidR="00F2775C" w:rsidRPr="00F2775C" w:rsidRDefault="00F2775C" w:rsidP="00F2775C">
      <w:pPr>
        <w:tabs>
          <w:tab w:val="left" w:pos="8306"/>
        </w:tabs>
        <w:suppressAutoHyphens w:val="0"/>
        <w:snapToGrid w:val="0"/>
        <w:spacing w:line="276" w:lineRule="auto"/>
        <w:textAlignment w:val="top"/>
        <w:rPr>
          <w:rFonts w:eastAsia="Calibri"/>
          <w:bCs/>
          <w:sz w:val="28"/>
          <w:szCs w:val="28"/>
          <w:lang w:eastAsia="en-US"/>
        </w:rPr>
      </w:pPr>
      <w:r w:rsidRPr="00F2775C">
        <w:rPr>
          <w:rFonts w:eastAsia="Calibri"/>
          <w:bCs/>
          <w:sz w:val="28"/>
          <w:szCs w:val="28"/>
          <w:lang w:eastAsia="en-US"/>
        </w:rPr>
        <w:t>Количество умерших увеличилось на 13,7% и составило 5,0 тыс. человек, коэффициент смертности – 14,5 промилле (в январе–июне 2020 года – 12,6 промилле). В России и Самарской области рост данного показателя составил 16,2% и 17,6% соответственно.</w:t>
      </w:r>
    </w:p>
    <w:p w14:paraId="7ECCB145" w14:textId="394F1FF1" w:rsidR="00F2775C" w:rsidRDefault="00F2775C" w:rsidP="00F2775C">
      <w:pPr>
        <w:tabs>
          <w:tab w:val="left" w:pos="8306"/>
        </w:tabs>
        <w:suppressAutoHyphens w:val="0"/>
        <w:snapToGrid w:val="0"/>
        <w:spacing w:line="276" w:lineRule="auto"/>
        <w:textAlignment w:val="top"/>
        <w:rPr>
          <w:rFonts w:eastAsia="Calibri"/>
          <w:bCs/>
          <w:sz w:val="28"/>
          <w:szCs w:val="28"/>
          <w:lang w:eastAsia="en-US"/>
        </w:rPr>
      </w:pPr>
      <w:r w:rsidRPr="00F2775C">
        <w:rPr>
          <w:rFonts w:eastAsia="Calibri"/>
          <w:bCs/>
          <w:sz w:val="28"/>
          <w:szCs w:val="28"/>
          <w:lang w:eastAsia="en-US"/>
        </w:rPr>
        <w:t xml:space="preserve">В результате роста смертности, естественная убыль населения увеличилась в 1,3 раза и составила 2,3 тыс. человек. Общий коэффициент </w:t>
      </w:r>
      <w:r w:rsidRPr="00F2775C">
        <w:rPr>
          <w:rFonts w:eastAsia="Calibri"/>
          <w:bCs/>
          <w:sz w:val="28"/>
          <w:szCs w:val="28"/>
          <w:lang w:eastAsia="en-US"/>
        </w:rPr>
        <w:lastRenderedPageBreak/>
        <w:t>естественной убыли зафиксирован на уровне 6,6 промилле (за 6 месяцев предыдущего года -5,0 промилле).</w:t>
      </w:r>
    </w:p>
    <w:p w14:paraId="264917A2" w14:textId="2B8945A1" w:rsidR="00F2775C" w:rsidRPr="00F2775C" w:rsidRDefault="00F2775C" w:rsidP="00F2775C">
      <w:pPr>
        <w:spacing w:line="276" w:lineRule="auto"/>
        <w:rPr>
          <w:sz w:val="28"/>
          <w:szCs w:val="28"/>
          <w:lang w:eastAsia="ar-SA"/>
        </w:rPr>
      </w:pPr>
      <w:r w:rsidRPr="00F2775C">
        <w:rPr>
          <w:rFonts w:eastAsia="Calibri"/>
          <w:sz w:val="28"/>
          <w:szCs w:val="28"/>
          <w:lang w:eastAsia="ar-SA"/>
        </w:rPr>
        <w:t xml:space="preserve">При это, в рейтинге городских округов Самарской области за январь-июнь 2021 года городской округ Тольятти по </w:t>
      </w:r>
      <w:r w:rsidR="00E52637">
        <w:rPr>
          <w:rFonts w:eastAsia="Calibri"/>
          <w:sz w:val="28"/>
          <w:szCs w:val="28"/>
          <w:lang w:eastAsia="ar-SA"/>
        </w:rPr>
        <w:t xml:space="preserve">ситуации с </w:t>
      </w:r>
      <w:r w:rsidRPr="00F2775C">
        <w:rPr>
          <w:rFonts w:eastAsia="Calibri"/>
          <w:sz w:val="28"/>
          <w:szCs w:val="28"/>
          <w:lang w:eastAsia="ar-SA"/>
        </w:rPr>
        <w:t>естественной убыл</w:t>
      </w:r>
      <w:r w:rsidR="00E52637">
        <w:rPr>
          <w:rFonts w:eastAsia="Calibri"/>
          <w:sz w:val="28"/>
          <w:szCs w:val="28"/>
          <w:lang w:eastAsia="ar-SA"/>
        </w:rPr>
        <w:t>ью</w:t>
      </w:r>
      <w:r w:rsidRPr="00F2775C">
        <w:rPr>
          <w:rFonts w:eastAsia="Calibri"/>
          <w:sz w:val="28"/>
          <w:szCs w:val="28"/>
          <w:lang w:eastAsia="ar-SA"/>
        </w:rPr>
        <w:t xml:space="preserve"> населения</w:t>
      </w:r>
      <w:r w:rsidR="00E52637">
        <w:rPr>
          <w:rFonts w:eastAsia="Calibri"/>
          <w:sz w:val="28"/>
          <w:szCs w:val="28"/>
          <w:lang w:eastAsia="ar-SA"/>
        </w:rPr>
        <w:t xml:space="preserve">, </w:t>
      </w:r>
      <w:r w:rsidR="00E52637" w:rsidRPr="00F2775C">
        <w:rPr>
          <w:rFonts w:eastAsia="Calibri"/>
          <w:sz w:val="28"/>
          <w:szCs w:val="28"/>
          <w:lang w:eastAsia="ar-SA"/>
        </w:rPr>
        <w:t xml:space="preserve">как и </w:t>
      </w:r>
      <w:r w:rsidR="00E52637">
        <w:rPr>
          <w:rFonts w:eastAsia="Calibri"/>
          <w:sz w:val="28"/>
          <w:szCs w:val="28"/>
          <w:lang w:eastAsia="ar-SA"/>
        </w:rPr>
        <w:t>в 2020 году,</w:t>
      </w:r>
      <w:r w:rsidRPr="00F2775C">
        <w:rPr>
          <w:rFonts w:eastAsia="Calibri"/>
          <w:sz w:val="28"/>
          <w:szCs w:val="28"/>
          <w:lang w:eastAsia="ar-SA"/>
        </w:rPr>
        <w:t xml:space="preserve"> занял второе место</w:t>
      </w:r>
      <w:r>
        <w:rPr>
          <w:rFonts w:eastAsia="Calibri"/>
          <w:sz w:val="28"/>
          <w:szCs w:val="28"/>
          <w:lang w:eastAsia="ar-SA"/>
        </w:rPr>
        <w:t xml:space="preserve"> после г.</w:t>
      </w:r>
      <w:r w:rsidR="00505A89">
        <w:rPr>
          <w:rFonts w:eastAsia="Calibri"/>
          <w:sz w:val="28"/>
          <w:szCs w:val="28"/>
          <w:lang w:eastAsia="ar-SA"/>
        </w:rPr>
        <w:t>о.</w:t>
      </w:r>
      <w:r>
        <w:rPr>
          <w:rFonts w:eastAsia="Calibri"/>
          <w:sz w:val="28"/>
          <w:szCs w:val="28"/>
          <w:lang w:eastAsia="ar-SA"/>
        </w:rPr>
        <w:t xml:space="preserve"> Кинель</w:t>
      </w:r>
      <w:r w:rsidRPr="00F2775C">
        <w:rPr>
          <w:rFonts w:eastAsia="Calibri"/>
          <w:sz w:val="28"/>
          <w:szCs w:val="28"/>
          <w:lang w:eastAsia="ar-SA"/>
        </w:rPr>
        <w:t xml:space="preserve">, </w:t>
      </w:r>
      <w:r>
        <w:rPr>
          <w:rFonts w:eastAsia="Calibri"/>
          <w:sz w:val="28"/>
          <w:szCs w:val="28"/>
          <w:lang w:eastAsia="ar-SA"/>
        </w:rPr>
        <w:t xml:space="preserve">(г.о. Самара </w:t>
      </w:r>
      <w:r w:rsidR="00505A89">
        <w:rPr>
          <w:rFonts w:eastAsia="Calibri"/>
          <w:sz w:val="28"/>
          <w:szCs w:val="28"/>
          <w:lang w:eastAsia="ar-SA"/>
        </w:rPr>
        <w:t>– 7,3 промилле – 3 место)</w:t>
      </w:r>
      <w:r w:rsidRPr="00F2775C">
        <w:rPr>
          <w:rFonts w:eastAsia="Calibri"/>
          <w:sz w:val="28"/>
          <w:szCs w:val="28"/>
          <w:lang w:eastAsia="ar-SA"/>
        </w:rPr>
        <w:t>.</w:t>
      </w:r>
    </w:p>
    <w:p w14:paraId="0DB9985C" w14:textId="4C410C9A" w:rsidR="00F2775C" w:rsidRPr="00F2775C" w:rsidRDefault="00F2775C" w:rsidP="00F2775C">
      <w:pPr>
        <w:tabs>
          <w:tab w:val="left" w:pos="8306"/>
        </w:tabs>
        <w:suppressAutoHyphens w:val="0"/>
        <w:snapToGrid w:val="0"/>
        <w:spacing w:line="276" w:lineRule="auto"/>
        <w:textAlignment w:val="top"/>
        <w:rPr>
          <w:rFonts w:eastAsia="Calibri"/>
          <w:bCs/>
          <w:sz w:val="28"/>
          <w:szCs w:val="28"/>
          <w:lang w:eastAsia="en-US"/>
        </w:rPr>
      </w:pPr>
      <w:r w:rsidRPr="00F2775C">
        <w:rPr>
          <w:rFonts w:eastAsia="Calibri"/>
          <w:bCs/>
          <w:sz w:val="28"/>
          <w:szCs w:val="28"/>
          <w:lang w:eastAsia="en-US"/>
        </w:rPr>
        <w:t>Миграционный отток населения увеличился относительно аналогичного периода предыдущего года в 2,9 раза и составил 1,1 тыс. человек.</w:t>
      </w:r>
    </w:p>
    <w:p w14:paraId="727B8935" w14:textId="16B531B6" w:rsidR="00E72F82" w:rsidRDefault="00E72F82" w:rsidP="00E72F82">
      <w:pPr>
        <w:spacing w:line="276" w:lineRule="auto"/>
        <w:rPr>
          <w:sz w:val="28"/>
          <w:szCs w:val="28"/>
        </w:rPr>
      </w:pPr>
      <w:r w:rsidRPr="00F2775C">
        <w:rPr>
          <w:sz w:val="28"/>
          <w:szCs w:val="28"/>
        </w:rPr>
        <w:t>Общая характеристика воспроизводства населения городского округа Тольятти приведена в таблице:</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134"/>
        <w:gridCol w:w="992"/>
        <w:gridCol w:w="1418"/>
        <w:gridCol w:w="1276"/>
        <w:gridCol w:w="1134"/>
        <w:gridCol w:w="992"/>
      </w:tblGrid>
      <w:tr w:rsidR="00F2775C" w:rsidRPr="00F2775C" w14:paraId="27FF468B" w14:textId="77777777" w:rsidTr="009278E9">
        <w:trPr>
          <w:cantSplit/>
          <w:trHeight w:val="845"/>
        </w:trPr>
        <w:tc>
          <w:tcPr>
            <w:tcW w:w="2410" w:type="dxa"/>
            <w:vMerge w:val="restart"/>
            <w:tcBorders>
              <w:top w:val="single" w:sz="4" w:space="0" w:color="auto"/>
              <w:right w:val="single" w:sz="4" w:space="0" w:color="auto"/>
            </w:tcBorders>
            <w:vAlign w:val="center"/>
          </w:tcPr>
          <w:p w14:paraId="106806B7" w14:textId="77777777" w:rsidR="00F2775C" w:rsidRPr="00F2775C" w:rsidRDefault="00F2775C" w:rsidP="00F2775C">
            <w:pPr>
              <w:keepNext/>
              <w:keepLines/>
              <w:widowControl w:val="0"/>
              <w:spacing w:line="276" w:lineRule="auto"/>
              <w:ind w:hanging="108"/>
              <w:jc w:val="center"/>
              <w:rPr>
                <w:bCs/>
                <w:szCs w:val="24"/>
              </w:rPr>
            </w:pPr>
            <w:r w:rsidRPr="00F2775C">
              <w:rPr>
                <w:bCs/>
                <w:szCs w:val="24"/>
              </w:rPr>
              <w:t>Показатель</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1D64A97" w14:textId="77777777" w:rsidR="00F2775C" w:rsidRPr="00F2775C" w:rsidRDefault="00F2775C" w:rsidP="00F2775C">
            <w:pPr>
              <w:keepNext/>
              <w:keepLines/>
              <w:widowControl w:val="0"/>
              <w:spacing w:line="276" w:lineRule="auto"/>
              <w:ind w:firstLine="0"/>
              <w:jc w:val="center"/>
              <w:rPr>
                <w:bCs/>
                <w:szCs w:val="24"/>
              </w:rPr>
            </w:pPr>
            <w:r w:rsidRPr="00F2775C">
              <w:rPr>
                <w:bCs/>
                <w:szCs w:val="24"/>
              </w:rPr>
              <w:t>Январь-июнь, чел.</w:t>
            </w:r>
          </w:p>
        </w:tc>
        <w:tc>
          <w:tcPr>
            <w:tcW w:w="1418" w:type="dxa"/>
            <w:vMerge w:val="restart"/>
            <w:tcBorders>
              <w:top w:val="single" w:sz="4" w:space="0" w:color="auto"/>
              <w:left w:val="single" w:sz="4" w:space="0" w:color="auto"/>
              <w:right w:val="single" w:sz="4" w:space="0" w:color="auto"/>
            </w:tcBorders>
            <w:vAlign w:val="center"/>
          </w:tcPr>
          <w:p w14:paraId="14F82780" w14:textId="77777777" w:rsidR="00F2775C" w:rsidRPr="00F2775C" w:rsidRDefault="00F2775C" w:rsidP="00F2775C">
            <w:pPr>
              <w:keepNext/>
              <w:keepLines/>
              <w:widowControl w:val="0"/>
              <w:spacing w:line="276" w:lineRule="auto"/>
              <w:ind w:firstLine="0"/>
              <w:jc w:val="center"/>
              <w:rPr>
                <w:bCs/>
                <w:szCs w:val="24"/>
              </w:rPr>
            </w:pPr>
            <w:r w:rsidRPr="00F2775C">
              <w:rPr>
                <w:bCs/>
                <w:szCs w:val="24"/>
              </w:rPr>
              <w:t>Прирост (+), снижение</w:t>
            </w:r>
          </w:p>
          <w:p w14:paraId="0F10062A" w14:textId="77777777" w:rsidR="00F2775C" w:rsidRPr="00F2775C" w:rsidRDefault="00F2775C" w:rsidP="00F2775C">
            <w:pPr>
              <w:keepNext/>
              <w:keepLines/>
              <w:widowControl w:val="0"/>
              <w:spacing w:line="276" w:lineRule="auto"/>
              <w:ind w:firstLine="0"/>
              <w:jc w:val="center"/>
              <w:rPr>
                <w:b/>
                <w:bCs/>
                <w:szCs w:val="24"/>
              </w:rPr>
            </w:pPr>
            <w:r w:rsidRPr="00F2775C">
              <w:rPr>
                <w:bCs/>
                <w:szCs w:val="24"/>
              </w:rPr>
              <w:t>(-), чел.</w:t>
            </w:r>
          </w:p>
        </w:tc>
        <w:tc>
          <w:tcPr>
            <w:tcW w:w="1276" w:type="dxa"/>
            <w:vMerge w:val="restart"/>
            <w:tcBorders>
              <w:top w:val="single" w:sz="4" w:space="0" w:color="auto"/>
              <w:left w:val="single" w:sz="4" w:space="0" w:color="auto"/>
              <w:right w:val="single" w:sz="4" w:space="0" w:color="auto"/>
            </w:tcBorders>
            <w:vAlign w:val="center"/>
          </w:tcPr>
          <w:p w14:paraId="74C92743" w14:textId="77777777" w:rsidR="00F2775C" w:rsidRPr="00F2775C" w:rsidRDefault="00F2775C" w:rsidP="00F2775C">
            <w:pPr>
              <w:keepNext/>
              <w:keepLines/>
              <w:widowControl w:val="0"/>
              <w:spacing w:line="276" w:lineRule="auto"/>
              <w:ind w:firstLine="0"/>
              <w:jc w:val="center"/>
              <w:rPr>
                <w:bCs/>
                <w:szCs w:val="24"/>
              </w:rPr>
            </w:pPr>
            <w:r w:rsidRPr="00F2775C">
              <w:rPr>
                <w:bCs/>
                <w:szCs w:val="24"/>
              </w:rPr>
              <w:t>Темп роста, %</w:t>
            </w:r>
          </w:p>
        </w:tc>
        <w:tc>
          <w:tcPr>
            <w:tcW w:w="2126" w:type="dxa"/>
            <w:gridSpan w:val="2"/>
            <w:tcBorders>
              <w:top w:val="single" w:sz="4" w:space="0" w:color="auto"/>
              <w:left w:val="single" w:sz="4" w:space="0" w:color="auto"/>
              <w:bottom w:val="single" w:sz="4" w:space="0" w:color="auto"/>
            </w:tcBorders>
            <w:vAlign w:val="center"/>
          </w:tcPr>
          <w:p w14:paraId="63F42368" w14:textId="77777777" w:rsidR="00F2775C" w:rsidRPr="00F2775C" w:rsidRDefault="00F2775C" w:rsidP="00F2775C">
            <w:pPr>
              <w:keepNext/>
              <w:keepLines/>
              <w:widowControl w:val="0"/>
              <w:spacing w:line="276" w:lineRule="auto"/>
              <w:ind w:firstLine="0"/>
              <w:jc w:val="center"/>
              <w:rPr>
                <w:b/>
                <w:bCs/>
                <w:szCs w:val="24"/>
              </w:rPr>
            </w:pPr>
            <w:r w:rsidRPr="00F2775C">
              <w:rPr>
                <w:bCs/>
                <w:szCs w:val="24"/>
              </w:rPr>
              <w:t xml:space="preserve">Январь-июнь на </w:t>
            </w:r>
            <w:r w:rsidRPr="00F2775C">
              <w:rPr>
                <w:szCs w:val="24"/>
              </w:rPr>
              <w:t>1000 человек населения</w:t>
            </w:r>
          </w:p>
        </w:tc>
      </w:tr>
      <w:tr w:rsidR="00F2775C" w:rsidRPr="00F2775C" w14:paraId="1A6814AB" w14:textId="77777777" w:rsidTr="009278E9">
        <w:trPr>
          <w:cantSplit/>
        </w:trPr>
        <w:tc>
          <w:tcPr>
            <w:tcW w:w="2410" w:type="dxa"/>
            <w:vMerge/>
            <w:tcBorders>
              <w:bottom w:val="single" w:sz="4" w:space="0" w:color="auto"/>
              <w:right w:val="single" w:sz="4" w:space="0" w:color="auto"/>
            </w:tcBorders>
            <w:vAlign w:val="center"/>
          </w:tcPr>
          <w:p w14:paraId="0741FC58" w14:textId="77777777" w:rsidR="00F2775C" w:rsidRPr="00F2775C" w:rsidRDefault="00F2775C" w:rsidP="00F2775C">
            <w:pPr>
              <w:widowControl w:val="0"/>
              <w:spacing w:line="276" w:lineRule="auto"/>
              <w:jc w:val="center"/>
              <w:rPr>
                <w:b/>
                <w:i/>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97A7824" w14:textId="77777777" w:rsidR="00F2775C" w:rsidRPr="00F2775C" w:rsidRDefault="00F2775C" w:rsidP="00F2775C">
            <w:pPr>
              <w:widowControl w:val="0"/>
              <w:spacing w:line="276" w:lineRule="auto"/>
              <w:ind w:firstLine="0"/>
              <w:jc w:val="center"/>
              <w:rPr>
                <w:szCs w:val="24"/>
              </w:rPr>
            </w:pPr>
            <w:r w:rsidRPr="00F2775C">
              <w:rPr>
                <w:szCs w:val="24"/>
              </w:rPr>
              <w:t>2020 г.</w:t>
            </w:r>
          </w:p>
        </w:tc>
        <w:tc>
          <w:tcPr>
            <w:tcW w:w="992" w:type="dxa"/>
            <w:tcBorders>
              <w:top w:val="single" w:sz="4" w:space="0" w:color="auto"/>
              <w:left w:val="single" w:sz="4" w:space="0" w:color="auto"/>
              <w:bottom w:val="single" w:sz="4" w:space="0" w:color="auto"/>
              <w:right w:val="single" w:sz="4" w:space="0" w:color="auto"/>
            </w:tcBorders>
            <w:vAlign w:val="center"/>
          </w:tcPr>
          <w:p w14:paraId="3A5FAB16" w14:textId="77777777" w:rsidR="00F2775C" w:rsidRPr="00F2775C" w:rsidRDefault="00F2775C" w:rsidP="00F2775C">
            <w:pPr>
              <w:widowControl w:val="0"/>
              <w:spacing w:line="276" w:lineRule="auto"/>
              <w:ind w:firstLine="0"/>
              <w:jc w:val="center"/>
              <w:rPr>
                <w:szCs w:val="24"/>
              </w:rPr>
            </w:pPr>
            <w:r w:rsidRPr="00F2775C">
              <w:rPr>
                <w:szCs w:val="24"/>
              </w:rPr>
              <w:t>2021 г.</w:t>
            </w:r>
          </w:p>
        </w:tc>
        <w:tc>
          <w:tcPr>
            <w:tcW w:w="1418" w:type="dxa"/>
            <w:vMerge/>
            <w:tcBorders>
              <w:left w:val="single" w:sz="4" w:space="0" w:color="auto"/>
              <w:bottom w:val="single" w:sz="4" w:space="0" w:color="auto"/>
              <w:right w:val="single" w:sz="4" w:space="0" w:color="auto"/>
            </w:tcBorders>
            <w:vAlign w:val="center"/>
          </w:tcPr>
          <w:p w14:paraId="033332B4" w14:textId="77777777" w:rsidR="00F2775C" w:rsidRPr="00F2775C" w:rsidRDefault="00F2775C" w:rsidP="00F2775C">
            <w:pPr>
              <w:widowControl w:val="0"/>
              <w:spacing w:line="276" w:lineRule="auto"/>
              <w:jc w:val="center"/>
              <w:rPr>
                <w:szCs w:val="24"/>
              </w:rPr>
            </w:pPr>
          </w:p>
        </w:tc>
        <w:tc>
          <w:tcPr>
            <w:tcW w:w="1276" w:type="dxa"/>
            <w:vMerge/>
            <w:tcBorders>
              <w:left w:val="single" w:sz="4" w:space="0" w:color="auto"/>
              <w:bottom w:val="single" w:sz="4" w:space="0" w:color="auto"/>
              <w:right w:val="single" w:sz="4" w:space="0" w:color="auto"/>
            </w:tcBorders>
            <w:vAlign w:val="center"/>
          </w:tcPr>
          <w:p w14:paraId="5E2CD059" w14:textId="77777777" w:rsidR="00F2775C" w:rsidRPr="00F2775C" w:rsidRDefault="00F2775C" w:rsidP="00F2775C">
            <w:pPr>
              <w:widowControl w:val="0"/>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841BF92" w14:textId="77777777" w:rsidR="00F2775C" w:rsidRPr="00F2775C" w:rsidRDefault="00F2775C" w:rsidP="00F2775C">
            <w:pPr>
              <w:widowControl w:val="0"/>
              <w:spacing w:line="276" w:lineRule="auto"/>
              <w:ind w:firstLine="0"/>
              <w:jc w:val="center"/>
              <w:rPr>
                <w:szCs w:val="24"/>
              </w:rPr>
            </w:pPr>
            <w:r w:rsidRPr="00F2775C">
              <w:rPr>
                <w:szCs w:val="24"/>
              </w:rPr>
              <w:t>2020 г.</w:t>
            </w:r>
          </w:p>
        </w:tc>
        <w:tc>
          <w:tcPr>
            <w:tcW w:w="992" w:type="dxa"/>
            <w:tcBorders>
              <w:top w:val="single" w:sz="4" w:space="0" w:color="auto"/>
              <w:left w:val="single" w:sz="4" w:space="0" w:color="auto"/>
              <w:bottom w:val="single" w:sz="4" w:space="0" w:color="auto"/>
            </w:tcBorders>
            <w:vAlign w:val="center"/>
          </w:tcPr>
          <w:p w14:paraId="0D5F41B2" w14:textId="77777777" w:rsidR="00F2775C" w:rsidRPr="00F2775C" w:rsidRDefault="00F2775C" w:rsidP="00F2775C">
            <w:pPr>
              <w:widowControl w:val="0"/>
              <w:spacing w:line="276" w:lineRule="auto"/>
              <w:ind w:firstLine="0"/>
              <w:jc w:val="center"/>
              <w:rPr>
                <w:szCs w:val="24"/>
              </w:rPr>
            </w:pPr>
            <w:r w:rsidRPr="00F2775C">
              <w:rPr>
                <w:szCs w:val="24"/>
              </w:rPr>
              <w:t>2021 г.</w:t>
            </w:r>
          </w:p>
        </w:tc>
      </w:tr>
      <w:tr w:rsidR="00F2775C" w:rsidRPr="00F2775C" w14:paraId="09C984CA" w14:textId="77777777" w:rsidTr="009278E9">
        <w:tc>
          <w:tcPr>
            <w:tcW w:w="2410" w:type="dxa"/>
            <w:tcBorders>
              <w:top w:val="single" w:sz="4" w:space="0" w:color="auto"/>
              <w:bottom w:val="single" w:sz="4" w:space="0" w:color="auto"/>
              <w:right w:val="single" w:sz="4" w:space="0" w:color="auto"/>
            </w:tcBorders>
            <w:vAlign w:val="center"/>
          </w:tcPr>
          <w:p w14:paraId="25EDB725" w14:textId="77777777" w:rsidR="00F2775C" w:rsidRPr="006522BE" w:rsidRDefault="00F2775C" w:rsidP="00F2775C">
            <w:pPr>
              <w:widowControl w:val="0"/>
              <w:spacing w:line="276" w:lineRule="auto"/>
              <w:ind w:firstLine="0"/>
              <w:jc w:val="left"/>
              <w:rPr>
                <w:bCs/>
                <w:sz w:val="28"/>
                <w:szCs w:val="28"/>
              </w:rPr>
            </w:pPr>
            <w:r w:rsidRPr="006522BE">
              <w:rPr>
                <w:bCs/>
                <w:sz w:val="28"/>
                <w:szCs w:val="28"/>
              </w:rPr>
              <w:t>Родившихся</w:t>
            </w:r>
          </w:p>
        </w:tc>
        <w:tc>
          <w:tcPr>
            <w:tcW w:w="1134" w:type="dxa"/>
            <w:tcBorders>
              <w:top w:val="single" w:sz="4" w:space="0" w:color="auto"/>
              <w:left w:val="single" w:sz="4" w:space="0" w:color="auto"/>
              <w:bottom w:val="single" w:sz="4" w:space="0" w:color="auto"/>
              <w:right w:val="single" w:sz="4" w:space="0" w:color="auto"/>
            </w:tcBorders>
            <w:vAlign w:val="bottom"/>
          </w:tcPr>
          <w:p w14:paraId="2B97C3CF" w14:textId="77777777" w:rsidR="00F2775C" w:rsidRPr="006522BE" w:rsidRDefault="00F2775C" w:rsidP="00F2775C">
            <w:pPr>
              <w:widowControl w:val="0"/>
              <w:spacing w:line="276" w:lineRule="auto"/>
              <w:ind w:firstLine="0"/>
              <w:jc w:val="center"/>
              <w:rPr>
                <w:sz w:val="28"/>
                <w:szCs w:val="28"/>
              </w:rPr>
            </w:pPr>
            <w:r w:rsidRPr="006522BE">
              <w:rPr>
                <w:sz w:val="28"/>
                <w:szCs w:val="28"/>
              </w:rPr>
              <w:t>2653</w:t>
            </w:r>
          </w:p>
        </w:tc>
        <w:tc>
          <w:tcPr>
            <w:tcW w:w="992" w:type="dxa"/>
            <w:tcBorders>
              <w:top w:val="single" w:sz="4" w:space="0" w:color="auto"/>
              <w:left w:val="single" w:sz="4" w:space="0" w:color="auto"/>
              <w:bottom w:val="single" w:sz="4" w:space="0" w:color="auto"/>
              <w:right w:val="single" w:sz="4" w:space="0" w:color="auto"/>
            </w:tcBorders>
            <w:vAlign w:val="bottom"/>
          </w:tcPr>
          <w:p w14:paraId="783FACF8" w14:textId="77777777" w:rsidR="00F2775C" w:rsidRPr="006522BE" w:rsidRDefault="00F2775C" w:rsidP="00F2775C">
            <w:pPr>
              <w:widowControl w:val="0"/>
              <w:spacing w:line="276" w:lineRule="auto"/>
              <w:ind w:firstLine="0"/>
              <w:jc w:val="center"/>
              <w:rPr>
                <w:sz w:val="28"/>
                <w:szCs w:val="28"/>
              </w:rPr>
            </w:pPr>
            <w:r w:rsidRPr="006522BE">
              <w:rPr>
                <w:sz w:val="28"/>
                <w:szCs w:val="28"/>
              </w:rPr>
              <w:t>2694</w:t>
            </w:r>
          </w:p>
        </w:tc>
        <w:tc>
          <w:tcPr>
            <w:tcW w:w="1418" w:type="dxa"/>
            <w:tcBorders>
              <w:top w:val="single" w:sz="4" w:space="0" w:color="auto"/>
              <w:left w:val="single" w:sz="4" w:space="0" w:color="auto"/>
              <w:bottom w:val="single" w:sz="4" w:space="0" w:color="auto"/>
              <w:right w:val="single" w:sz="4" w:space="0" w:color="auto"/>
            </w:tcBorders>
            <w:vAlign w:val="bottom"/>
          </w:tcPr>
          <w:p w14:paraId="3DDB9EF4" w14:textId="77777777" w:rsidR="00F2775C" w:rsidRPr="006522BE" w:rsidRDefault="00F2775C" w:rsidP="00F2775C">
            <w:pPr>
              <w:widowControl w:val="0"/>
              <w:spacing w:line="276" w:lineRule="auto"/>
              <w:ind w:firstLine="0"/>
              <w:jc w:val="center"/>
              <w:rPr>
                <w:sz w:val="28"/>
                <w:szCs w:val="28"/>
              </w:rPr>
            </w:pPr>
            <w:r w:rsidRPr="006522BE">
              <w:rPr>
                <w:sz w:val="28"/>
                <w:szCs w:val="28"/>
              </w:rPr>
              <w:t>41</w:t>
            </w:r>
          </w:p>
        </w:tc>
        <w:tc>
          <w:tcPr>
            <w:tcW w:w="1276" w:type="dxa"/>
            <w:tcBorders>
              <w:top w:val="single" w:sz="4" w:space="0" w:color="auto"/>
              <w:left w:val="single" w:sz="4" w:space="0" w:color="auto"/>
              <w:bottom w:val="single" w:sz="4" w:space="0" w:color="auto"/>
              <w:right w:val="single" w:sz="4" w:space="0" w:color="auto"/>
            </w:tcBorders>
            <w:vAlign w:val="bottom"/>
          </w:tcPr>
          <w:p w14:paraId="2D6DD008" w14:textId="77777777" w:rsidR="00F2775C" w:rsidRPr="006522BE" w:rsidRDefault="00F2775C" w:rsidP="00F2775C">
            <w:pPr>
              <w:widowControl w:val="0"/>
              <w:spacing w:line="276" w:lineRule="auto"/>
              <w:ind w:firstLine="0"/>
              <w:jc w:val="center"/>
              <w:rPr>
                <w:sz w:val="28"/>
                <w:szCs w:val="28"/>
              </w:rPr>
            </w:pPr>
            <w:r w:rsidRPr="006522BE">
              <w:rPr>
                <w:sz w:val="28"/>
                <w:szCs w:val="28"/>
              </w:rPr>
              <w:t>101,5</w:t>
            </w:r>
          </w:p>
        </w:tc>
        <w:tc>
          <w:tcPr>
            <w:tcW w:w="1134" w:type="dxa"/>
            <w:tcBorders>
              <w:top w:val="single" w:sz="4" w:space="0" w:color="auto"/>
              <w:left w:val="single" w:sz="4" w:space="0" w:color="auto"/>
              <w:bottom w:val="single" w:sz="4" w:space="0" w:color="auto"/>
              <w:right w:val="single" w:sz="4" w:space="0" w:color="auto"/>
            </w:tcBorders>
            <w:vAlign w:val="bottom"/>
          </w:tcPr>
          <w:p w14:paraId="68D29121" w14:textId="77777777" w:rsidR="00F2775C" w:rsidRPr="006522BE" w:rsidRDefault="00F2775C" w:rsidP="00F2775C">
            <w:pPr>
              <w:widowControl w:val="0"/>
              <w:spacing w:line="276" w:lineRule="auto"/>
              <w:ind w:firstLine="0"/>
              <w:jc w:val="center"/>
              <w:rPr>
                <w:sz w:val="28"/>
                <w:szCs w:val="28"/>
              </w:rPr>
            </w:pPr>
            <w:r w:rsidRPr="006522BE">
              <w:rPr>
                <w:sz w:val="28"/>
                <w:szCs w:val="28"/>
              </w:rPr>
              <w:t>7,6</w:t>
            </w:r>
          </w:p>
        </w:tc>
        <w:tc>
          <w:tcPr>
            <w:tcW w:w="992" w:type="dxa"/>
            <w:tcBorders>
              <w:top w:val="single" w:sz="4" w:space="0" w:color="auto"/>
              <w:left w:val="single" w:sz="4" w:space="0" w:color="auto"/>
              <w:bottom w:val="single" w:sz="4" w:space="0" w:color="auto"/>
            </w:tcBorders>
            <w:vAlign w:val="bottom"/>
          </w:tcPr>
          <w:p w14:paraId="7116911A" w14:textId="77777777" w:rsidR="00F2775C" w:rsidRPr="006522BE" w:rsidRDefault="00F2775C" w:rsidP="00F2775C">
            <w:pPr>
              <w:widowControl w:val="0"/>
              <w:spacing w:line="276" w:lineRule="auto"/>
              <w:ind w:firstLine="0"/>
              <w:jc w:val="center"/>
              <w:rPr>
                <w:sz w:val="28"/>
                <w:szCs w:val="28"/>
              </w:rPr>
            </w:pPr>
            <w:r w:rsidRPr="006522BE">
              <w:rPr>
                <w:sz w:val="28"/>
                <w:szCs w:val="28"/>
              </w:rPr>
              <w:t>7,9</w:t>
            </w:r>
          </w:p>
        </w:tc>
      </w:tr>
      <w:tr w:rsidR="00F2775C" w:rsidRPr="00F2775C" w14:paraId="3A3F6F13" w14:textId="77777777" w:rsidTr="009278E9">
        <w:trPr>
          <w:trHeight w:val="357"/>
        </w:trPr>
        <w:tc>
          <w:tcPr>
            <w:tcW w:w="2410" w:type="dxa"/>
            <w:tcBorders>
              <w:top w:val="single" w:sz="4" w:space="0" w:color="auto"/>
              <w:bottom w:val="single" w:sz="4" w:space="0" w:color="auto"/>
              <w:right w:val="single" w:sz="4" w:space="0" w:color="auto"/>
            </w:tcBorders>
            <w:vAlign w:val="center"/>
          </w:tcPr>
          <w:p w14:paraId="12F7F40E" w14:textId="77777777" w:rsidR="00F2775C" w:rsidRPr="006522BE" w:rsidRDefault="00F2775C" w:rsidP="00F2775C">
            <w:pPr>
              <w:widowControl w:val="0"/>
              <w:spacing w:line="276" w:lineRule="auto"/>
              <w:ind w:firstLine="0"/>
              <w:jc w:val="left"/>
              <w:rPr>
                <w:bCs/>
                <w:sz w:val="28"/>
                <w:szCs w:val="28"/>
              </w:rPr>
            </w:pPr>
            <w:r w:rsidRPr="006522BE">
              <w:rPr>
                <w:bCs/>
                <w:sz w:val="28"/>
                <w:szCs w:val="28"/>
              </w:rPr>
              <w:t>Умерших</w:t>
            </w:r>
          </w:p>
        </w:tc>
        <w:tc>
          <w:tcPr>
            <w:tcW w:w="1134" w:type="dxa"/>
            <w:tcBorders>
              <w:top w:val="single" w:sz="4" w:space="0" w:color="auto"/>
              <w:left w:val="single" w:sz="4" w:space="0" w:color="auto"/>
              <w:bottom w:val="single" w:sz="4" w:space="0" w:color="auto"/>
              <w:right w:val="single" w:sz="4" w:space="0" w:color="auto"/>
            </w:tcBorders>
            <w:vAlign w:val="bottom"/>
          </w:tcPr>
          <w:p w14:paraId="4D5A792E" w14:textId="77777777" w:rsidR="00F2775C" w:rsidRPr="006522BE" w:rsidRDefault="00F2775C" w:rsidP="00F2775C">
            <w:pPr>
              <w:widowControl w:val="0"/>
              <w:spacing w:line="276" w:lineRule="auto"/>
              <w:ind w:firstLine="0"/>
              <w:jc w:val="center"/>
              <w:rPr>
                <w:sz w:val="28"/>
                <w:szCs w:val="28"/>
              </w:rPr>
            </w:pPr>
            <w:r w:rsidRPr="006522BE">
              <w:rPr>
                <w:sz w:val="28"/>
                <w:szCs w:val="28"/>
              </w:rPr>
              <w:t>4388</w:t>
            </w:r>
          </w:p>
        </w:tc>
        <w:tc>
          <w:tcPr>
            <w:tcW w:w="992" w:type="dxa"/>
            <w:tcBorders>
              <w:top w:val="single" w:sz="4" w:space="0" w:color="auto"/>
              <w:left w:val="single" w:sz="4" w:space="0" w:color="auto"/>
              <w:bottom w:val="single" w:sz="4" w:space="0" w:color="auto"/>
              <w:right w:val="single" w:sz="4" w:space="0" w:color="auto"/>
            </w:tcBorders>
            <w:vAlign w:val="bottom"/>
          </w:tcPr>
          <w:p w14:paraId="22E7A71D" w14:textId="77777777" w:rsidR="00F2775C" w:rsidRPr="006522BE" w:rsidRDefault="00F2775C" w:rsidP="00F2775C">
            <w:pPr>
              <w:widowControl w:val="0"/>
              <w:spacing w:line="276" w:lineRule="auto"/>
              <w:ind w:firstLine="0"/>
              <w:jc w:val="center"/>
              <w:rPr>
                <w:sz w:val="28"/>
                <w:szCs w:val="28"/>
              </w:rPr>
            </w:pPr>
            <w:r w:rsidRPr="006522BE">
              <w:rPr>
                <w:sz w:val="28"/>
                <w:szCs w:val="28"/>
              </w:rPr>
              <w:t>4991</w:t>
            </w:r>
          </w:p>
        </w:tc>
        <w:tc>
          <w:tcPr>
            <w:tcW w:w="1418" w:type="dxa"/>
            <w:tcBorders>
              <w:top w:val="single" w:sz="4" w:space="0" w:color="auto"/>
              <w:left w:val="single" w:sz="4" w:space="0" w:color="auto"/>
              <w:bottom w:val="single" w:sz="4" w:space="0" w:color="auto"/>
              <w:right w:val="single" w:sz="4" w:space="0" w:color="auto"/>
            </w:tcBorders>
            <w:vAlign w:val="bottom"/>
          </w:tcPr>
          <w:p w14:paraId="2C02CF5D" w14:textId="77777777" w:rsidR="00F2775C" w:rsidRPr="006522BE" w:rsidRDefault="00F2775C" w:rsidP="00F2775C">
            <w:pPr>
              <w:widowControl w:val="0"/>
              <w:spacing w:line="276" w:lineRule="auto"/>
              <w:ind w:firstLine="0"/>
              <w:jc w:val="center"/>
              <w:rPr>
                <w:sz w:val="28"/>
                <w:szCs w:val="28"/>
              </w:rPr>
            </w:pPr>
            <w:r w:rsidRPr="006522BE">
              <w:rPr>
                <w:sz w:val="28"/>
                <w:szCs w:val="28"/>
              </w:rPr>
              <w:t>603</w:t>
            </w:r>
          </w:p>
        </w:tc>
        <w:tc>
          <w:tcPr>
            <w:tcW w:w="1276" w:type="dxa"/>
            <w:tcBorders>
              <w:top w:val="single" w:sz="4" w:space="0" w:color="auto"/>
              <w:left w:val="single" w:sz="4" w:space="0" w:color="auto"/>
              <w:bottom w:val="single" w:sz="4" w:space="0" w:color="auto"/>
              <w:right w:val="single" w:sz="4" w:space="0" w:color="auto"/>
            </w:tcBorders>
            <w:vAlign w:val="bottom"/>
          </w:tcPr>
          <w:p w14:paraId="02D9F5BC" w14:textId="77777777" w:rsidR="00F2775C" w:rsidRPr="006522BE" w:rsidRDefault="00F2775C" w:rsidP="00F2775C">
            <w:pPr>
              <w:widowControl w:val="0"/>
              <w:spacing w:line="276" w:lineRule="auto"/>
              <w:ind w:firstLine="0"/>
              <w:jc w:val="center"/>
              <w:rPr>
                <w:sz w:val="28"/>
                <w:szCs w:val="28"/>
              </w:rPr>
            </w:pPr>
            <w:r w:rsidRPr="006522BE">
              <w:rPr>
                <w:sz w:val="28"/>
                <w:szCs w:val="28"/>
              </w:rPr>
              <w:t>113,7</w:t>
            </w:r>
          </w:p>
        </w:tc>
        <w:tc>
          <w:tcPr>
            <w:tcW w:w="1134" w:type="dxa"/>
            <w:tcBorders>
              <w:top w:val="single" w:sz="4" w:space="0" w:color="auto"/>
              <w:left w:val="single" w:sz="4" w:space="0" w:color="auto"/>
              <w:bottom w:val="single" w:sz="4" w:space="0" w:color="auto"/>
              <w:right w:val="single" w:sz="4" w:space="0" w:color="auto"/>
            </w:tcBorders>
            <w:vAlign w:val="bottom"/>
          </w:tcPr>
          <w:p w14:paraId="7EB4E3B1" w14:textId="77777777" w:rsidR="00F2775C" w:rsidRPr="006522BE" w:rsidRDefault="00F2775C" w:rsidP="006522BE">
            <w:pPr>
              <w:widowControl w:val="0"/>
              <w:spacing w:line="276" w:lineRule="auto"/>
              <w:ind w:firstLine="0"/>
              <w:jc w:val="center"/>
              <w:rPr>
                <w:sz w:val="28"/>
                <w:szCs w:val="28"/>
              </w:rPr>
            </w:pPr>
            <w:r w:rsidRPr="006522BE">
              <w:rPr>
                <w:sz w:val="28"/>
                <w:szCs w:val="28"/>
              </w:rPr>
              <w:t>12,6</w:t>
            </w:r>
          </w:p>
        </w:tc>
        <w:tc>
          <w:tcPr>
            <w:tcW w:w="992" w:type="dxa"/>
            <w:tcBorders>
              <w:top w:val="single" w:sz="4" w:space="0" w:color="auto"/>
              <w:left w:val="single" w:sz="4" w:space="0" w:color="auto"/>
              <w:bottom w:val="single" w:sz="4" w:space="0" w:color="auto"/>
            </w:tcBorders>
            <w:vAlign w:val="bottom"/>
          </w:tcPr>
          <w:p w14:paraId="7C8FF88F" w14:textId="77777777" w:rsidR="00F2775C" w:rsidRPr="006522BE" w:rsidRDefault="00F2775C" w:rsidP="006522BE">
            <w:pPr>
              <w:widowControl w:val="0"/>
              <w:spacing w:line="276" w:lineRule="auto"/>
              <w:ind w:firstLine="0"/>
              <w:jc w:val="center"/>
              <w:rPr>
                <w:sz w:val="28"/>
                <w:szCs w:val="28"/>
              </w:rPr>
            </w:pPr>
            <w:r w:rsidRPr="006522BE">
              <w:rPr>
                <w:sz w:val="28"/>
                <w:szCs w:val="28"/>
              </w:rPr>
              <w:t>14,5</w:t>
            </w:r>
          </w:p>
        </w:tc>
      </w:tr>
      <w:tr w:rsidR="00F2775C" w:rsidRPr="00F2775C" w14:paraId="373194BE" w14:textId="77777777" w:rsidTr="009278E9">
        <w:tc>
          <w:tcPr>
            <w:tcW w:w="2410" w:type="dxa"/>
            <w:tcBorders>
              <w:top w:val="single" w:sz="4" w:space="0" w:color="auto"/>
              <w:bottom w:val="single" w:sz="4" w:space="0" w:color="auto"/>
              <w:right w:val="single" w:sz="4" w:space="0" w:color="auto"/>
            </w:tcBorders>
            <w:vAlign w:val="center"/>
          </w:tcPr>
          <w:p w14:paraId="2E94FFC0" w14:textId="77078119" w:rsidR="00F2775C" w:rsidRPr="00F2775C" w:rsidRDefault="009B5826" w:rsidP="00F2775C">
            <w:pPr>
              <w:widowControl w:val="0"/>
              <w:spacing w:line="276" w:lineRule="auto"/>
              <w:ind w:firstLine="0"/>
              <w:jc w:val="left"/>
              <w:rPr>
                <w:bCs/>
                <w:szCs w:val="24"/>
              </w:rPr>
            </w:pPr>
            <w:r>
              <w:rPr>
                <w:bCs/>
                <w:szCs w:val="24"/>
              </w:rPr>
              <w:t>в</w:t>
            </w:r>
            <w:r w:rsidR="00F2775C" w:rsidRPr="00F2775C">
              <w:rPr>
                <w:bCs/>
                <w:szCs w:val="24"/>
              </w:rPr>
              <w:t xml:space="preserve"> том числе детей</w:t>
            </w:r>
          </w:p>
          <w:p w14:paraId="2524260B" w14:textId="77777777" w:rsidR="00F2775C" w:rsidRPr="00F2775C" w:rsidRDefault="00F2775C" w:rsidP="00F2775C">
            <w:pPr>
              <w:widowControl w:val="0"/>
              <w:spacing w:line="276" w:lineRule="auto"/>
              <w:ind w:firstLine="0"/>
              <w:jc w:val="left"/>
              <w:rPr>
                <w:bCs/>
                <w:szCs w:val="24"/>
              </w:rPr>
            </w:pPr>
            <w:r w:rsidRPr="00F2775C">
              <w:rPr>
                <w:bCs/>
                <w:szCs w:val="24"/>
              </w:rPr>
              <w:t>в возрасте до 1 года</w:t>
            </w:r>
          </w:p>
        </w:tc>
        <w:tc>
          <w:tcPr>
            <w:tcW w:w="1134" w:type="dxa"/>
            <w:tcBorders>
              <w:top w:val="single" w:sz="4" w:space="0" w:color="auto"/>
              <w:left w:val="single" w:sz="4" w:space="0" w:color="auto"/>
              <w:bottom w:val="single" w:sz="4" w:space="0" w:color="auto"/>
              <w:right w:val="single" w:sz="4" w:space="0" w:color="auto"/>
            </w:tcBorders>
            <w:vAlign w:val="bottom"/>
          </w:tcPr>
          <w:p w14:paraId="76D43DCC" w14:textId="77777777" w:rsidR="00F2775C" w:rsidRPr="009F3F4B" w:rsidRDefault="00F2775C" w:rsidP="00F2775C">
            <w:pPr>
              <w:widowControl w:val="0"/>
              <w:spacing w:line="276" w:lineRule="auto"/>
              <w:ind w:firstLine="0"/>
              <w:jc w:val="center"/>
              <w:rPr>
                <w:sz w:val="28"/>
                <w:szCs w:val="28"/>
              </w:rPr>
            </w:pPr>
            <w:r w:rsidRPr="009F3F4B">
              <w:rPr>
                <w:sz w:val="28"/>
                <w:szCs w:val="28"/>
              </w:rPr>
              <w:t>10</w:t>
            </w:r>
          </w:p>
        </w:tc>
        <w:tc>
          <w:tcPr>
            <w:tcW w:w="992" w:type="dxa"/>
            <w:tcBorders>
              <w:top w:val="single" w:sz="4" w:space="0" w:color="auto"/>
              <w:left w:val="single" w:sz="4" w:space="0" w:color="auto"/>
              <w:bottom w:val="single" w:sz="4" w:space="0" w:color="auto"/>
              <w:right w:val="single" w:sz="4" w:space="0" w:color="auto"/>
            </w:tcBorders>
            <w:vAlign w:val="bottom"/>
          </w:tcPr>
          <w:p w14:paraId="4753B817" w14:textId="77777777" w:rsidR="00F2775C" w:rsidRPr="009F3F4B" w:rsidRDefault="00F2775C" w:rsidP="00F2775C">
            <w:pPr>
              <w:widowControl w:val="0"/>
              <w:spacing w:line="276" w:lineRule="auto"/>
              <w:ind w:firstLine="0"/>
              <w:jc w:val="center"/>
              <w:rPr>
                <w:sz w:val="28"/>
                <w:szCs w:val="28"/>
              </w:rPr>
            </w:pPr>
            <w:r w:rsidRPr="009F3F4B">
              <w:rPr>
                <w:sz w:val="28"/>
                <w:szCs w:val="28"/>
              </w:rPr>
              <w:t>16</w:t>
            </w:r>
          </w:p>
        </w:tc>
        <w:tc>
          <w:tcPr>
            <w:tcW w:w="1418" w:type="dxa"/>
            <w:tcBorders>
              <w:top w:val="single" w:sz="4" w:space="0" w:color="auto"/>
              <w:left w:val="single" w:sz="4" w:space="0" w:color="auto"/>
              <w:bottom w:val="single" w:sz="4" w:space="0" w:color="auto"/>
              <w:right w:val="single" w:sz="4" w:space="0" w:color="auto"/>
            </w:tcBorders>
            <w:vAlign w:val="bottom"/>
          </w:tcPr>
          <w:p w14:paraId="71CA234B" w14:textId="77777777" w:rsidR="00F2775C" w:rsidRPr="009F3F4B" w:rsidRDefault="00F2775C" w:rsidP="00F2775C">
            <w:pPr>
              <w:widowControl w:val="0"/>
              <w:spacing w:line="276" w:lineRule="auto"/>
              <w:ind w:firstLine="0"/>
              <w:jc w:val="center"/>
              <w:rPr>
                <w:sz w:val="28"/>
                <w:szCs w:val="28"/>
              </w:rPr>
            </w:pPr>
            <w:r w:rsidRPr="009F3F4B">
              <w:rPr>
                <w:sz w:val="28"/>
                <w:szCs w:val="28"/>
              </w:rPr>
              <w:t>6</w:t>
            </w:r>
          </w:p>
        </w:tc>
        <w:tc>
          <w:tcPr>
            <w:tcW w:w="1276" w:type="dxa"/>
            <w:tcBorders>
              <w:top w:val="single" w:sz="4" w:space="0" w:color="auto"/>
              <w:left w:val="single" w:sz="4" w:space="0" w:color="auto"/>
              <w:bottom w:val="single" w:sz="4" w:space="0" w:color="auto"/>
              <w:right w:val="single" w:sz="4" w:space="0" w:color="auto"/>
            </w:tcBorders>
            <w:vAlign w:val="bottom"/>
          </w:tcPr>
          <w:p w14:paraId="72B8E563" w14:textId="77777777" w:rsidR="00F2775C" w:rsidRPr="009F3F4B" w:rsidRDefault="00F2775C" w:rsidP="00F2775C">
            <w:pPr>
              <w:widowControl w:val="0"/>
              <w:spacing w:line="276" w:lineRule="auto"/>
              <w:ind w:firstLine="0"/>
              <w:jc w:val="center"/>
              <w:rPr>
                <w:sz w:val="28"/>
                <w:szCs w:val="28"/>
              </w:rPr>
            </w:pPr>
            <w:r w:rsidRPr="009F3F4B">
              <w:rPr>
                <w:sz w:val="28"/>
                <w:szCs w:val="28"/>
              </w:rPr>
              <w:t>160</w:t>
            </w:r>
          </w:p>
        </w:tc>
        <w:tc>
          <w:tcPr>
            <w:tcW w:w="1134" w:type="dxa"/>
            <w:tcBorders>
              <w:top w:val="single" w:sz="4" w:space="0" w:color="auto"/>
              <w:left w:val="single" w:sz="4" w:space="0" w:color="auto"/>
              <w:bottom w:val="single" w:sz="4" w:space="0" w:color="auto"/>
              <w:right w:val="single" w:sz="4" w:space="0" w:color="auto"/>
            </w:tcBorders>
            <w:vAlign w:val="bottom"/>
          </w:tcPr>
          <w:p w14:paraId="3A44EB98" w14:textId="77777777" w:rsidR="00F2775C" w:rsidRPr="009F3F4B" w:rsidRDefault="00F2775C" w:rsidP="00F2775C">
            <w:pPr>
              <w:widowControl w:val="0"/>
              <w:spacing w:line="276" w:lineRule="auto"/>
              <w:ind w:firstLine="0"/>
              <w:jc w:val="center"/>
              <w:rPr>
                <w:sz w:val="28"/>
                <w:szCs w:val="28"/>
              </w:rPr>
            </w:pPr>
            <w:r w:rsidRPr="009F3F4B">
              <w:rPr>
                <w:sz w:val="28"/>
                <w:szCs w:val="28"/>
              </w:rPr>
              <w:t>3,4*</w:t>
            </w:r>
          </w:p>
        </w:tc>
        <w:tc>
          <w:tcPr>
            <w:tcW w:w="992" w:type="dxa"/>
            <w:tcBorders>
              <w:top w:val="single" w:sz="4" w:space="0" w:color="auto"/>
              <w:left w:val="single" w:sz="4" w:space="0" w:color="auto"/>
              <w:bottom w:val="single" w:sz="4" w:space="0" w:color="auto"/>
            </w:tcBorders>
            <w:vAlign w:val="bottom"/>
          </w:tcPr>
          <w:p w14:paraId="010EFDF7" w14:textId="77777777" w:rsidR="00F2775C" w:rsidRPr="009F3F4B" w:rsidRDefault="00F2775C" w:rsidP="00F2775C">
            <w:pPr>
              <w:widowControl w:val="0"/>
              <w:spacing w:line="276" w:lineRule="auto"/>
              <w:ind w:firstLine="0"/>
              <w:jc w:val="center"/>
              <w:rPr>
                <w:sz w:val="28"/>
                <w:szCs w:val="28"/>
              </w:rPr>
            </w:pPr>
            <w:r w:rsidRPr="009F3F4B">
              <w:rPr>
                <w:sz w:val="28"/>
                <w:szCs w:val="28"/>
              </w:rPr>
              <w:t>5,8*</w:t>
            </w:r>
          </w:p>
        </w:tc>
      </w:tr>
      <w:tr w:rsidR="00F2775C" w:rsidRPr="00F2775C" w14:paraId="20BE9E32" w14:textId="77777777" w:rsidTr="009278E9">
        <w:tc>
          <w:tcPr>
            <w:tcW w:w="2410" w:type="dxa"/>
            <w:tcBorders>
              <w:top w:val="single" w:sz="4" w:space="0" w:color="auto"/>
              <w:bottom w:val="single" w:sz="4" w:space="0" w:color="auto"/>
              <w:right w:val="single" w:sz="4" w:space="0" w:color="auto"/>
            </w:tcBorders>
            <w:vAlign w:val="center"/>
          </w:tcPr>
          <w:p w14:paraId="042416B8" w14:textId="77777777" w:rsidR="00F2775C" w:rsidRPr="00F2775C" w:rsidRDefault="00F2775C" w:rsidP="00F2775C">
            <w:pPr>
              <w:widowControl w:val="0"/>
              <w:spacing w:line="276" w:lineRule="auto"/>
              <w:ind w:firstLine="0"/>
              <w:jc w:val="left"/>
              <w:rPr>
                <w:bCs/>
                <w:szCs w:val="24"/>
              </w:rPr>
            </w:pPr>
            <w:r w:rsidRPr="00F2775C">
              <w:rPr>
                <w:bCs/>
                <w:szCs w:val="24"/>
              </w:rPr>
              <w:t>Естественный прирост (убыль)</w:t>
            </w:r>
          </w:p>
        </w:tc>
        <w:tc>
          <w:tcPr>
            <w:tcW w:w="1134" w:type="dxa"/>
            <w:tcBorders>
              <w:top w:val="single" w:sz="4" w:space="0" w:color="auto"/>
              <w:left w:val="single" w:sz="4" w:space="0" w:color="auto"/>
              <w:bottom w:val="single" w:sz="4" w:space="0" w:color="auto"/>
              <w:right w:val="single" w:sz="4" w:space="0" w:color="auto"/>
            </w:tcBorders>
            <w:vAlign w:val="bottom"/>
          </w:tcPr>
          <w:p w14:paraId="778839AD" w14:textId="77777777" w:rsidR="00F2775C" w:rsidRPr="009F3F4B" w:rsidRDefault="00F2775C" w:rsidP="00F2775C">
            <w:pPr>
              <w:widowControl w:val="0"/>
              <w:spacing w:line="276" w:lineRule="auto"/>
              <w:ind w:firstLine="0"/>
              <w:jc w:val="center"/>
              <w:rPr>
                <w:sz w:val="28"/>
                <w:szCs w:val="28"/>
              </w:rPr>
            </w:pPr>
            <w:r w:rsidRPr="009F3F4B">
              <w:rPr>
                <w:sz w:val="28"/>
                <w:szCs w:val="28"/>
              </w:rPr>
              <w:t>-1735</w:t>
            </w:r>
          </w:p>
        </w:tc>
        <w:tc>
          <w:tcPr>
            <w:tcW w:w="992" w:type="dxa"/>
            <w:tcBorders>
              <w:top w:val="single" w:sz="4" w:space="0" w:color="auto"/>
              <w:left w:val="single" w:sz="4" w:space="0" w:color="auto"/>
              <w:bottom w:val="single" w:sz="4" w:space="0" w:color="auto"/>
              <w:right w:val="single" w:sz="4" w:space="0" w:color="auto"/>
            </w:tcBorders>
            <w:vAlign w:val="bottom"/>
          </w:tcPr>
          <w:p w14:paraId="4019A1D3" w14:textId="77777777" w:rsidR="00F2775C" w:rsidRPr="009F3F4B" w:rsidRDefault="00F2775C" w:rsidP="00F2775C">
            <w:pPr>
              <w:widowControl w:val="0"/>
              <w:spacing w:line="276" w:lineRule="auto"/>
              <w:ind w:firstLine="0"/>
              <w:jc w:val="center"/>
              <w:rPr>
                <w:sz w:val="28"/>
                <w:szCs w:val="28"/>
              </w:rPr>
            </w:pPr>
            <w:r w:rsidRPr="009F3F4B">
              <w:rPr>
                <w:sz w:val="28"/>
                <w:szCs w:val="28"/>
              </w:rPr>
              <w:t>-2297</w:t>
            </w:r>
          </w:p>
        </w:tc>
        <w:tc>
          <w:tcPr>
            <w:tcW w:w="1418" w:type="dxa"/>
            <w:tcBorders>
              <w:top w:val="single" w:sz="4" w:space="0" w:color="auto"/>
              <w:left w:val="single" w:sz="4" w:space="0" w:color="auto"/>
              <w:bottom w:val="single" w:sz="4" w:space="0" w:color="auto"/>
              <w:right w:val="single" w:sz="4" w:space="0" w:color="auto"/>
            </w:tcBorders>
            <w:vAlign w:val="bottom"/>
          </w:tcPr>
          <w:p w14:paraId="3261FEC9" w14:textId="77777777" w:rsidR="00F2775C" w:rsidRPr="009F3F4B" w:rsidRDefault="00F2775C" w:rsidP="00F2775C">
            <w:pPr>
              <w:widowControl w:val="0"/>
              <w:spacing w:line="276" w:lineRule="auto"/>
              <w:ind w:firstLine="0"/>
              <w:jc w:val="center"/>
              <w:rPr>
                <w:sz w:val="28"/>
                <w:szCs w:val="28"/>
              </w:rPr>
            </w:pPr>
            <w:r w:rsidRPr="009F3F4B">
              <w:rPr>
                <w:sz w:val="28"/>
                <w:szCs w:val="28"/>
              </w:rPr>
              <w:t>562</w:t>
            </w:r>
          </w:p>
        </w:tc>
        <w:tc>
          <w:tcPr>
            <w:tcW w:w="1276" w:type="dxa"/>
            <w:tcBorders>
              <w:top w:val="single" w:sz="4" w:space="0" w:color="auto"/>
              <w:left w:val="single" w:sz="4" w:space="0" w:color="auto"/>
              <w:bottom w:val="single" w:sz="4" w:space="0" w:color="auto"/>
              <w:right w:val="single" w:sz="4" w:space="0" w:color="auto"/>
            </w:tcBorders>
            <w:vAlign w:val="bottom"/>
          </w:tcPr>
          <w:p w14:paraId="74782468" w14:textId="77777777" w:rsidR="00F2775C" w:rsidRPr="009F3F4B" w:rsidRDefault="00F2775C" w:rsidP="00F2775C">
            <w:pPr>
              <w:widowControl w:val="0"/>
              <w:spacing w:line="276" w:lineRule="auto"/>
              <w:ind w:left="-108" w:firstLine="0"/>
              <w:jc w:val="center"/>
              <w:rPr>
                <w:sz w:val="28"/>
                <w:szCs w:val="28"/>
              </w:rPr>
            </w:pPr>
            <w:r w:rsidRPr="009F3F4B">
              <w:rPr>
                <w:sz w:val="28"/>
                <w:szCs w:val="28"/>
              </w:rPr>
              <w:t>132,4</w:t>
            </w:r>
          </w:p>
        </w:tc>
        <w:tc>
          <w:tcPr>
            <w:tcW w:w="1134" w:type="dxa"/>
            <w:tcBorders>
              <w:top w:val="single" w:sz="4" w:space="0" w:color="auto"/>
              <w:left w:val="single" w:sz="4" w:space="0" w:color="auto"/>
              <w:bottom w:val="single" w:sz="4" w:space="0" w:color="auto"/>
              <w:right w:val="single" w:sz="4" w:space="0" w:color="auto"/>
            </w:tcBorders>
            <w:vAlign w:val="bottom"/>
          </w:tcPr>
          <w:p w14:paraId="40199D3F" w14:textId="77777777" w:rsidR="00F2775C" w:rsidRPr="009F3F4B" w:rsidRDefault="00F2775C" w:rsidP="00F2775C">
            <w:pPr>
              <w:widowControl w:val="0"/>
              <w:spacing w:line="276" w:lineRule="auto"/>
              <w:ind w:firstLine="0"/>
              <w:jc w:val="center"/>
              <w:rPr>
                <w:sz w:val="28"/>
                <w:szCs w:val="28"/>
              </w:rPr>
            </w:pPr>
            <w:r w:rsidRPr="009F3F4B">
              <w:rPr>
                <w:sz w:val="28"/>
                <w:szCs w:val="28"/>
              </w:rPr>
              <w:t>-5,0</w:t>
            </w:r>
          </w:p>
        </w:tc>
        <w:tc>
          <w:tcPr>
            <w:tcW w:w="992" w:type="dxa"/>
            <w:tcBorders>
              <w:top w:val="single" w:sz="4" w:space="0" w:color="auto"/>
              <w:left w:val="single" w:sz="4" w:space="0" w:color="auto"/>
              <w:bottom w:val="single" w:sz="4" w:space="0" w:color="auto"/>
            </w:tcBorders>
            <w:vAlign w:val="bottom"/>
          </w:tcPr>
          <w:p w14:paraId="31B25048" w14:textId="77777777" w:rsidR="00F2775C" w:rsidRPr="009F3F4B" w:rsidRDefault="00F2775C" w:rsidP="00F2775C">
            <w:pPr>
              <w:widowControl w:val="0"/>
              <w:spacing w:line="276" w:lineRule="auto"/>
              <w:ind w:firstLine="0"/>
              <w:jc w:val="center"/>
              <w:rPr>
                <w:sz w:val="28"/>
                <w:szCs w:val="28"/>
              </w:rPr>
            </w:pPr>
            <w:r w:rsidRPr="009F3F4B">
              <w:rPr>
                <w:sz w:val="28"/>
                <w:szCs w:val="28"/>
              </w:rPr>
              <w:t>-6,6</w:t>
            </w:r>
          </w:p>
        </w:tc>
      </w:tr>
    </w:tbl>
    <w:p w14:paraId="21FA80EF" w14:textId="77777777" w:rsidR="00E72F82" w:rsidRPr="005C641C" w:rsidRDefault="00E72F82" w:rsidP="00E72F82">
      <w:pPr>
        <w:pStyle w:val="aff0"/>
        <w:rPr>
          <w:szCs w:val="28"/>
        </w:rPr>
      </w:pPr>
      <w:r w:rsidRPr="005C641C">
        <w:rPr>
          <w:szCs w:val="28"/>
        </w:rPr>
        <w:t>* на 1000 родившихся.</w:t>
      </w:r>
    </w:p>
    <w:p w14:paraId="40AB3DA3" w14:textId="768D44FC" w:rsidR="00047010" w:rsidRDefault="005C523D" w:rsidP="00047010">
      <w:pPr>
        <w:pStyle w:val="aff0"/>
        <w:spacing w:line="276" w:lineRule="auto"/>
        <w:rPr>
          <w:szCs w:val="28"/>
        </w:rPr>
      </w:pPr>
      <w:r w:rsidRPr="00047010">
        <w:rPr>
          <w:szCs w:val="28"/>
        </w:rPr>
        <w:t xml:space="preserve">Исходя из динамики показателей, сложившейся в текущем году, скорректирована  в сторону снижения </w:t>
      </w:r>
      <w:r w:rsidR="00047010" w:rsidRPr="00047010">
        <w:rPr>
          <w:szCs w:val="28"/>
        </w:rPr>
        <w:t>естественная</w:t>
      </w:r>
      <w:r w:rsidRPr="00047010">
        <w:rPr>
          <w:szCs w:val="28"/>
        </w:rPr>
        <w:t xml:space="preserve"> убыль</w:t>
      </w:r>
      <w:r w:rsidR="00E52637">
        <w:rPr>
          <w:szCs w:val="28"/>
        </w:rPr>
        <w:t xml:space="preserve"> населения</w:t>
      </w:r>
      <w:r w:rsidRPr="00047010">
        <w:rPr>
          <w:szCs w:val="28"/>
        </w:rPr>
        <w:t>, которая за 202</w:t>
      </w:r>
      <w:r w:rsidR="00047010" w:rsidRPr="00047010">
        <w:rPr>
          <w:szCs w:val="28"/>
        </w:rPr>
        <w:t>1</w:t>
      </w:r>
      <w:r w:rsidR="008A1EBE" w:rsidRPr="00047010">
        <w:rPr>
          <w:szCs w:val="28"/>
        </w:rPr>
        <w:t xml:space="preserve"> год оценивается на уровне </w:t>
      </w:r>
      <w:r w:rsidR="00047010" w:rsidRPr="00047010">
        <w:rPr>
          <w:szCs w:val="28"/>
        </w:rPr>
        <w:t>4,7</w:t>
      </w:r>
      <w:r w:rsidR="008A1EBE" w:rsidRPr="00047010">
        <w:rPr>
          <w:szCs w:val="28"/>
        </w:rPr>
        <w:t> </w:t>
      </w:r>
      <w:r w:rsidRPr="00047010">
        <w:rPr>
          <w:szCs w:val="28"/>
        </w:rPr>
        <w:t>тыс. человек (в 20</w:t>
      </w:r>
      <w:r w:rsidR="00047010" w:rsidRPr="00047010">
        <w:rPr>
          <w:szCs w:val="28"/>
        </w:rPr>
        <w:t>20</w:t>
      </w:r>
      <w:r w:rsidRPr="00047010">
        <w:rPr>
          <w:szCs w:val="28"/>
        </w:rPr>
        <w:t xml:space="preserve"> году составила -</w:t>
      </w:r>
      <w:r w:rsidR="00047010" w:rsidRPr="00047010">
        <w:rPr>
          <w:szCs w:val="28"/>
        </w:rPr>
        <w:t>4,84</w:t>
      </w:r>
      <w:r w:rsidRPr="00047010">
        <w:rPr>
          <w:szCs w:val="28"/>
        </w:rPr>
        <w:t xml:space="preserve"> тыс. человек</w:t>
      </w:r>
      <w:r w:rsidR="00962775">
        <w:rPr>
          <w:szCs w:val="28"/>
        </w:rPr>
        <w:t>)</w:t>
      </w:r>
      <w:r w:rsidR="00047010">
        <w:rPr>
          <w:szCs w:val="28"/>
        </w:rPr>
        <w:t xml:space="preserve">. </w:t>
      </w:r>
    </w:p>
    <w:p w14:paraId="0FC0B2EA" w14:textId="77777777" w:rsidR="005611DD" w:rsidRPr="008B4D04" w:rsidRDefault="005611DD" w:rsidP="005611DD">
      <w:pPr>
        <w:pStyle w:val="230"/>
        <w:keepNext/>
        <w:keepLines/>
        <w:spacing w:before="120" w:line="276" w:lineRule="auto"/>
        <w:ind w:left="0"/>
        <w:jc w:val="center"/>
        <w:rPr>
          <w:bCs/>
          <w:sz w:val="28"/>
          <w:szCs w:val="28"/>
        </w:rPr>
      </w:pPr>
      <w:r w:rsidRPr="008B4D04">
        <w:rPr>
          <w:bCs/>
          <w:sz w:val="28"/>
          <w:szCs w:val="28"/>
        </w:rPr>
        <w:t>Ожидаемое выполнение прогнозных показателей в сфере демографии на 2021 год</w:t>
      </w:r>
    </w:p>
    <w:tbl>
      <w:tblPr>
        <w:tblW w:w="0" w:type="auto"/>
        <w:tblInd w:w="108" w:type="dxa"/>
        <w:tblLayout w:type="fixed"/>
        <w:tblLook w:val="0000" w:firstRow="0" w:lastRow="0" w:firstColumn="0" w:lastColumn="0" w:noHBand="0" w:noVBand="0"/>
      </w:tblPr>
      <w:tblGrid>
        <w:gridCol w:w="3544"/>
        <w:gridCol w:w="1559"/>
        <w:gridCol w:w="1559"/>
        <w:gridCol w:w="1418"/>
        <w:gridCol w:w="1275"/>
      </w:tblGrid>
      <w:tr w:rsidR="005611DD" w:rsidRPr="008B4D04" w14:paraId="11A2A823" w14:textId="77777777" w:rsidTr="009A213D">
        <w:trPr>
          <w:tblHeader/>
        </w:trPr>
        <w:tc>
          <w:tcPr>
            <w:tcW w:w="3544" w:type="dxa"/>
            <w:vMerge w:val="restart"/>
            <w:tcBorders>
              <w:top w:val="single" w:sz="4" w:space="0" w:color="000000"/>
              <w:left w:val="single" w:sz="4" w:space="0" w:color="000000"/>
              <w:bottom w:val="single" w:sz="4" w:space="0" w:color="000000"/>
            </w:tcBorders>
            <w:vAlign w:val="center"/>
          </w:tcPr>
          <w:p w14:paraId="6E9C7BF8" w14:textId="77777777" w:rsidR="005611DD" w:rsidRPr="008B4D04" w:rsidRDefault="005611DD" w:rsidP="009A213D">
            <w:pPr>
              <w:pStyle w:val="230"/>
              <w:keepNext/>
              <w:keepLines/>
              <w:spacing w:after="0" w:line="240" w:lineRule="auto"/>
              <w:ind w:left="0" w:firstLine="0"/>
              <w:jc w:val="center"/>
              <w:rPr>
                <w:sz w:val="28"/>
                <w:szCs w:val="28"/>
              </w:rPr>
            </w:pPr>
            <w:r w:rsidRPr="008B4D04">
              <w:rPr>
                <w:sz w:val="28"/>
                <w:szCs w:val="28"/>
              </w:rPr>
              <w:t>Показатели</w:t>
            </w:r>
          </w:p>
        </w:tc>
        <w:tc>
          <w:tcPr>
            <w:tcW w:w="1559" w:type="dxa"/>
            <w:vMerge w:val="restart"/>
            <w:tcBorders>
              <w:top w:val="single" w:sz="4" w:space="0" w:color="000000"/>
              <w:left w:val="single" w:sz="4" w:space="0" w:color="000000"/>
              <w:bottom w:val="single" w:sz="4" w:space="0" w:color="000000"/>
            </w:tcBorders>
            <w:vAlign w:val="center"/>
          </w:tcPr>
          <w:p w14:paraId="044CC572" w14:textId="77777777" w:rsidR="005611DD" w:rsidRPr="008B4D04" w:rsidRDefault="005611DD" w:rsidP="009A213D">
            <w:pPr>
              <w:pStyle w:val="230"/>
              <w:keepNext/>
              <w:keepLines/>
              <w:spacing w:after="0" w:line="240" w:lineRule="auto"/>
              <w:ind w:left="0" w:firstLine="0"/>
              <w:jc w:val="center"/>
              <w:rPr>
                <w:sz w:val="28"/>
                <w:szCs w:val="28"/>
              </w:rPr>
            </w:pPr>
            <w:r w:rsidRPr="008B4D04">
              <w:rPr>
                <w:sz w:val="28"/>
                <w:szCs w:val="28"/>
              </w:rPr>
              <w:t>Единица измерения</w:t>
            </w:r>
          </w:p>
        </w:tc>
        <w:tc>
          <w:tcPr>
            <w:tcW w:w="2977" w:type="dxa"/>
            <w:gridSpan w:val="2"/>
            <w:tcBorders>
              <w:top w:val="single" w:sz="4" w:space="0" w:color="000000"/>
              <w:left w:val="single" w:sz="4" w:space="0" w:color="000000"/>
              <w:bottom w:val="single" w:sz="4" w:space="0" w:color="000000"/>
            </w:tcBorders>
            <w:vAlign w:val="center"/>
          </w:tcPr>
          <w:p w14:paraId="103F4CB5" w14:textId="77777777" w:rsidR="005611DD" w:rsidRPr="008B4D04" w:rsidRDefault="005611DD" w:rsidP="009A213D">
            <w:pPr>
              <w:ind w:firstLine="0"/>
              <w:jc w:val="center"/>
              <w:rPr>
                <w:sz w:val="28"/>
                <w:szCs w:val="28"/>
              </w:rPr>
            </w:pPr>
            <w:r w:rsidRPr="008B4D04">
              <w:rPr>
                <w:sz w:val="28"/>
                <w:szCs w:val="28"/>
              </w:rPr>
              <w:t>Прогноз на 202</w:t>
            </w:r>
            <w:r>
              <w:rPr>
                <w:sz w:val="28"/>
                <w:szCs w:val="28"/>
              </w:rPr>
              <w:t>1</w:t>
            </w:r>
            <w:r w:rsidRPr="008B4D04">
              <w:rPr>
                <w:sz w:val="28"/>
                <w:szCs w:val="28"/>
              </w:rPr>
              <w:t xml:space="preserve"> год</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14:paraId="676E6842" w14:textId="77777777" w:rsidR="005611DD" w:rsidRPr="008B4D04" w:rsidRDefault="005611DD" w:rsidP="009A213D">
            <w:pPr>
              <w:ind w:firstLine="0"/>
              <w:jc w:val="center"/>
              <w:rPr>
                <w:sz w:val="28"/>
                <w:szCs w:val="28"/>
              </w:rPr>
            </w:pPr>
            <w:r w:rsidRPr="008B4D04">
              <w:rPr>
                <w:sz w:val="28"/>
                <w:szCs w:val="28"/>
              </w:rPr>
              <w:t>202</w:t>
            </w:r>
            <w:r>
              <w:rPr>
                <w:sz w:val="28"/>
                <w:szCs w:val="28"/>
              </w:rPr>
              <w:t>1</w:t>
            </w:r>
            <w:r w:rsidRPr="008B4D04">
              <w:rPr>
                <w:sz w:val="28"/>
                <w:szCs w:val="28"/>
              </w:rPr>
              <w:t xml:space="preserve"> год (оценка)</w:t>
            </w:r>
          </w:p>
        </w:tc>
      </w:tr>
      <w:tr w:rsidR="005611DD" w:rsidRPr="008B4D04" w14:paraId="3620B066" w14:textId="77777777" w:rsidTr="009A213D">
        <w:trPr>
          <w:tblHeader/>
        </w:trPr>
        <w:tc>
          <w:tcPr>
            <w:tcW w:w="3544" w:type="dxa"/>
            <w:vMerge/>
            <w:tcBorders>
              <w:top w:val="single" w:sz="4" w:space="0" w:color="000000"/>
              <w:left w:val="single" w:sz="4" w:space="0" w:color="000000"/>
              <w:bottom w:val="single" w:sz="4" w:space="0" w:color="000000"/>
            </w:tcBorders>
            <w:vAlign w:val="center"/>
          </w:tcPr>
          <w:p w14:paraId="2818F95E" w14:textId="77777777" w:rsidR="005611DD" w:rsidRPr="008B4D04" w:rsidRDefault="005611DD" w:rsidP="009A213D">
            <w:pPr>
              <w:pStyle w:val="230"/>
              <w:snapToGrid w:val="0"/>
              <w:spacing w:after="0" w:line="240" w:lineRule="auto"/>
              <w:ind w:left="0" w:firstLine="0"/>
              <w:jc w:val="center"/>
              <w:rPr>
                <w:sz w:val="28"/>
                <w:szCs w:val="28"/>
              </w:rPr>
            </w:pPr>
          </w:p>
        </w:tc>
        <w:tc>
          <w:tcPr>
            <w:tcW w:w="1559" w:type="dxa"/>
            <w:vMerge/>
            <w:tcBorders>
              <w:top w:val="single" w:sz="4" w:space="0" w:color="000000"/>
              <w:left w:val="single" w:sz="4" w:space="0" w:color="000000"/>
              <w:bottom w:val="single" w:sz="4" w:space="0" w:color="000000"/>
            </w:tcBorders>
            <w:vAlign w:val="center"/>
          </w:tcPr>
          <w:p w14:paraId="61235CE5" w14:textId="77777777" w:rsidR="005611DD" w:rsidRPr="008B4D04" w:rsidRDefault="005611DD" w:rsidP="009A213D">
            <w:pPr>
              <w:pStyle w:val="230"/>
              <w:snapToGrid w:val="0"/>
              <w:spacing w:after="0" w:line="240" w:lineRule="auto"/>
              <w:ind w:left="0" w:firstLine="0"/>
              <w:jc w:val="center"/>
              <w:rPr>
                <w:sz w:val="28"/>
                <w:szCs w:val="28"/>
              </w:rPr>
            </w:pPr>
          </w:p>
        </w:tc>
        <w:tc>
          <w:tcPr>
            <w:tcW w:w="1559" w:type="dxa"/>
            <w:tcBorders>
              <w:top w:val="single" w:sz="4" w:space="0" w:color="000000"/>
              <w:left w:val="single" w:sz="4" w:space="0" w:color="000000"/>
              <w:bottom w:val="single" w:sz="4" w:space="0" w:color="000000"/>
            </w:tcBorders>
            <w:vAlign w:val="center"/>
          </w:tcPr>
          <w:p w14:paraId="24AF9D8D" w14:textId="77777777" w:rsidR="005611DD" w:rsidRPr="008B4D04" w:rsidRDefault="005611DD" w:rsidP="009A213D">
            <w:pPr>
              <w:ind w:firstLine="0"/>
              <w:jc w:val="center"/>
              <w:rPr>
                <w:sz w:val="28"/>
                <w:szCs w:val="28"/>
              </w:rPr>
            </w:pPr>
            <w:r w:rsidRPr="008B4D04">
              <w:rPr>
                <w:sz w:val="28"/>
                <w:szCs w:val="28"/>
              </w:rPr>
              <w:t>консервативный</w:t>
            </w:r>
          </w:p>
        </w:tc>
        <w:tc>
          <w:tcPr>
            <w:tcW w:w="1418" w:type="dxa"/>
            <w:tcBorders>
              <w:top w:val="single" w:sz="4" w:space="0" w:color="000000"/>
              <w:left w:val="single" w:sz="4" w:space="0" w:color="000000"/>
              <w:bottom w:val="single" w:sz="4" w:space="0" w:color="000000"/>
            </w:tcBorders>
            <w:vAlign w:val="center"/>
          </w:tcPr>
          <w:p w14:paraId="003BF455" w14:textId="77777777" w:rsidR="005611DD" w:rsidRPr="008B4D04" w:rsidRDefault="005611DD" w:rsidP="009A213D">
            <w:pPr>
              <w:ind w:firstLine="0"/>
              <w:jc w:val="center"/>
              <w:rPr>
                <w:sz w:val="28"/>
                <w:szCs w:val="28"/>
              </w:rPr>
            </w:pPr>
            <w:r w:rsidRPr="008B4D04">
              <w:rPr>
                <w:sz w:val="28"/>
                <w:szCs w:val="28"/>
              </w:rPr>
              <w:t>базовый</w:t>
            </w: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171906A5" w14:textId="77777777" w:rsidR="005611DD" w:rsidRPr="008B4D04" w:rsidRDefault="005611DD" w:rsidP="009A213D">
            <w:pPr>
              <w:pStyle w:val="230"/>
              <w:snapToGrid w:val="0"/>
              <w:spacing w:after="0" w:line="240" w:lineRule="auto"/>
              <w:ind w:left="0" w:firstLine="0"/>
              <w:jc w:val="center"/>
              <w:rPr>
                <w:sz w:val="28"/>
                <w:szCs w:val="28"/>
              </w:rPr>
            </w:pPr>
          </w:p>
        </w:tc>
      </w:tr>
      <w:tr w:rsidR="005611DD" w:rsidRPr="008253D3" w14:paraId="50D32418" w14:textId="77777777" w:rsidTr="009A213D">
        <w:tc>
          <w:tcPr>
            <w:tcW w:w="3544" w:type="dxa"/>
            <w:tcBorders>
              <w:top w:val="single" w:sz="4" w:space="0" w:color="000000"/>
              <w:left w:val="single" w:sz="4" w:space="0" w:color="000000"/>
              <w:bottom w:val="single" w:sz="4" w:space="0" w:color="000000"/>
            </w:tcBorders>
          </w:tcPr>
          <w:p w14:paraId="1F1C13B4" w14:textId="77777777" w:rsidR="005611DD" w:rsidRPr="008B4D04" w:rsidRDefault="005611DD" w:rsidP="009A213D">
            <w:pPr>
              <w:pStyle w:val="230"/>
              <w:spacing w:after="0" w:line="240" w:lineRule="auto"/>
              <w:ind w:left="0" w:firstLine="0"/>
              <w:rPr>
                <w:sz w:val="28"/>
                <w:szCs w:val="28"/>
              </w:rPr>
            </w:pPr>
            <w:r w:rsidRPr="008B4D04">
              <w:rPr>
                <w:sz w:val="28"/>
                <w:szCs w:val="28"/>
              </w:rPr>
              <w:t>Среднегодовая численность постоянного населения</w:t>
            </w:r>
          </w:p>
        </w:tc>
        <w:tc>
          <w:tcPr>
            <w:tcW w:w="1559" w:type="dxa"/>
            <w:tcBorders>
              <w:top w:val="single" w:sz="4" w:space="0" w:color="000000"/>
              <w:left w:val="single" w:sz="4" w:space="0" w:color="000000"/>
              <w:bottom w:val="single" w:sz="4" w:space="0" w:color="000000"/>
            </w:tcBorders>
            <w:vAlign w:val="center"/>
          </w:tcPr>
          <w:p w14:paraId="132C937F" w14:textId="77777777" w:rsidR="005611DD" w:rsidRPr="008B4D04" w:rsidRDefault="005611DD" w:rsidP="009A213D">
            <w:pPr>
              <w:pStyle w:val="230"/>
              <w:spacing w:after="0" w:line="240" w:lineRule="auto"/>
              <w:ind w:left="0" w:firstLine="0"/>
              <w:jc w:val="center"/>
              <w:rPr>
                <w:sz w:val="28"/>
                <w:szCs w:val="28"/>
              </w:rPr>
            </w:pPr>
            <w:r w:rsidRPr="008B4D04">
              <w:rPr>
                <w:sz w:val="28"/>
                <w:szCs w:val="28"/>
              </w:rPr>
              <w:t>тыс. человек</w:t>
            </w:r>
          </w:p>
        </w:tc>
        <w:tc>
          <w:tcPr>
            <w:tcW w:w="1559" w:type="dxa"/>
            <w:tcBorders>
              <w:top w:val="single" w:sz="4" w:space="0" w:color="000000"/>
              <w:left w:val="single" w:sz="4" w:space="0" w:color="000000"/>
              <w:bottom w:val="single" w:sz="4" w:space="0" w:color="000000"/>
            </w:tcBorders>
            <w:vAlign w:val="bottom"/>
          </w:tcPr>
          <w:p w14:paraId="30231DF8" w14:textId="77777777" w:rsidR="005611DD" w:rsidRPr="008B4D04" w:rsidRDefault="005611DD" w:rsidP="009A213D">
            <w:pPr>
              <w:pStyle w:val="230"/>
              <w:spacing w:after="0" w:line="240" w:lineRule="auto"/>
              <w:ind w:left="0" w:firstLine="0"/>
              <w:jc w:val="center"/>
              <w:rPr>
                <w:sz w:val="28"/>
                <w:szCs w:val="28"/>
                <w:lang w:val="en-US"/>
              </w:rPr>
            </w:pPr>
            <w:r w:rsidRPr="008B4D04">
              <w:rPr>
                <w:sz w:val="28"/>
                <w:szCs w:val="28"/>
                <w:lang w:val="en-US"/>
              </w:rPr>
              <w:t>693</w:t>
            </w:r>
            <w:r w:rsidRPr="008B4D04">
              <w:rPr>
                <w:sz w:val="28"/>
                <w:szCs w:val="28"/>
              </w:rPr>
              <w:t>,</w:t>
            </w:r>
            <w:r w:rsidRPr="008B4D04">
              <w:rPr>
                <w:sz w:val="28"/>
                <w:szCs w:val="28"/>
                <w:lang w:val="en-US"/>
              </w:rPr>
              <w:t>7</w:t>
            </w:r>
          </w:p>
        </w:tc>
        <w:tc>
          <w:tcPr>
            <w:tcW w:w="1418" w:type="dxa"/>
            <w:tcBorders>
              <w:top w:val="single" w:sz="4" w:space="0" w:color="000000"/>
              <w:left w:val="single" w:sz="4" w:space="0" w:color="000000"/>
              <w:bottom w:val="single" w:sz="4" w:space="0" w:color="000000"/>
            </w:tcBorders>
            <w:vAlign w:val="bottom"/>
          </w:tcPr>
          <w:p w14:paraId="4E417ABA" w14:textId="77777777" w:rsidR="005611DD" w:rsidRPr="008B4D04" w:rsidRDefault="005611DD" w:rsidP="009A213D">
            <w:pPr>
              <w:pStyle w:val="230"/>
              <w:spacing w:after="0" w:line="240" w:lineRule="auto"/>
              <w:ind w:left="0" w:firstLine="0"/>
              <w:jc w:val="center"/>
              <w:rPr>
                <w:sz w:val="28"/>
                <w:szCs w:val="28"/>
              </w:rPr>
            </w:pPr>
            <w:r w:rsidRPr="008B4D04">
              <w:rPr>
                <w:sz w:val="28"/>
                <w:szCs w:val="28"/>
              </w:rPr>
              <w:t>694,0</w:t>
            </w:r>
          </w:p>
        </w:tc>
        <w:tc>
          <w:tcPr>
            <w:tcW w:w="1275" w:type="dxa"/>
            <w:tcBorders>
              <w:top w:val="single" w:sz="4" w:space="0" w:color="000000"/>
              <w:left w:val="single" w:sz="4" w:space="0" w:color="000000"/>
              <w:bottom w:val="single" w:sz="4" w:space="0" w:color="000000"/>
              <w:right w:val="single" w:sz="4" w:space="0" w:color="000000"/>
            </w:tcBorders>
            <w:vAlign w:val="bottom"/>
          </w:tcPr>
          <w:p w14:paraId="410DFDEC" w14:textId="77777777" w:rsidR="005611DD" w:rsidRPr="008B4D04" w:rsidRDefault="005611DD" w:rsidP="009A213D">
            <w:pPr>
              <w:pStyle w:val="230"/>
              <w:spacing w:after="0" w:line="240" w:lineRule="auto"/>
              <w:ind w:left="0" w:firstLine="0"/>
              <w:jc w:val="center"/>
              <w:rPr>
                <w:sz w:val="28"/>
                <w:szCs w:val="28"/>
              </w:rPr>
            </w:pPr>
            <w:r>
              <w:rPr>
                <w:sz w:val="28"/>
                <w:szCs w:val="28"/>
              </w:rPr>
              <w:t>689,9</w:t>
            </w:r>
          </w:p>
        </w:tc>
      </w:tr>
      <w:tr w:rsidR="005611DD" w:rsidRPr="008253D3" w14:paraId="4416EDDC" w14:textId="77777777" w:rsidTr="009A213D">
        <w:tc>
          <w:tcPr>
            <w:tcW w:w="3544" w:type="dxa"/>
            <w:tcBorders>
              <w:top w:val="single" w:sz="4" w:space="0" w:color="000000"/>
              <w:left w:val="single" w:sz="4" w:space="0" w:color="000000"/>
              <w:bottom w:val="single" w:sz="4" w:space="0" w:color="000000"/>
            </w:tcBorders>
          </w:tcPr>
          <w:p w14:paraId="4F1C92FF" w14:textId="77777777" w:rsidR="005611DD" w:rsidRPr="008B4D04" w:rsidRDefault="005611DD" w:rsidP="009A213D">
            <w:pPr>
              <w:pStyle w:val="230"/>
              <w:spacing w:after="0" w:line="240" w:lineRule="auto"/>
              <w:ind w:left="0" w:firstLine="0"/>
              <w:rPr>
                <w:sz w:val="28"/>
                <w:szCs w:val="28"/>
              </w:rPr>
            </w:pPr>
            <w:r w:rsidRPr="008B4D04">
              <w:rPr>
                <w:sz w:val="28"/>
                <w:szCs w:val="28"/>
              </w:rPr>
              <w:t>Естественный прирост (убыль)</w:t>
            </w:r>
          </w:p>
        </w:tc>
        <w:tc>
          <w:tcPr>
            <w:tcW w:w="1559" w:type="dxa"/>
            <w:tcBorders>
              <w:top w:val="single" w:sz="4" w:space="0" w:color="000000"/>
              <w:left w:val="single" w:sz="4" w:space="0" w:color="000000"/>
              <w:bottom w:val="single" w:sz="4" w:space="0" w:color="000000"/>
            </w:tcBorders>
            <w:vAlign w:val="center"/>
          </w:tcPr>
          <w:p w14:paraId="16401828" w14:textId="77777777" w:rsidR="005611DD" w:rsidRPr="008B4D04" w:rsidRDefault="005611DD" w:rsidP="009A213D">
            <w:pPr>
              <w:pStyle w:val="230"/>
              <w:spacing w:after="0" w:line="240" w:lineRule="auto"/>
              <w:ind w:left="0" w:firstLine="0"/>
              <w:jc w:val="center"/>
              <w:rPr>
                <w:sz w:val="28"/>
                <w:szCs w:val="28"/>
              </w:rPr>
            </w:pPr>
            <w:r w:rsidRPr="008B4D04">
              <w:rPr>
                <w:sz w:val="28"/>
                <w:szCs w:val="28"/>
              </w:rPr>
              <w:t>тыс. человек</w:t>
            </w:r>
          </w:p>
        </w:tc>
        <w:tc>
          <w:tcPr>
            <w:tcW w:w="1559" w:type="dxa"/>
            <w:tcBorders>
              <w:top w:val="single" w:sz="4" w:space="0" w:color="000000"/>
              <w:left w:val="single" w:sz="4" w:space="0" w:color="000000"/>
              <w:bottom w:val="single" w:sz="4" w:space="0" w:color="000000"/>
            </w:tcBorders>
            <w:vAlign w:val="bottom"/>
          </w:tcPr>
          <w:p w14:paraId="33EB7001" w14:textId="77777777" w:rsidR="005611DD" w:rsidRPr="008B4D04" w:rsidRDefault="005611DD" w:rsidP="009A213D">
            <w:pPr>
              <w:pStyle w:val="230"/>
              <w:spacing w:after="0" w:line="240" w:lineRule="auto"/>
              <w:ind w:left="0" w:firstLine="0"/>
              <w:jc w:val="center"/>
              <w:rPr>
                <w:sz w:val="28"/>
                <w:szCs w:val="28"/>
              </w:rPr>
            </w:pPr>
            <w:r w:rsidRPr="008B4D04">
              <w:rPr>
                <w:sz w:val="28"/>
                <w:szCs w:val="28"/>
              </w:rPr>
              <w:t>-</w:t>
            </w:r>
            <w:r>
              <w:rPr>
                <w:sz w:val="28"/>
                <w:szCs w:val="28"/>
              </w:rPr>
              <w:t>2,6</w:t>
            </w:r>
          </w:p>
        </w:tc>
        <w:tc>
          <w:tcPr>
            <w:tcW w:w="1418" w:type="dxa"/>
            <w:tcBorders>
              <w:top w:val="single" w:sz="4" w:space="0" w:color="000000"/>
              <w:left w:val="single" w:sz="4" w:space="0" w:color="000000"/>
              <w:bottom w:val="single" w:sz="4" w:space="0" w:color="000000"/>
            </w:tcBorders>
            <w:vAlign w:val="bottom"/>
          </w:tcPr>
          <w:p w14:paraId="6A34960D" w14:textId="77777777" w:rsidR="005611DD" w:rsidRPr="008B4D04" w:rsidRDefault="005611DD" w:rsidP="009A213D">
            <w:pPr>
              <w:pStyle w:val="230"/>
              <w:spacing w:after="0" w:line="240" w:lineRule="auto"/>
              <w:ind w:left="0" w:firstLine="0"/>
              <w:jc w:val="center"/>
              <w:rPr>
                <w:sz w:val="28"/>
                <w:szCs w:val="28"/>
              </w:rPr>
            </w:pPr>
            <w:r w:rsidRPr="008B4D04">
              <w:rPr>
                <w:sz w:val="28"/>
                <w:szCs w:val="28"/>
              </w:rPr>
              <w:t>-</w:t>
            </w:r>
            <w:r>
              <w:rPr>
                <w:sz w:val="28"/>
                <w:szCs w:val="28"/>
              </w:rPr>
              <w:t>2,5</w:t>
            </w:r>
          </w:p>
        </w:tc>
        <w:tc>
          <w:tcPr>
            <w:tcW w:w="1275" w:type="dxa"/>
            <w:tcBorders>
              <w:top w:val="single" w:sz="4" w:space="0" w:color="000000"/>
              <w:left w:val="single" w:sz="4" w:space="0" w:color="000000"/>
              <w:bottom w:val="single" w:sz="4" w:space="0" w:color="000000"/>
              <w:right w:val="single" w:sz="4" w:space="0" w:color="000000"/>
            </w:tcBorders>
            <w:vAlign w:val="bottom"/>
          </w:tcPr>
          <w:p w14:paraId="7E6D59B2" w14:textId="77777777" w:rsidR="005611DD" w:rsidRPr="008B4D04" w:rsidRDefault="005611DD" w:rsidP="009A213D">
            <w:pPr>
              <w:pStyle w:val="230"/>
              <w:spacing w:after="0" w:line="240" w:lineRule="auto"/>
              <w:ind w:left="0" w:firstLine="0"/>
              <w:jc w:val="center"/>
              <w:rPr>
                <w:sz w:val="28"/>
                <w:szCs w:val="28"/>
              </w:rPr>
            </w:pPr>
            <w:r w:rsidRPr="008B4D04">
              <w:rPr>
                <w:sz w:val="28"/>
                <w:szCs w:val="28"/>
              </w:rPr>
              <w:t>-</w:t>
            </w:r>
            <w:r>
              <w:rPr>
                <w:sz w:val="28"/>
                <w:szCs w:val="28"/>
              </w:rPr>
              <w:t>4,7</w:t>
            </w:r>
          </w:p>
        </w:tc>
      </w:tr>
      <w:tr w:rsidR="005611DD" w:rsidRPr="008253D3" w14:paraId="738E9793" w14:textId="77777777" w:rsidTr="009A213D">
        <w:tc>
          <w:tcPr>
            <w:tcW w:w="3544" w:type="dxa"/>
            <w:tcBorders>
              <w:top w:val="single" w:sz="4" w:space="0" w:color="000000"/>
              <w:left w:val="single" w:sz="4" w:space="0" w:color="000000"/>
              <w:bottom w:val="single" w:sz="4" w:space="0" w:color="000000"/>
            </w:tcBorders>
          </w:tcPr>
          <w:p w14:paraId="3EAFF5DA" w14:textId="77777777" w:rsidR="005611DD" w:rsidRPr="008B4D04" w:rsidRDefault="005611DD" w:rsidP="009A213D">
            <w:pPr>
              <w:pStyle w:val="230"/>
              <w:spacing w:after="0" w:line="240" w:lineRule="auto"/>
              <w:ind w:left="0" w:firstLine="0"/>
              <w:rPr>
                <w:sz w:val="28"/>
                <w:szCs w:val="28"/>
              </w:rPr>
            </w:pPr>
            <w:r w:rsidRPr="008B4D04">
              <w:rPr>
                <w:sz w:val="28"/>
                <w:szCs w:val="28"/>
              </w:rPr>
              <w:t>Миграционный прирост (убыль)</w:t>
            </w:r>
          </w:p>
        </w:tc>
        <w:tc>
          <w:tcPr>
            <w:tcW w:w="1559" w:type="dxa"/>
            <w:tcBorders>
              <w:top w:val="single" w:sz="4" w:space="0" w:color="000000"/>
              <w:left w:val="single" w:sz="4" w:space="0" w:color="000000"/>
              <w:bottom w:val="single" w:sz="4" w:space="0" w:color="000000"/>
            </w:tcBorders>
            <w:vAlign w:val="center"/>
          </w:tcPr>
          <w:p w14:paraId="7F77795E" w14:textId="77777777" w:rsidR="005611DD" w:rsidRPr="008B4D04" w:rsidRDefault="005611DD" w:rsidP="009A213D">
            <w:pPr>
              <w:pStyle w:val="230"/>
              <w:spacing w:after="0" w:line="240" w:lineRule="auto"/>
              <w:ind w:left="0" w:firstLine="0"/>
              <w:jc w:val="center"/>
              <w:rPr>
                <w:sz w:val="28"/>
                <w:szCs w:val="28"/>
              </w:rPr>
            </w:pPr>
            <w:r w:rsidRPr="008B4D04">
              <w:rPr>
                <w:sz w:val="28"/>
                <w:szCs w:val="28"/>
              </w:rPr>
              <w:t>тыс. человек</w:t>
            </w:r>
          </w:p>
        </w:tc>
        <w:tc>
          <w:tcPr>
            <w:tcW w:w="1559" w:type="dxa"/>
            <w:tcBorders>
              <w:top w:val="single" w:sz="4" w:space="0" w:color="000000"/>
              <w:left w:val="single" w:sz="4" w:space="0" w:color="000000"/>
              <w:bottom w:val="single" w:sz="4" w:space="0" w:color="000000"/>
            </w:tcBorders>
            <w:vAlign w:val="bottom"/>
          </w:tcPr>
          <w:p w14:paraId="25780ECD" w14:textId="77777777" w:rsidR="005611DD" w:rsidRPr="008B4D04" w:rsidRDefault="005611DD" w:rsidP="009A213D">
            <w:pPr>
              <w:pStyle w:val="230"/>
              <w:spacing w:after="0" w:line="240" w:lineRule="auto"/>
              <w:ind w:left="0" w:firstLine="0"/>
              <w:jc w:val="center"/>
              <w:rPr>
                <w:sz w:val="28"/>
                <w:szCs w:val="28"/>
              </w:rPr>
            </w:pPr>
            <w:r>
              <w:rPr>
                <w:sz w:val="28"/>
                <w:szCs w:val="28"/>
              </w:rPr>
              <w:t>-1,5</w:t>
            </w:r>
          </w:p>
        </w:tc>
        <w:tc>
          <w:tcPr>
            <w:tcW w:w="1418" w:type="dxa"/>
            <w:tcBorders>
              <w:top w:val="single" w:sz="4" w:space="0" w:color="000000"/>
              <w:left w:val="single" w:sz="4" w:space="0" w:color="000000"/>
              <w:bottom w:val="single" w:sz="4" w:space="0" w:color="000000"/>
            </w:tcBorders>
            <w:vAlign w:val="bottom"/>
          </w:tcPr>
          <w:p w14:paraId="09DC877F" w14:textId="77777777" w:rsidR="005611DD" w:rsidRPr="008B4D04" w:rsidRDefault="005611DD" w:rsidP="009A213D">
            <w:pPr>
              <w:pStyle w:val="230"/>
              <w:spacing w:after="0" w:line="240" w:lineRule="auto"/>
              <w:ind w:left="0" w:firstLine="0"/>
              <w:jc w:val="center"/>
              <w:rPr>
                <w:sz w:val="28"/>
                <w:szCs w:val="28"/>
              </w:rPr>
            </w:pPr>
            <w:r w:rsidRPr="008B4D04">
              <w:rPr>
                <w:sz w:val="28"/>
                <w:szCs w:val="28"/>
              </w:rPr>
              <w:t>-</w:t>
            </w:r>
            <w:r>
              <w:rPr>
                <w:sz w:val="28"/>
                <w:szCs w:val="28"/>
              </w:rPr>
              <w:t>1,0</w:t>
            </w:r>
          </w:p>
        </w:tc>
        <w:tc>
          <w:tcPr>
            <w:tcW w:w="1275" w:type="dxa"/>
            <w:tcBorders>
              <w:top w:val="single" w:sz="4" w:space="0" w:color="000000"/>
              <w:left w:val="single" w:sz="4" w:space="0" w:color="000000"/>
              <w:bottom w:val="single" w:sz="4" w:space="0" w:color="000000"/>
              <w:right w:val="single" w:sz="4" w:space="0" w:color="000000"/>
            </w:tcBorders>
            <w:vAlign w:val="bottom"/>
          </w:tcPr>
          <w:p w14:paraId="6C46CF60" w14:textId="77777777" w:rsidR="005611DD" w:rsidRPr="008B4D04" w:rsidRDefault="005611DD" w:rsidP="009A213D">
            <w:pPr>
              <w:pStyle w:val="230"/>
              <w:spacing w:after="0" w:line="240" w:lineRule="auto"/>
              <w:ind w:left="0" w:firstLine="0"/>
              <w:jc w:val="center"/>
              <w:rPr>
                <w:sz w:val="28"/>
                <w:szCs w:val="28"/>
              </w:rPr>
            </w:pPr>
            <w:r>
              <w:rPr>
                <w:sz w:val="28"/>
                <w:szCs w:val="28"/>
              </w:rPr>
              <w:t>-1,75</w:t>
            </w:r>
          </w:p>
        </w:tc>
      </w:tr>
    </w:tbl>
    <w:p w14:paraId="7D9569C4" w14:textId="77777777" w:rsidR="00282B08" w:rsidRDefault="00282B08" w:rsidP="00962775">
      <w:pPr>
        <w:pStyle w:val="aff0"/>
        <w:spacing w:line="276" w:lineRule="auto"/>
        <w:rPr>
          <w:szCs w:val="28"/>
        </w:rPr>
      </w:pPr>
    </w:p>
    <w:p w14:paraId="14A85D28" w14:textId="4656648B" w:rsidR="00962775" w:rsidRDefault="00962775" w:rsidP="00962775">
      <w:pPr>
        <w:pStyle w:val="aff0"/>
        <w:spacing w:line="276" w:lineRule="auto"/>
        <w:rPr>
          <w:szCs w:val="28"/>
        </w:rPr>
      </w:pPr>
      <w:r>
        <w:rPr>
          <w:szCs w:val="28"/>
        </w:rPr>
        <w:t>Прогноз</w:t>
      </w:r>
      <w:r w:rsidR="0038399C">
        <w:rPr>
          <w:szCs w:val="28"/>
        </w:rPr>
        <w:t xml:space="preserve"> в сфере демографии</w:t>
      </w:r>
      <w:r>
        <w:rPr>
          <w:szCs w:val="28"/>
        </w:rPr>
        <w:t xml:space="preserve">, сформированный в предыдущем году, </w:t>
      </w:r>
      <w:r w:rsidR="0038399C">
        <w:rPr>
          <w:szCs w:val="28"/>
        </w:rPr>
        <w:lastRenderedPageBreak/>
        <w:t>корректируется на 2021 год в сторону снижения, так как в</w:t>
      </w:r>
      <w:r>
        <w:rPr>
          <w:szCs w:val="28"/>
        </w:rPr>
        <w:t xml:space="preserve"> результате сложившихся высоких показателей смертности во второй половине 2020 года и в первом полугодии 2021 года, </w:t>
      </w:r>
      <w:r w:rsidRPr="00047010">
        <w:rPr>
          <w:szCs w:val="28"/>
        </w:rPr>
        <w:t xml:space="preserve">естественная убыль населения оказалась существеннее, чем оценивалось ранее. </w:t>
      </w:r>
    </w:p>
    <w:p w14:paraId="5409EAEC" w14:textId="1C747C42" w:rsidR="00505A89" w:rsidRDefault="00047010" w:rsidP="00047010">
      <w:pPr>
        <w:pStyle w:val="aff0"/>
        <w:spacing w:line="276" w:lineRule="auto"/>
        <w:rPr>
          <w:szCs w:val="28"/>
        </w:rPr>
      </w:pPr>
      <w:r>
        <w:rPr>
          <w:szCs w:val="28"/>
        </w:rPr>
        <w:t>В результате</w:t>
      </w:r>
      <w:r w:rsidR="00505A89">
        <w:rPr>
          <w:rFonts w:eastAsia="Calibri"/>
          <w:bCs/>
          <w:szCs w:val="28"/>
          <w:lang w:eastAsia="en-US"/>
        </w:rPr>
        <w:t>, ч</w:t>
      </w:r>
      <w:r w:rsidR="00505A89" w:rsidRPr="00F2775C">
        <w:rPr>
          <w:rFonts w:eastAsia="Calibri"/>
          <w:bCs/>
          <w:szCs w:val="28"/>
          <w:lang w:eastAsia="en-US"/>
        </w:rPr>
        <w:t xml:space="preserve">исленность населения </w:t>
      </w:r>
      <w:r>
        <w:rPr>
          <w:rFonts w:eastAsia="Calibri"/>
          <w:bCs/>
          <w:szCs w:val="28"/>
          <w:lang w:eastAsia="en-US"/>
        </w:rPr>
        <w:t xml:space="preserve">в </w:t>
      </w:r>
      <w:r w:rsidR="00505A89" w:rsidRPr="00F2775C">
        <w:rPr>
          <w:rFonts w:eastAsia="Calibri"/>
          <w:bCs/>
          <w:szCs w:val="28"/>
          <w:lang w:eastAsia="en-US"/>
        </w:rPr>
        <w:t xml:space="preserve">городском округа Тольятти в среднегодовом выражении в 2021 году </w:t>
      </w:r>
      <w:r>
        <w:rPr>
          <w:rFonts w:eastAsia="Calibri"/>
          <w:bCs/>
          <w:szCs w:val="28"/>
          <w:lang w:eastAsia="en-US"/>
        </w:rPr>
        <w:t xml:space="preserve">снизится </w:t>
      </w:r>
      <w:r w:rsidR="00156875">
        <w:rPr>
          <w:rFonts w:eastAsia="Calibri"/>
          <w:bCs/>
          <w:szCs w:val="28"/>
          <w:lang w:eastAsia="en-US"/>
        </w:rPr>
        <w:t>значительнее</w:t>
      </w:r>
      <w:r>
        <w:rPr>
          <w:rFonts w:eastAsia="Calibri"/>
          <w:bCs/>
          <w:szCs w:val="28"/>
          <w:lang w:eastAsia="en-US"/>
        </w:rPr>
        <w:t xml:space="preserve"> и </w:t>
      </w:r>
      <w:r w:rsidR="00505A89" w:rsidRPr="00F2775C">
        <w:rPr>
          <w:rFonts w:eastAsia="Calibri"/>
          <w:bCs/>
          <w:szCs w:val="28"/>
          <w:lang w:eastAsia="en-US"/>
        </w:rPr>
        <w:t xml:space="preserve">может составить 689,9 </w:t>
      </w:r>
      <w:r w:rsidR="00505A89" w:rsidRPr="00451600">
        <w:rPr>
          <w:szCs w:val="28"/>
        </w:rPr>
        <w:t>тыс. чел</w:t>
      </w:r>
      <w:r w:rsidR="005611DD">
        <w:rPr>
          <w:szCs w:val="28"/>
        </w:rPr>
        <w:t xml:space="preserve">овек, что </w:t>
      </w:r>
      <w:r w:rsidR="00505A89" w:rsidRPr="00451600">
        <w:rPr>
          <w:szCs w:val="28"/>
        </w:rPr>
        <w:t xml:space="preserve">на 6,4 тыс. человек или 0,9% меньше, чем в 2020 году. </w:t>
      </w:r>
      <w:r w:rsidR="00D229F0">
        <w:rPr>
          <w:szCs w:val="28"/>
        </w:rPr>
        <w:t>Динамика смертности во втором полугодии 2021 года замедлилась, при этом, е</w:t>
      </w:r>
      <w:r w:rsidR="00505A89" w:rsidRPr="00451600">
        <w:rPr>
          <w:szCs w:val="28"/>
        </w:rPr>
        <w:t xml:space="preserve">стественная убыль населения </w:t>
      </w:r>
      <w:r w:rsidR="00E52637">
        <w:rPr>
          <w:szCs w:val="28"/>
        </w:rPr>
        <w:t xml:space="preserve">в 2021 году </w:t>
      </w:r>
      <w:r w:rsidR="005903FE">
        <w:rPr>
          <w:szCs w:val="28"/>
        </w:rPr>
        <w:t>останет</w:t>
      </w:r>
      <w:r w:rsidR="00D229F0">
        <w:rPr>
          <w:szCs w:val="28"/>
        </w:rPr>
        <w:t>ся примерно на уровне 2020 года</w:t>
      </w:r>
      <w:r w:rsidR="00505A89" w:rsidRPr="00451600">
        <w:rPr>
          <w:szCs w:val="28"/>
        </w:rPr>
        <w:t>.</w:t>
      </w:r>
      <w:r w:rsidR="00E52637">
        <w:rPr>
          <w:szCs w:val="28"/>
        </w:rPr>
        <w:t xml:space="preserve"> </w:t>
      </w:r>
    </w:p>
    <w:p w14:paraId="19FE5467" w14:textId="25CF3F99" w:rsidR="0053642F" w:rsidRPr="00557E4A" w:rsidRDefault="00C74827" w:rsidP="0053642F">
      <w:pPr>
        <w:widowControl w:val="0"/>
        <w:suppressAutoHyphens w:val="0"/>
        <w:autoSpaceDE w:val="0"/>
        <w:autoSpaceDN w:val="0"/>
        <w:adjustRightInd w:val="0"/>
        <w:spacing w:line="276" w:lineRule="auto"/>
        <w:rPr>
          <w:rFonts w:eastAsiaTheme="minorEastAsia"/>
          <w:sz w:val="28"/>
          <w:szCs w:val="28"/>
          <w:lang w:eastAsia="ru-RU"/>
        </w:rPr>
      </w:pPr>
      <w:r>
        <w:rPr>
          <w:rFonts w:eastAsiaTheme="minorEastAsia"/>
          <w:sz w:val="28"/>
          <w:szCs w:val="28"/>
          <w:lang w:eastAsia="ru-RU"/>
        </w:rPr>
        <w:t>На демографические процессы в городе влияет ситуация в сфере здравоохранения. С</w:t>
      </w:r>
      <w:r w:rsidR="00C66193" w:rsidRPr="00557E4A">
        <w:rPr>
          <w:rFonts w:eastAsiaTheme="minorEastAsia"/>
          <w:sz w:val="28"/>
          <w:szCs w:val="28"/>
          <w:lang w:eastAsia="ru-RU"/>
        </w:rPr>
        <w:t xml:space="preserve">огласно данным </w:t>
      </w:r>
      <w:proofErr w:type="spellStart"/>
      <w:r w:rsidR="00C66193" w:rsidRPr="00557E4A">
        <w:rPr>
          <w:rFonts w:eastAsiaTheme="minorEastAsia"/>
          <w:sz w:val="28"/>
          <w:szCs w:val="28"/>
          <w:lang w:eastAsia="ru-RU"/>
        </w:rPr>
        <w:t>Самарастат</w:t>
      </w:r>
      <w:r w:rsidR="00C66193">
        <w:rPr>
          <w:rFonts w:eastAsiaTheme="minorEastAsia"/>
          <w:sz w:val="28"/>
          <w:szCs w:val="28"/>
          <w:lang w:eastAsia="ru-RU"/>
        </w:rPr>
        <w:t>а</w:t>
      </w:r>
      <w:proofErr w:type="spellEnd"/>
      <w:r w:rsidR="00C66193">
        <w:rPr>
          <w:rFonts w:eastAsiaTheme="minorEastAsia"/>
          <w:sz w:val="28"/>
          <w:szCs w:val="28"/>
          <w:lang w:eastAsia="ru-RU"/>
        </w:rPr>
        <w:t>,</w:t>
      </w:r>
      <w:r w:rsidR="00C66193" w:rsidRPr="00557E4A">
        <w:rPr>
          <w:rFonts w:eastAsiaTheme="minorEastAsia"/>
          <w:sz w:val="28"/>
          <w:szCs w:val="28"/>
          <w:lang w:eastAsia="ru-RU"/>
        </w:rPr>
        <w:t xml:space="preserve"> по состоянию на 01.01.2021 </w:t>
      </w:r>
      <w:r w:rsidR="0053642F" w:rsidRPr="00557E4A">
        <w:rPr>
          <w:rFonts w:eastAsiaTheme="minorEastAsia"/>
          <w:sz w:val="28"/>
          <w:szCs w:val="28"/>
          <w:lang w:eastAsia="ru-RU"/>
        </w:rPr>
        <w:t xml:space="preserve">осуществляют деятельность 11 больничных учреждений на 4 992 коек. Обеспеченность населения больничными койками составила 72,0 ед. на 10 тыс. человек населения (на 4,2 ед. больше, чем в 2019 году, но на 2,6 ед. ниже </w:t>
      </w:r>
      <w:r w:rsidR="009B5826">
        <w:rPr>
          <w:rFonts w:eastAsiaTheme="minorEastAsia"/>
          <w:sz w:val="28"/>
          <w:szCs w:val="28"/>
          <w:lang w:eastAsia="ru-RU"/>
        </w:rPr>
        <w:t>средне</w:t>
      </w:r>
      <w:r w:rsidR="0053642F" w:rsidRPr="00557E4A">
        <w:rPr>
          <w:rFonts w:eastAsiaTheme="minorEastAsia"/>
          <w:sz w:val="28"/>
          <w:szCs w:val="28"/>
          <w:lang w:eastAsia="ru-RU"/>
        </w:rPr>
        <w:t xml:space="preserve">областного уровня). Среди городских округов </w:t>
      </w:r>
      <w:r w:rsidR="009B5826">
        <w:rPr>
          <w:rFonts w:eastAsiaTheme="minorEastAsia"/>
          <w:sz w:val="28"/>
          <w:szCs w:val="28"/>
          <w:lang w:eastAsia="ru-RU"/>
        </w:rPr>
        <w:t xml:space="preserve">области </w:t>
      </w:r>
      <w:r w:rsidR="0053642F" w:rsidRPr="00557E4A">
        <w:rPr>
          <w:rFonts w:eastAsiaTheme="minorEastAsia"/>
          <w:sz w:val="28"/>
          <w:szCs w:val="28"/>
          <w:lang w:eastAsia="ru-RU"/>
        </w:rPr>
        <w:t xml:space="preserve">по обеспеченности населения больничными койками </w:t>
      </w:r>
      <w:r w:rsidR="006522BE">
        <w:rPr>
          <w:rFonts w:eastAsiaTheme="minorEastAsia"/>
          <w:sz w:val="28"/>
          <w:szCs w:val="28"/>
          <w:lang w:eastAsia="ru-RU"/>
        </w:rPr>
        <w:t>городско</w:t>
      </w:r>
      <w:r w:rsidR="009B5826">
        <w:rPr>
          <w:rFonts w:eastAsiaTheme="minorEastAsia"/>
          <w:sz w:val="28"/>
          <w:szCs w:val="28"/>
          <w:lang w:eastAsia="ru-RU"/>
        </w:rPr>
        <w:t>й</w:t>
      </w:r>
      <w:r w:rsidR="006522BE">
        <w:rPr>
          <w:rFonts w:eastAsiaTheme="minorEastAsia"/>
          <w:sz w:val="28"/>
          <w:szCs w:val="28"/>
          <w:lang w:eastAsia="ru-RU"/>
        </w:rPr>
        <w:t xml:space="preserve"> округ</w:t>
      </w:r>
      <w:r w:rsidR="0053642F" w:rsidRPr="00557E4A">
        <w:rPr>
          <w:rFonts w:eastAsiaTheme="minorEastAsia"/>
          <w:sz w:val="28"/>
          <w:szCs w:val="28"/>
          <w:lang w:eastAsia="ru-RU"/>
        </w:rPr>
        <w:t xml:space="preserve"> Тольятти </w:t>
      </w:r>
      <w:r w:rsidR="0053642F" w:rsidRPr="005E4972">
        <w:rPr>
          <w:rFonts w:eastAsiaTheme="minorEastAsia"/>
          <w:sz w:val="28"/>
          <w:szCs w:val="28"/>
          <w:lang w:eastAsia="ru-RU"/>
        </w:rPr>
        <w:t>занимает 2 место (</w:t>
      </w:r>
      <w:r w:rsidR="005E4972" w:rsidRPr="005E4972">
        <w:rPr>
          <w:rFonts w:eastAsiaTheme="minorEastAsia"/>
          <w:sz w:val="28"/>
          <w:szCs w:val="28"/>
          <w:lang w:eastAsia="ru-RU"/>
        </w:rPr>
        <w:t>1</w:t>
      </w:r>
      <w:r w:rsidR="0053642F" w:rsidRPr="005E4972">
        <w:rPr>
          <w:rFonts w:eastAsiaTheme="minorEastAsia"/>
          <w:sz w:val="28"/>
          <w:szCs w:val="28"/>
          <w:lang w:eastAsia="ru-RU"/>
        </w:rPr>
        <w:t xml:space="preserve"> место – г.о. Самара, 3 место – г.о. Сызрань).</w:t>
      </w:r>
      <w:r w:rsidR="0053642F" w:rsidRPr="00557E4A">
        <w:rPr>
          <w:rFonts w:eastAsiaTheme="minorEastAsia"/>
          <w:sz w:val="28"/>
          <w:szCs w:val="28"/>
          <w:lang w:eastAsia="ru-RU"/>
        </w:rPr>
        <w:t xml:space="preserve">  </w:t>
      </w:r>
    </w:p>
    <w:p w14:paraId="4CF8AF23" w14:textId="5D38FB54" w:rsidR="0053642F" w:rsidRPr="00557E4A" w:rsidRDefault="0053642F" w:rsidP="0053642F">
      <w:pPr>
        <w:widowControl w:val="0"/>
        <w:suppressAutoHyphens w:val="0"/>
        <w:autoSpaceDE w:val="0"/>
        <w:autoSpaceDN w:val="0"/>
        <w:adjustRightInd w:val="0"/>
        <w:spacing w:line="276" w:lineRule="auto"/>
        <w:rPr>
          <w:rFonts w:eastAsiaTheme="minorEastAsia"/>
          <w:sz w:val="28"/>
          <w:szCs w:val="28"/>
          <w:lang w:eastAsia="ru-RU"/>
        </w:rPr>
      </w:pPr>
      <w:r w:rsidRPr="00557E4A">
        <w:rPr>
          <w:rFonts w:eastAsiaTheme="minorEastAsia"/>
          <w:sz w:val="28"/>
          <w:szCs w:val="28"/>
          <w:lang w:eastAsia="ru-RU"/>
        </w:rPr>
        <w:t xml:space="preserve">Число врачебных амбулаторно-поликлинических учреждений </w:t>
      </w:r>
      <w:r w:rsidR="009B5826">
        <w:rPr>
          <w:rFonts w:eastAsiaTheme="minorEastAsia"/>
          <w:sz w:val="28"/>
          <w:szCs w:val="28"/>
          <w:lang w:eastAsia="ru-RU"/>
        </w:rPr>
        <w:t>городского округа</w:t>
      </w:r>
      <w:r w:rsidRPr="00557E4A">
        <w:rPr>
          <w:rFonts w:eastAsiaTheme="minorEastAsia"/>
          <w:sz w:val="28"/>
          <w:szCs w:val="28"/>
          <w:lang w:eastAsia="ru-RU"/>
        </w:rPr>
        <w:t xml:space="preserve"> Тольятти по сравнению с предыдущим годом сократилось на 10,3% и составило 52 ед.</w:t>
      </w:r>
    </w:p>
    <w:p w14:paraId="7B63A2A2" w14:textId="5927C978" w:rsidR="0053642F" w:rsidRPr="00557E4A" w:rsidRDefault="0053642F" w:rsidP="0053642F">
      <w:pPr>
        <w:widowControl w:val="0"/>
        <w:suppressAutoHyphens w:val="0"/>
        <w:autoSpaceDE w:val="0"/>
        <w:autoSpaceDN w:val="0"/>
        <w:adjustRightInd w:val="0"/>
        <w:spacing w:line="276" w:lineRule="auto"/>
        <w:rPr>
          <w:rFonts w:eastAsiaTheme="minorEastAsia"/>
          <w:sz w:val="28"/>
          <w:szCs w:val="28"/>
          <w:lang w:eastAsia="ru-RU"/>
        </w:rPr>
      </w:pPr>
      <w:r w:rsidRPr="00557E4A">
        <w:rPr>
          <w:rFonts w:eastAsiaTheme="minorEastAsia"/>
          <w:sz w:val="28"/>
          <w:szCs w:val="28"/>
          <w:lang w:eastAsia="ru-RU"/>
        </w:rPr>
        <w:t xml:space="preserve">Мощность врачебных амбулаторно-поликлинических учреждений </w:t>
      </w:r>
      <w:r w:rsidR="00774506">
        <w:rPr>
          <w:rFonts w:eastAsiaTheme="minorEastAsia"/>
          <w:sz w:val="28"/>
          <w:szCs w:val="28"/>
          <w:lang w:eastAsia="ru-RU"/>
        </w:rPr>
        <w:t>городского округа</w:t>
      </w:r>
      <w:r w:rsidRPr="00557E4A">
        <w:rPr>
          <w:rFonts w:eastAsiaTheme="minorEastAsia"/>
          <w:sz w:val="28"/>
          <w:szCs w:val="28"/>
          <w:lang w:eastAsia="ru-RU"/>
        </w:rPr>
        <w:t xml:space="preserve"> Тольятти составила 15229 посещений в смену, что на 107,5 ед. ниже уровня 2019 года. В расчёте на 10 тыс. человек населения данный показатель составил 219,6 ед., что на 14,8% меньше </w:t>
      </w:r>
      <w:r w:rsidR="009B5826">
        <w:rPr>
          <w:rFonts w:eastAsiaTheme="minorEastAsia"/>
          <w:sz w:val="28"/>
          <w:szCs w:val="28"/>
          <w:lang w:eastAsia="ru-RU"/>
        </w:rPr>
        <w:t>средне</w:t>
      </w:r>
      <w:r w:rsidRPr="00557E4A">
        <w:rPr>
          <w:rFonts w:eastAsiaTheme="minorEastAsia"/>
          <w:sz w:val="28"/>
          <w:szCs w:val="28"/>
          <w:lang w:eastAsia="ru-RU"/>
        </w:rPr>
        <w:t xml:space="preserve">областного уровня (268,5 ед.). Среди городских округов </w:t>
      </w:r>
      <w:r w:rsidR="009B5826">
        <w:rPr>
          <w:rFonts w:eastAsiaTheme="minorEastAsia"/>
          <w:sz w:val="28"/>
          <w:szCs w:val="28"/>
          <w:lang w:eastAsia="ru-RU"/>
        </w:rPr>
        <w:t>С</w:t>
      </w:r>
      <w:r w:rsidRPr="00557E4A">
        <w:rPr>
          <w:rFonts w:eastAsiaTheme="minorEastAsia"/>
          <w:sz w:val="28"/>
          <w:szCs w:val="28"/>
          <w:lang w:eastAsia="ru-RU"/>
        </w:rPr>
        <w:t xml:space="preserve">амарской области наиболее высокий уровень данного показателя в </w:t>
      </w:r>
      <w:r w:rsidR="009B5826">
        <w:rPr>
          <w:rFonts w:eastAsiaTheme="minorEastAsia"/>
          <w:sz w:val="28"/>
          <w:szCs w:val="28"/>
          <w:lang w:eastAsia="ru-RU"/>
        </w:rPr>
        <w:t xml:space="preserve">г.о. </w:t>
      </w:r>
      <w:r w:rsidRPr="00557E4A">
        <w:rPr>
          <w:rFonts w:eastAsiaTheme="minorEastAsia"/>
          <w:sz w:val="28"/>
          <w:szCs w:val="28"/>
          <w:lang w:eastAsia="ru-RU"/>
        </w:rPr>
        <w:t xml:space="preserve">Жигулевск (316,1 посещений в смену в расчёте на 10 тыс. человек населения), в </w:t>
      </w:r>
      <w:r w:rsidR="009B5826">
        <w:rPr>
          <w:rFonts w:eastAsiaTheme="minorEastAsia"/>
          <w:sz w:val="28"/>
          <w:szCs w:val="28"/>
          <w:lang w:eastAsia="ru-RU"/>
        </w:rPr>
        <w:t xml:space="preserve">г.о. </w:t>
      </w:r>
      <w:r w:rsidRPr="00557E4A">
        <w:rPr>
          <w:rFonts w:eastAsiaTheme="minorEastAsia"/>
          <w:sz w:val="28"/>
          <w:szCs w:val="28"/>
          <w:lang w:eastAsia="ru-RU"/>
        </w:rPr>
        <w:t>Самар</w:t>
      </w:r>
      <w:r w:rsidR="009B5826">
        <w:rPr>
          <w:rFonts w:eastAsiaTheme="minorEastAsia"/>
          <w:sz w:val="28"/>
          <w:szCs w:val="28"/>
          <w:lang w:eastAsia="ru-RU"/>
        </w:rPr>
        <w:t>а</w:t>
      </w:r>
      <w:r w:rsidRPr="00557E4A">
        <w:rPr>
          <w:rFonts w:eastAsiaTheme="minorEastAsia"/>
          <w:sz w:val="28"/>
          <w:szCs w:val="28"/>
          <w:lang w:eastAsia="ru-RU"/>
        </w:rPr>
        <w:t xml:space="preserve"> (309,0) и в </w:t>
      </w:r>
      <w:r w:rsidR="009B5826">
        <w:rPr>
          <w:rFonts w:eastAsiaTheme="minorEastAsia"/>
          <w:sz w:val="28"/>
          <w:szCs w:val="28"/>
          <w:lang w:eastAsia="ru-RU"/>
        </w:rPr>
        <w:t xml:space="preserve">г.о. </w:t>
      </w:r>
      <w:r w:rsidRPr="00557E4A">
        <w:rPr>
          <w:rFonts w:eastAsiaTheme="minorEastAsia"/>
          <w:sz w:val="28"/>
          <w:szCs w:val="28"/>
          <w:lang w:eastAsia="ru-RU"/>
        </w:rPr>
        <w:t>Отрадн</w:t>
      </w:r>
      <w:r w:rsidR="009B5826">
        <w:rPr>
          <w:rFonts w:eastAsiaTheme="minorEastAsia"/>
          <w:sz w:val="28"/>
          <w:szCs w:val="28"/>
          <w:lang w:eastAsia="ru-RU"/>
        </w:rPr>
        <w:t>ый</w:t>
      </w:r>
      <w:r w:rsidRPr="00557E4A">
        <w:rPr>
          <w:rFonts w:eastAsiaTheme="minorEastAsia"/>
          <w:sz w:val="28"/>
          <w:szCs w:val="28"/>
          <w:lang w:eastAsia="ru-RU"/>
        </w:rPr>
        <w:t xml:space="preserve"> (299,9), наименьший – в </w:t>
      </w:r>
      <w:r w:rsidR="009B5826">
        <w:rPr>
          <w:rFonts w:eastAsiaTheme="minorEastAsia"/>
          <w:sz w:val="28"/>
          <w:szCs w:val="28"/>
          <w:lang w:eastAsia="ru-RU"/>
        </w:rPr>
        <w:t xml:space="preserve">г.о. </w:t>
      </w:r>
      <w:r w:rsidRPr="00557E4A">
        <w:rPr>
          <w:rFonts w:eastAsiaTheme="minorEastAsia"/>
          <w:sz w:val="28"/>
          <w:szCs w:val="28"/>
          <w:lang w:eastAsia="ru-RU"/>
        </w:rPr>
        <w:t>Октябрьск (183,5).</w:t>
      </w:r>
    </w:p>
    <w:p w14:paraId="386327A6" w14:textId="4E3B1C76" w:rsidR="0053642F" w:rsidRPr="00557E4A" w:rsidRDefault="0053642F" w:rsidP="0053642F">
      <w:pPr>
        <w:widowControl w:val="0"/>
        <w:suppressAutoHyphens w:val="0"/>
        <w:autoSpaceDE w:val="0"/>
        <w:autoSpaceDN w:val="0"/>
        <w:adjustRightInd w:val="0"/>
        <w:spacing w:line="276" w:lineRule="auto"/>
        <w:rPr>
          <w:rFonts w:eastAsiaTheme="minorEastAsia"/>
          <w:sz w:val="28"/>
          <w:szCs w:val="28"/>
          <w:lang w:eastAsia="ru-RU"/>
        </w:rPr>
      </w:pPr>
      <w:r w:rsidRPr="00557E4A">
        <w:rPr>
          <w:rFonts w:eastAsiaTheme="minorEastAsia"/>
          <w:sz w:val="28"/>
          <w:szCs w:val="28"/>
          <w:lang w:eastAsia="ru-RU"/>
        </w:rPr>
        <w:t xml:space="preserve">На конец 2020 года в </w:t>
      </w:r>
      <w:r>
        <w:rPr>
          <w:rFonts w:eastAsiaTheme="minorEastAsia"/>
          <w:sz w:val="28"/>
          <w:szCs w:val="28"/>
          <w:lang w:eastAsia="ru-RU"/>
        </w:rPr>
        <w:t>городско</w:t>
      </w:r>
      <w:r w:rsidR="009B5826">
        <w:rPr>
          <w:rFonts w:eastAsiaTheme="minorEastAsia"/>
          <w:sz w:val="28"/>
          <w:szCs w:val="28"/>
          <w:lang w:eastAsia="ru-RU"/>
        </w:rPr>
        <w:t>м</w:t>
      </w:r>
      <w:r>
        <w:rPr>
          <w:rFonts w:eastAsiaTheme="minorEastAsia"/>
          <w:sz w:val="28"/>
          <w:szCs w:val="28"/>
          <w:lang w:eastAsia="ru-RU"/>
        </w:rPr>
        <w:t xml:space="preserve"> округ</w:t>
      </w:r>
      <w:r w:rsidR="009B5826">
        <w:rPr>
          <w:rFonts w:eastAsiaTheme="minorEastAsia"/>
          <w:sz w:val="28"/>
          <w:szCs w:val="28"/>
          <w:lang w:eastAsia="ru-RU"/>
        </w:rPr>
        <w:t>е</w:t>
      </w:r>
      <w:r w:rsidRPr="00557E4A">
        <w:rPr>
          <w:rFonts w:eastAsiaTheme="minorEastAsia"/>
          <w:sz w:val="28"/>
          <w:szCs w:val="28"/>
          <w:lang w:eastAsia="ru-RU"/>
        </w:rPr>
        <w:t xml:space="preserve"> Тольятти численность врачей всех специальностей составила 2557 человек, что на 0,1% выше уровня предыдущего года. По обеспеченности населения врачами всех специальностей с 2011 года </w:t>
      </w:r>
      <w:r>
        <w:rPr>
          <w:rFonts w:eastAsiaTheme="minorEastAsia"/>
          <w:sz w:val="28"/>
          <w:szCs w:val="28"/>
          <w:lang w:eastAsia="ru-RU"/>
        </w:rPr>
        <w:t>городско</w:t>
      </w:r>
      <w:r w:rsidR="009B5826">
        <w:rPr>
          <w:rFonts w:eastAsiaTheme="minorEastAsia"/>
          <w:sz w:val="28"/>
          <w:szCs w:val="28"/>
          <w:lang w:eastAsia="ru-RU"/>
        </w:rPr>
        <w:t>й</w:t>
      </w:r>
      <w:r>
        <w:rPr>
          <w:rFonts w:eastAsiaTheme="minorEastAsia"/>
          <w:sz w:val="28"/>
          <w:szCs w:val="28"/>
          <w:lang w:eastAsia="ru-RU"/>
        </w:rPr>
        <w:t xml:space="preserve"> округ</w:t>
      </w:r>
      <w:r w:rsidRPr="00557E4A">
        <w:rPr>
          <w:rFonts w:eastAsiaTheme="minorEastAsia"/>
          <w:sz w:val="28"/>
          <w:szCs w:val="28"/>
          <w:lang w:eastAsia="ru-RU"/>
        </w:rPr>
        <w:t xml:space="preserve"> Тольятти продолжает занимать 2 место (36,9 врачей на 10 тыс. человек населения) по Самарской области среди городских округов (1 место – г.о. Самара, 3 место – г.о. Новокуйбышевск). В среднем нагрузка на одного врача в </w:t>
      </w:r>
      <w:r w:rsidR="009B5826">
        <w:rPr>
          <w:rFonts w:eastAsiaTheme="minorEastAsia"/>
          <w:sz w:val="28"/>
          <w:szCs w:val="28"/>
          <w:lang w:eastAsia="ru-RU"/>
        </w:rPr>
        <w:t>городском округе</w:t>
      </w:r>
      <w:r w:rsidRPr="00557E4A">
        <w:rPr>
          <w:rFonts w:eastAsiaTheme="minorEastAsia"/>
          <w:sz w:val="28"/>
          <w:szCs w:val="28"/>
          <w:lang w:eastAsia="ru-RU"/>
        </w:rPr>
        <w:t xml:space="preserve"> Тольятти составила 272 человека, что на 33,9% выше </w:t>
      </w:r>
      <w:r w:rsidR="009B5826">
        <w:rPr>
          <w:rFonts w:eastAsiaTheme="minorEastAsia"/>
          <w:sz w:val="28"/>
          <w:szCs w:val="28"/>
          <w:lang w:eastAsia="ru-RU"/>
        </w:rPr>
        <w:t>средне</w:t>
      </w:r>
      <w:r w:rsidRPr="00557E4A">
        <w:rPr>
          <w:rFonts w:eastAsiaTheme="minorEastAsia"/>
          <w:sz w:val="28"/>
          <w:szCs w:val="28"/>
          <w:lang w:eastAsia="ru-RU"/>
        </w:rPr>
        <w:t>областного уровня (203 человека).</w:t>
      </w:r>
    </w:p>
    <w:p w14:paraId="4EF4DC74" w14:textId="4E91C64B" w:rsidR="0053642F" w:rsidRPr="00557E4A" w:rsidRDefault="0053642F" w:rsidP="0053642F">
      <w:pPr>
        <w:widowControl w:val="0"/>
        <w:suppressAutoHyphens w:val="0"/>
        <w:autoSpaceDE w:val="0"/>
        <w:autoSpaceDN w:val="0"/>
        <w:adjustRightInd w:val="0"/>
        <w:spacing w:line="276" w:lineRule="auto"/>
        <w:rPr>
          <w:rFonts w:eastAsiaTheme="minorEastAsia"/>
          <w:sz w:val="28"/>
          <w:szCs w:val="28"/>
          <w:lang w:eastAsia="ru-RU"/>
        </w:rPr>
      </w:pPr>
      <w:r w:rsidRPr="00557E4A">
        <w:rPr>
          <w:rFonts w:eastAsiaTheme="minorEastAsia"/>
          <w:sz w:val="28"/>
          <w:szCs w:val="28"/>
          <w:lang w:eastAsia="ru-RU"/>
        </w:rPr>
        <w:lastRenderedPageBreak/>
        <w:t>Численность среднего медицинского персонала на 01.01.2021 составила 5769 чел</w:t>
      </w:r>
      <w:r>
        <w:rPr>
          <w:rFonts w:eastAsiaTheme="minorEastAsia"/>
          <w:sz w:val="28"/>
          <w:szCs w:val="28"/>
          <w:lang w:eastAsia="ru-RU"/>
        </w:rPr>
        <w:t>овек</w:t>
      </w:r>
      <w:r w:rsidRPr="00557E4A">
        <w:rPr>
          <w:rFonts w:eastAsiaTheme="minorEastAsia"/>
          <w:sz w:val="28"/>
          <w:szCs w:val="28"/>
          <w:lang w:eastAsia="ru-RU"/>
        </w:rPr>
        <w:t xml:space="preserve">, что на </w:t>
      </w:r>
      <w:r w:rsidRPr="005E4972">
        <w:rPr>
          <w:rFonts w:eastAsiaTheme="minorEastAsia"/>
          <w:sz w:val="28"/>
          <w:szCs w:val="28"/>
          <w:lang w:eastAsia="ru-RU"/>
        </w:rPr>
        <w:t>3,5</w:t>
      </w:r>
      <w:r w:rsidR="005E4972" w:rsidRPr="005E4972">
        <w:rPr>
          <w:rFonts w:eastAsiaTheme="minorEastAsia"/>
          <w:sz w:val="28"/>
          <w:szCs w:val="28"/>
          <w:lang w:eastAsia="ru-RU"/>
        </w:rPr>
        <w:t>%</w:t>
      </w:r>
      <w:r w:rsidRPr="00557E4A">
        <w:rPr>
          <w:rFonts w:eastAsiaTheme="minorEastAsia"/>
          <w:sz w:val="28"/>
          <w:szCs w:val="28"/>
          <w:lang w:eastAsia="ru-RU"/>
        </w:rPr>
        <w:t xml:space="preserve"> меньше, чем годом ранее. По обеспеченности средним медицинским персоналом </w:t>
      </w:r>
      <w:r w:rsidR="009B5826">
        <w:rPr>
          <w:rFonts w:eastAsiaTheme="minorEastAsia"/>
          <w:sz w:val="28"/>
          <w:szCs w:val="28"/>
          <w:lang w:eastAsia="ru-RU"/>
        </w:rPr>
        <w:t>городского округа</w:t>
      </w:r>
      <w:r w:rsidRPr="00557E4A">
        <w:rPr>
          <w:rFonts w:eastAsiaTheme="minorEastAsia"/>
          <w:sz w:val="28"/>
          <w:szCs w:val="28"/>
          <w:lang w:eastAsia="ru-RU"/>
        </w:rPr>
        <w:t xml:space="preserve"> Тольятти занимает 4 место среди городских округов Самарской области в расчёте на 10 тыс. человек населения (1 место – г.</w:t>
      </w:r>
      <w:r w:rsidR="009B5826">
        <w:rPr>
          <w:rFonts w:eastAsiaTheme="minorEastAsia"/>
          <w:sz w:val="28"/>
          <w:szCs w:val="28"/>
          <w:lang w:eastAsia="ru-RU"/>
        </w:rPr>
        <w:t>о.</w:t>
      </w:r>
      <w:r w:rsidRPr="00557E4A">
        <w:rPr>
          <w:rFonts w:eastAsiaTheme="minorEastAsia"/>
          <w:sz w:val="28"/>
          <w:szCs w:val="28"/>
          <w:lang w:eastAsia="ru-RU"/>
        </w:rPr>
        <w:t xml:space="preserve"> Самара, 2 место – г.</w:t>
      </w:r>
      <w:r w:rsidR="009B5826">
        <w:rPr>
          <w:rFonts w:eastAsiaTheme="minorEastAsia"/>
          <w:sz w:val="28"/>
          <w:szCs w:val="28"/>
          <w:lang w:eastAsia="ru-RU"/>
        </w:rPr>
        <w:t>о.</w:t>
      </w:r>
      <w:r w:rsidRPr="00557E4A">
        <w:rPr>
          <w:rFonts w:eastAsiaTheme="minorEastAsia"/>
          <w:sz w:val="28"/>
          <w:szCs w:val="28"/>
          <w:lang w:eastAsia="ru-RU"/>
        </w:rPr>
        <w:t xml:space="preserve"> Сызрань, 3 место – г.</w:t>
      </w:r>
      <w:r w:rsidR="009B5826">
        <w:rPr>
          <w:rFonts w:eastAsiaTheme="minorEastAsia"/>
          <w:sz w:val="28"/>
          <w:szCs w:val="28"/>
          <w:lang w:eastAsia="ru-RU"/>
        </w:rPr>
        <w:t>о.</w:t>
      </w:r>
      <w:r w:rsidRPr="00557E4A">
        <w:rPr>
          <w:rFonts w:eastAsiaTheme="minorEastAsia"/>
          <w:sz w:val="28"/>
          <w:szCs w:val="28"/>
          <w:lang w:eastAsia="ru-RU"/>
        </w:rPr>
        <w:t xml:space="preserve"> Новокуйбышевск). По сравнению с 2019 годом значение данного показателя по </w:t>
      </w:r>
      <w:r w:rsidR="009B5826">
        <w:rPr>
          <w:rFonts w:eastAsiaTheme="minorEastAsia"/>
          <w:sz w:val="28"/>
          <w:szCs w:val="28"/>
          <w:lang w:eastAsia="ru-RU"/>
        </w:rPr>
        <w:t>городскому округу</w:t>
      </w:r>
      <w:r w:rsidRPr="00557E4A">
        <w:rPr>
          <w:rFonts w:eastAsiaTheme="minorEastAsia"/>
          <w:sz w:val="28"/>
          <w:szCs w:val="28"/>
          <w:lang w:eastAsia="ru-RU"/>
        </w:rPr>
        <w:t xml:space="preserve"> Тольятти сократилась на 2,7% и составил</w:t>
      </w:r>
      <w:r w:rsidR="009B5826">
        <w:rPr>
          <w:rFonts w:eastAsiaTheme="minorEastAsia"/>
          <w:sz w:val="28"/>
          <w:szCs w:val="28"/>
          <w:lang w:eastAsia="ru-RU"/>
        </w:rPr>
        <w:t>о</w:t>
      </w:r>
      <w:r w:rsidRPr="00557E4A">
        <w:rPr>
          <w:rFonts w:eastAsiaTheme="minorEastAsia"/>
          <w:sz w:val="28"/>
          <w:szCs w:val="28"/>
          <w:lang w:eastAsia="ru-RU"/>
        </w:rPr>
        <w:t xml:space="preserve"> 83,2 чел</w:t>
      </w:r>
      <w:r w:rsidR="009B5826">
        <w:rPr>
          <w:rFonts w:eastAsiaTheme="minorEastAsia"/>
          <w:sz w:val="28"/>
          <w:szCs w:val="28"/>
          <w:lang w:eastAsia="ru-RU"/>
        </w:rPr>
        <w:t>овек</w:t>
      </w:r>
      <w:r w:rsidRPr="00557E4A">
        <w:rPr>
          <w:rFonts w:eastAsiaTheme="minorEastAsia"/>
          <w:sz w:val="28"/>
          <w:szCs w:val="28"/>
          <w:lang w:eastAsia="ru-RU"/>
        </w:rPr>
        <w:t xml:space="preserve"> (по Самарской области – 92,6 чел</w:t>
      </w:r>
      <w:r w:rsidR="009B5826">
        <w:rPr>
          <w:rFonts w:eastAsiaTheme="minorEastAsia"/>
          <w:sz w:val="28"/>
          <w:szCs w:val="28"/>
          <w:lang w:eastAsia="ru-RU"/>
        </w:rPr>
        <w:t>овека</w:t>
      </w:r>
      <w:r w:rsidRPr="00557E4A">
        <w:rPr>
          <w:rFonts w:eastAsiaTheme="minorEastAsia"/>
          <w:sz w:val="28"/>
          <w:szCs w:val="28"/>
          <w:lang w:eastAsia="ru-RU"/>
        </w:rPr>
        <w:t xml:space="preserve">). </w:t>
      </w:r>
    </w:p>
    <w:p w14:paraId="22BA1D1E" w14:textId="57264A2E" w:rsidR="0053642F" w:rsidRPr="00557E4A" w:rsidRDefault="0053642F" w:rsidP="0053642F">
      <w:pPr>
        <w:widowControl w:val="0"/>
        <w:suppressAutoHyphens w:val="0"/>
        <w:autoSpaceDE w:val="0"/>
        <w:autoSpaceDN w:val="0"/>
        <w:adjustRightInd w:val="0"/>
        <w:spacing w:line="276" w:lineRule="auto"/>
        <w:rPr>
          <w:rFonts w:eastAsiaTheme="minorEastAsia"/>
          <w:sz w:val="28"/>
          <w:szCs w:val="28"/>
          <w:lang w:eastAsia="ru-RU"/>
        </w:rPr>
      </w:pPr>
      <w:r w:rsidRPr="00557E4A">
        <w:rPr>
          <w:rFonts w:eastAsiaTheme="minorEastAsia"/>
          <w:sz w:val="28"/>
          <w:szCs w:val="28"/>
          <w:lang w:eastAsia="ru-RU"/>
        </w:rPr>
        <w:t>По состоянию на 01.07.2021 количество граждан городского округа Тольятти, ежегодно проходящих профилактический медицинский осмотр и (или) диспансеризацию, составило 1226 чел</w:t>
      </w:r>
      <w:r w:rsidR="009B5826">
        <w:rPr>
          <w:rFonts w:eastAsiaTheme="minorEastAsia"/>
          <w:sz w:val="28"/>
          <w:szCs w:val="28"/>
          <w:lang w:eastAsia="ru-RU"/>
        </w:rPr>
        <w:t>овек</w:t>
      </w:r>
      <w:r w:rsidRPr="00557E4A">
        <w:rPr>
          <w:rFonts w:eastAsiaTheme="minorEastAsia"/>
          <w:sz w:val="28"/>
          <w:szCs w:val="28"/>
          <w:lang w:eastAsia="ru-RU"/>
        </w:rPr>
        <w:t xml:space="preserve"> (0,6% от годового показателя, введенного 15.06.2021).</w:t>
      </w:r>
    </w:p>
    <w:p w14:paraId="4CB3AE1A" w14:textId="1D032627" w:rsidR="0053642F" w:rsidRPr="00557E4A" w:rsidRDefault="0053642F" w:rsidP="0053642F">
      <w:pPr>
        <w:widowControl w:val="0"/>
        <w:suppressAutoHyphens w:val="0"/>
        <w:autoSpaceDE w:val="0"/>
        <w:autoSpaceDN w:val="0"/>
        <w:adjustRightInd w:val="0"/>
        <w:spacing w:line="276" w:lineRule="auto"/>
        <w:rPr>
          <w:rFonts w:eastAsiaTheme="minorEastAsia"/>
          <w:sz w:val="28"/>
          <w:szCs w:val="28"/>
          <w:lang w:eastAsia="ru-RU"/>
        </w:rPr>
      </w:pPr>
      <w:r w:rsidRPr="00557E4A">
        <w:rPr>
          <w:rFonts w:eastAsiaTheme="minorEastAsia"/>
          <w:sz w:val="28"/>
          <w:szCs w:val="28"/>
          <w:lang w:eastAsia="ru-RU"/>
        </w:rPr>
        <w:t xml:space="preserve">В целях развития системы оказания первичной медико-санитарной помощи в I полугодии 2021 года на территории городского округа </w:t>
      </w:r>
      <w:r w:rsidR="009B5826">
        <w:rPr>
          <w:rFonts w:eastAsiaTheme="minorEastAsia"/>
          <w:sz w:val="28"/>
          <w:szCs w:val="28"/>
          <w:lang w:eastAsia="ru-RU"/>
        </w:rPr>
        <w:t xml:space="preserve">Тольятти </w:t>
      </w:r>
      <w:r w:rsidRPr="00557E4A">
        <w:rPr>
          <w:rFonts w:eastAsiaTheme="minorEastAsia"/>
          <w:sz w:val="28"/>
          <w:szCs w:val="28"/>
          <w:lang w:eastAsia="ru-RU"/>
        </w:rPr>
        <w:t>размещено 3 баннера, посвященных профилактике заболеваний, прохождению профилактических медицинских осмотров.</w:t>
      </w:r>
      <w:r w:rsidR="00774506">
        <w:rPr>
          <w:rFonts w:eastAsiaTheme="minorEastAsia"/>
          <w:sz w:val="28"/>
          <w:szCs w:val="28"/>
          <w:lang w:eastAsia="ru-RU"/>
        </w:rPr>
        <w:t xml:space="preserve"> </w:t>
      </w:r>
      <w:r w:rsidRPr="00557E4A">
        <w:rPr>
          <w:rFonts w:eastAsiaTheme="minorEastAsia"/>
          <w:sz w:val="28"/>
          <w:szCs w:val="28"/>
          <w:lang w:eastAsia="ru-RU"/>
        </w:rPr>
        <w:t xml:space="preserve">Информация о прохождении диспансеризации и профилактических осмотров на постоянной основе размещается в официальной группе </w:t>
      </w:r>
      <w:r w:rsidR="00282B08">
        <w:rPr>
          <w:rFonts w:eastAsiaTheme="minorEastAsia"/>
          <w:sz w:val="28"/>
          <w:szCs w:val="28"/>
          <w:lang w:eastAsia="ru-RU"/>
        </w:rPr>
        <w:t>«</w:t>
      </w:r>
      <w:proofErr w:type="spellStart"/>
      <w:r w:rsidRPr="00557E4A">
        <w:rPr>
          <w:rFonts w:eastAsiaTheme="minorEastAsia"/>
          <w:sz w:val="28"/>
          <w:szCs w:val="28"/>
          <w:lang w:eastAsia="ru-RU"/>
        </w:rPr>
        <w:t>Вконтакте</w:t>
      </w:r>
      <w:proofErr w:type="spellEnd"/>
      <w:r w:rsidR="00282B08">
        <w:rPr>
          <w:rFonts w:eastAsiaTheme="minorEastAsia"/>
          <w:sz w:val="28"/>
          <w:szCs w:val="28"/>
          <w:lang w:eastAsia="ru-RU"/>
        </w:rPr>
        <w:t>»</w:t>
      </w:r>
      <w:r w:rsidRPr="00557E4A">
        <w:rPr>
          <w:rFonts w:eastAsiaTheme="minorEastAsia"/>
          <w:sz w:val="28"/>
          <w:szCs w:val="28"/>
          <w:lang w:eastAsia="ru-RU"/>
        </w:rPr>
        <w:t xml:space="preserve"> «Город Тольятти», на официальном портале администрации городского округа Тольятти в разделе «Укрепление общественного здоровья, ЗОЖ».</w:t>
      </w:r>
      <w:r w:rsidR="00774506">
        <w:rPr>
          <w:rFonts w:eastAsiaTheme="minorEastAsia"/>
          <w:sz w:val="28"/>
          <w:szCs w:val="28"/>
          <w:lang w:eastAsia="ru-RU"/>
        </w:rPr>
        <w:t xml:space="preserve"> </w:t>
      </w:r>
      <w:r w:rsidRPr="00557E4A">
        <w:rPr>
          <w:rFonts w:eastAsiaTheme="minorEastAsia"/>
          <w:sz w:val="28"/>
          <w:szCs w:val="28"/>
          <w:lang w:eastAsia="ru-RU"/>
        </w:rPr>
        <w:t>На крупные предприятия и организации города направлены памятки о прохождении профилактических медицинских осмотров и диспансеризации.</w:t>
      </w:r>
    </w:p>
    <w:p w14:paraId="242AF31D" w14:textId="77777777" w:rsidR="0053642F" w:rsidRPr="00557E4A" w:rsidRDefault="0053642F" w:rsidP="0053642F">
      <w:pPr>
        <w:widowControl w:val="0"/>
        <w:suppressAutoHyphens w:val="0"/>
        <w:autoSpaceDE w:val="0"/>
        <w:autoSpaceDN w:val="0"/>
        <w:adjustRightInd w:val="0"/>
        <w:spacing w:line="276" w:lineRule="auto"/>
        <w:rPr>
          <w:rFonts w:eastAsiaTheme="minorEastAsia"/>
          <w:sz w:val="28"/>
          <w:szCs w:val="28"/>
          <w:lang w:eastAsia="ru-RU"/>
        </w:rPr>
      </w:pPr>
      <w:r w:rsidRPr="00557E4A">
        <w:rPr>
          <w:rFonts w:eastAsiaTheme="minorEastAsia"/>
          <w:sz w:val="28"/>
          <w:szCs w:val="28"/>
          <w:lang w:eastAsia="ru-RU"/>
        </w:rPr>
        <w:t>С 13 мая 2021 года на территории торгового развлекательного центра «Парк Хаус» в прививочном пункте по вакцинации от новой коронавирусной инфекции дополнительно проводится диспансеризация жителей города.</w:t>
      </w:r>
    </w:p>
    <w:p w14:paraId="1EBD66F2" w14:textId="77777777" w:rsidR="0053642F" w:rsidRPr="00557E4A" w:rsidRDefault="0053642F" w:rsidP="0053642F">
      <w:pPr>
        <w:widowControl w:val="0"/>
        <w:suppressAutoHyphens w:val="0"/>
        <w:autoSpaceDE w:val="0"/>
        <w:autoSpaceDN w:val="0"/>
        <w:adjustRightInd w:val="0"/>
        <w:spacing w:line="276" w:lineRule="auto"/>
        <w:rPr>
          <w:rFonts w:eastAsiaTheme="minorEastAsia"/>
          <w:sz w:val="28"/>
          <w:szCs w:val="28"/>
          <w:lang w:eastAsia="ru-RU"/>
        </w:rPr>
      </w:pPr>
      <w:r w:rsidRPr="00557E4A">
        <w:rPr>
          <w:rFonts w:eastAsiaTheme="minorEastAsia"/>
          <w:sz w:val="28"/>
          <w:szCs w:val="28"/>
          <w:lang w:eastAsia="ru-RU"/>
        </w:rPr>
        <w:t>К процессам организации оказания медицинской помощи (помощь при проведении вакцинации, диспансеризации, доставки маломобильных пациентов в учреждения здравоохранения, обзвоне пациентов и т.д.) в городском округе Тольятти привлечено 88 волонтёров - студентов «Тольяттинского медицинского колледжа» (180% от годового показателя).</w:t>
      </w:r>
    </w:p>
    <w:p w14:paraId="6323095C" w14:textId="77777777" w:rsidR="0053642F" w:rsidRPr="00557E4A" w:rsidRDefault="0053642F" w:rsidP="0053642F">
      <w:pPr>
        <w:widowControl w:val="0"/>
        <w:suppressAutoHyphens w:val="0"/>
        <w:autoSpaceDE w:val="0"/>
        <w:autoSpaceDN w:val="0"/>
        <w:adjustRightInd w:val="0"/>
        <w:spacing w:line="276" w:lineRule="auto"/>
        <w:rPr>
          <w:rFonts w:eastAsiaTheme="minorEastAsia"/>
          <w:sz w:val="28"/>
          <w:szCs w:val="28"/>
          <w:lang w:eastAsia="ru-RU"/>
        </w:rPr>
      </w:pPr>
      <w:r w:rsidRPr="00557E4A">
        <w:rPr>
          <w:rFonts w:eastAsiaTheme="minorEastAsia"/>
          <w:sz w:val="28"/>
          <w:szCs w:val="28"/>
          <w:lang w:eastAsia="ru-RU"/>
        </w:rPr>
        <w:t>Волонтеры информируют население о порядке проведения вакцинации, оказывают помощь медикам и пациентам непосредственно в пунктах вакцинации и доставляют лекарства гражданам.</w:t>
      </w:r>
    </w:p>
    <w:p w14:paraId="5838ABB3" w14:textId="28166753" w:rsidR="0053642F" w:rsidRPr="00557E4A" w:rsidRDefault="0053642F" w:rsidP="00774506">
      <w:pPr>
        <w:widowControl w:val="0"/>
        <w:suppressAutoHyphens w:val="0"/>
        <w:autoSpaceDE w:val="0"/>
        <w:autoSpaceDN w:val="0"/>
        <w:adjustRightInd w:val="0"/>
        <w:spacing w:line="276" w:lineRule="auto"/>
        <w:rPr>
          <w:rFonts w:eastAsiaTheme="minorEastAsia"/>
          <w:sz w:val="28"/>
          <w:szCs w:val="28"/>
          <w:lang w:eastAsia="ru-RU"/>
        </w:rPr>
      </w:pPr>
      <w:r w:rsidRPr="00557E4A">
        <w:rPr>
          <w:rFonts w:eastAsiaTheme="minorEastAsia"/>
          <w:sz w:val="28"/>
          <w:szCs w:val="28"/>
          <w:lang w:eastAsia="ru-RU"/>
        </w:rPr>
        <w:t>В I полугодии 2021 года администрацией городского округа Тольятти проведено 6 массовых мероприятий с целью информирования граждан о профилактике заболеваний и популяризации ЗОЖ, информирования граждан о созданных в муниципальном образовании условиях для привлечения медицинских кадров</w:t>
      </w:r>
      <w:r w:rsidR="00774506">
        <w:rPr>
          <w:rFonts w:eastAsiaTheme="minorEastAsia"/>
          <w:sz w:val="28"/>
          <w:szCs w:val="28"/>
          <w:lang w:eastAsia="ru-RU"/>
        </w:rPr>
        <w:t>.</w:t>
      </w:r>
      <w:r w:rsidRPr="00557E4A">
        <w:rPr>
          <w:rFonts w:eastAsiaTheme="minorEastAsia"/>
          <w:sz w:val="28"/>
          <w:szCs w:val="28"/>
          <w:lang w:eastAsia="ru-RU"/>
        </w:rPr>
        <w:t xml:space="preserve"> </w:t>
      </w:r>
    </w:p>
    <w:p w14:paraId="7879854B" w14:textId="486A3C7D" w:rsidR="0053642F" w:rsidRPr="00557E4A" w:rsidRDefault="0053642F" w:rsidP="0053642F">
      <w:pPr>
        <w:widowControl w:val="0"/>
        <w:suppressAutoHyphens w:val="0"/>
        <w:autoSpaceDE w:val="0"/>
        <w:autoSpaceDN w:val="0"/>
        <w:adjustRightInd w:val="0"/>
        <w:spacing w:line="276" w:lineRule="auto"/>
        <w:rPr>
          <w:rFonts w:eastAsiaTheme="minorEastAsia"/>
          <w:sz w:val="28"/>
          <w:szCs w:val="28"/>
          <w:lang w:eastAsia="ru-RU"/>
        </w:rPr>
      </w:pPr>
      <w:r w:rsidRPr="00557E4A">
        <w:rPr>
          <w:rFonts w:eastAsiaTheme="minorEastAsia"/>
          <w:sz w:val="28"/>
          <w:szCs w:val="28"/>
          <w:lang w:eastAsia="ru-RU"/>
        </w:rPr>
        <w:t xml:space="preserve">Администрацией городского округа Тольятти организована </w:t>
      </w:r>
      <w:r w:rsidRPr="00557E4A">
        <w:rPr>
          <w:rFonts w:eastAsiaTheme="minorEastAsia"/>
          <w:sz w:val="28"/>
          <w:szCs w:val="28"/>
          <w:lang w:eastAsia="ru-RU"/>
        </w:rPr>
        <w:lastRenderedPageBreak/>
        <w:t xml:space="preserve">информационная кампания, направленная на мотивацию граждан городского округа Тольятти к прохождению вакцинации от новой коронавирусной инфекции. На постоянной основе информационные материалы публикуются через социальные сети, такие как Инстаграм, </w:t>
      </w:r>
      <w:proofErr w:type="spellStart"/>
      <w:r w:rsidRPr="00557E4A">
        <w:rPr>
          <w:rFonts w:eastAsiaTheme="minorEastAsia"/>
          <w:sz w:val="28"/>
          <w:szCs w:val="28"/>
          <w:lang w:eastAsia="ru-RU"/>
        </w:rPr>
        <w:t>Вконтакте</w:t>
      </w:r>
      <w:proofErr w:type="spellEnd"/>
      <w:r w:rsidRPr="00557E4A">
        <w:rPr>
          <w:rFonts w:eastAsiaTheme="minorEastAsia"/>
          <w:sz w:val="28"/>
          <w:szCs w:val="28"/>
          <w:lang w:eastAsia="ru-RU"/>
        </w:rPr>
        <w:t>, Твиттер, Фейсбук, Одноклассники, через официальный портал администрации городского округа Тольятти и на сайтах муниципальных учреждений.</w:t>
      </w:r>
    </w:p>
    <w:p w14:paraId="68FB7DAA" w14:textId="77777777" w:rsidR="0053642F" w:rsidRPr="00557E4A" w:rsidRDefault="0053642F" w:rsidP="0053642F">
      <w:pPr>
        <w:widowControl w:val="0"/>
        <w:suppressAutoHyphens w:val="0"/>
        <w:autoSpaceDE w:val="0"/>
        <w:autoSpaceDN w:val="0"/>
        <w:adjustRightInd w:val="0"/>
        <w:spacing w:line="276" w:lineRule="auto"/>
        <w:rPr>
          <w:rFonts w:eastAsiaTheme="minorEastAsia"/>
          <w:sz w:val="28"/>
          <w:szCs w:val="28"/>
          <w:lang w:eastAsia="ru-RU"/>
        </w:rPr>
      </w:pPr>
      <w:r w:rsidRPr="00557E4A">
        <w:rPr>
          <w:rFonts w:eastAsiaTheme="minorEastAsia"/>
          <w:sz w:val="28"/>
          <w:szCs w:val="28"/>
          <w:lang w:eastAsia="ru-RU"/>
        </w:rPr>
        <w:t>Проводятся встречи с руководителями подведомственных учреждений, организаций и предприятий различных форм собственности по вопросам прохождения вакцинации сотрудниками.</w:t>
      </w:r>
    </w:p>
    <w:p w14:paraId="1310C07F" w14:textId="77777777" w:rsidR="0053642F" w:rsidRDefault="0053642F" w:rsidP="0053642F">
      <w:pPr>
        <w:widowControl w:val="0"/>
        <w:suppressAutoHyphens w:val="0"/>
        <w:autoSpaceDE w:val="0"/>
        <w:autoSpaceDN w:val="0"/>
        <w:adjustRightInd w:val="0"/>
        <w:spacing w:line="276" w:lineRule="auto"/>
        <w:rPr>
          <w:rFonts w:eastAsiaTheme="minorEastAsia"/>
          <w:sz w:val="28"/>
          <w:szCs w:val="28"/>
          <w:lang w:eastAsia="ru-RU"/>
        </w:rPr>
      </w:pPr>
      <w:r w:rsidRPr="00557E4A">
        <w:rPr>
          <w:rFonts w:eastAsiaTheme="minorEastAsia"/>
          <w:sz w:val="28"/>
          <w:szCs w:val="28"/>
          <w:lang w:eastAsia="ru-RU"/>
        </w:rPr>
        <w:t>1 июля подвели первые итоги акции «Здоровью – ДА», направленной на мотивацию населения городского округа Тольятти на прохождение вакцинации от новой коронавирусной инфекции COVID – 19. Победителям вручены призы.</w:t>
      </w:r>
    </w:p>
    <w:p w14:paraId="40599DA1" w14:textId="2CE68164" w:rsidR="00C66193" w:rsidRDefault="00C66193" w:rsidP="003D6FC4">
      <w:pPr>
        <w:widowControl w:val="0"/>
        <w:suppressAutoHyphens w:val="0"/>
        <w:spacing w:line="276" w:lineRule="auto"/>
        <w:ind w:firstLine="0"/>
        <w:jc w:val="center"/>
        <w:rPr>
          <w:bCs/>
          <w:sz w:val="28"/>
          <w:szCs w:val="28"/>
          <w:lang w:eastAsia="en-US"/>
        </w:rPr>
      </w:pPr>
      <w:r>
        <w:rPr>
          <w:bCs/>
          <w:sz w:val="28"/>
          <w:szCs w:val="28"/>
          <w:lang w:eastAsia="en-US"/>
        </w:rPr>
        <w:t>Сфера занятости</w:t>
      </w:r>
    </w:p>
    <w:p w14:paraId="534C3084" w14:textId="7BA692C6" w:rsidR="003F24D4" w:rsidRDefault="003F24D4" w:rsidP="003F24D4">
      <w:pPr>
        <w:widowControl w:val="0"/>
        <w:suppressAutoHyphens w:val="0"/>
        <w:spacing w:line="276" w:lineRule="auto"/>
        <w:rPr>
          <w:bCs/>
          <w:sz w:val="28"/>
          <w:szCs w:val="28"/>
          <w:lang w:eastAsia="en-US"/>
        </w:rPr>
      </w:pPr>
      <w:r w:rsidRPr="003F24D4">
        <w:rPr>
          <w:bCs/>
          <w:sz w:val="28"/>
          <w:szCs w:val="28"/>
          <w:lang w:eastAsia="en-US"/>
        </w:rPr>
        <w:t>Демографические факторы, а именно сокращение численности населения в трудоспособном возрасте, влияют н</w:t>
      </w:r>
      <w:r w:rsidRPr="003F24D4">
        <w:rPr>
          <w:sz w:val="28"/>
          <w:szCs w:val="28"/>
          <w:lang w:eastAsia="en-US"/>
        </w:rPr>
        <w:t xml:space="preserve">а ситуацию в сфере занятости населения </w:t>
      </w:r>
      <w:r w:rsidRPr="003F24D4">
        <w:rPr>
          <w:bCs/>
          <w:sz w:val="28"/>
          <w:szCs w:val="28"/>
          <w:lang w:eastAsia="en-US"/>
        </w:rPr>
        <w:t>городского округа Тольятти.</w:t>
      </w:r>
    </w:p>
    <w:p w14:paraId="0C2FA4EC" w14:textId="45754801" w:rsidR="003F24D4" w:rsidRPr="003F24D4" w:rsidRDefault="005611DD" w:rsidP="003F24D4">
      <w:pPr>
        <w:widowControl w:val="0"/>
        <w:numPr>
          <w:ilvl w:val="0"/>
          <w:numId w:val="2"/>
        </w:numPr>
        <w:shd w:val="clear" w:color="auto" w:fill="FFFFFF"/>
        <w:tabs>
          <w:tab w:val="left" w:pos="8208"/>
        </w:tabs>
        <w:suppressAutoHyphens w:val="0"/>
        <w:spacing w:line="276" w:lineRule="auto"/>
        <w:ind w:left="0" w:firstLine="709"/>
        <w:contextualSpacing/>
        <w:rPr>
          <w:bCs/>
          <w:sz w:val="28"/>
          <w:szCs w:val="28"/>
          <w:lang w:eastAsia="en-US"/>
        </w:rPr>
      </w:pPr>
      <w:r>
        <w:rPr>
          <w:bCs/>
          <w:sz w:val="28"/>
          <w:szCs w:val="28"/>
          <w:lang w:eastAsia="en-US"/>
        </w:rPr>
        <w:t>За последние 10 лет (с</w:t>
      </w:r>
      <w:r w:rsidR="003F24D4" w:rsidRPr="003F24D4">
        <w:rPr>
          <w:bCs/>
          <w:sz w:val="28"/>
          <w:szCs w:val="28"/>
          <w:lang w:eastAsia="en-US"/>
        </w:rPr>
        <w:t xml:space="preserve"> 20</w:t>
      </w:r>
      <w:r>
        <w:rPr>
          <w:bCs/>
          <w:sz w:val="28"/>
          <w:szCs w:val="28"/>
          <w:lang w:eastAsia="en-US"/>
        </w:rPr>
        <w:t>10</w:t>
      </w:r>
      <w:r w:rsidR="003F24D4" w:rsidRPr="003F24D4">
        <w:rPr>
          <w:bCs/>
          <w:sz w:val="28"/>
          <w:szCs w:val="28"/>
          <w:lang w:eastAsia="en-US"/>
        </w:rPr>
        <w:t xml:space="preserve"> года</w:t>
      </w:r>
      <w:r>
        <w:rPr>
          <w:bCs/>
          <w:sz w:val="28"/>
          <w:szCs w:val="28"/>
          <w:lang w:eastAsia="en-US"/>
        </w:rPr>
        <w:t>)</w:t>
      </w:r>
      <w:r w:rsidR="003F24D4" w:rsidRPr="003F24D4">
        <w:rPr>
          <w:bCs/>
          <w:sz w:val="28"/>
          <w:szCs w:val="28"/>
          <w:lang w:eastAsia="en-US"/>
        </w:rPr>
        <w:t xml:space="preserve"> численность </w:t>
      </w:r>
      <w:r w:rsidR="003F24D4">
        <w:rPr>
          <w:bCs/>
          <w:sz w:val="28"/>
          <w:szCs w:val="28"/>
          <w:lang w:eastAsia="en-US"/>
        </w:rPr>
        <w:t xml:space="preserve">населения </w:t>
      </w:r>
      <w:r w:rsidR="003F24D4" w:rsidRPr="003F24D4">
        <w:rPr>
          <w:bCs/>
          <w:sz w:val="28"/>
          <w:szCs w:val="28"/>
          <w:lang w:eastAsia="en-US"/>
        </w:rPr>
        <w:t xml:space="preserve">в трудоспособном возрасте  снизилась на </w:t>
      </w:r>
      <w:r>
        <w:rPr>
          <w:bCs/>
          <w:sz w:val="28"/>
          <w:szCs w:val="28"/>
          <w:lang w:eastAsia="en-US"/>
        </w:rPr>
        <w:t>57,6</w:t>
      </w:r>
      <w:r w:rsidR="003F24D4" w:rsidRPr="003F24D4">
        <w:rPr>
          <w:bCs/>
          <w:sz w:val="28"/>
          <w:szCs w:val="28"/>
          <w:lang w:eastAsia="en-US"/>
        </w:rPr>
        <w:t xml:space="preserve"> тыс. чел</w:t>
      </w:r>
      <w:r w:rsidR="003F24D4">
        <w:rPr>
          <w:bCs/>
          <w:sz w:val="28"/>
          <w:szCs w:val="28"/>
          <w:lang w:eastAsia="en-US"/>
        </w:rPr>
        <w:t>овек</w:t>
      </w:r>
      <w:r w:rsidR="003F24D4" w:rsidRPr="003F24D4">
        <w:rPr>
          <w:bCs/>
          <w:sz w:val="28"/>
          <w:szCs w:val="28"/>
          <w:lang w:eastAsia="en-US"/>
        </w:rPr>
        <w:t xml:space="preserve"> (на </w:t>
      </w:r>
      <w:r>
        <w:rPr>
          <w:bCs/>
          <w:sz w:val="28"/>
          <w:szCs w:val="28"/>
          <w:lang w:eastAsia="en-US"/>
        </w:rPr>
        <w:t>12,6</w:t>
      </w:r>
      <w:r w:rsidR="003F24D4" w:rsidRPr="003F24D4">
        <w:rPr>
          <w:bCs/>
          <w:sz w:val="28"/>
          <w:szCs w:val="28"/>
          <w:lang w:eastAsia="en-US"/>
        </w:rPr>
        <w:t>%) и составила в 20</w:t>
      </w:r>
      <w:r w:rsidR="003F24D4">
        <w:rPr>
          <w:bCs/>
          <w:sz w:val="28"/>
          <w:szCs w:val="28"/>
          <w:lang w:eastAsia="en-US"/>
        </w:rPr>
        <w:t>20</w:t>
      </w:r>
      <w:r w:rsidR="003F24D4" w:rsidRPr="003F24D4">
        <w:rPr>
          <w:bCs/>
          <w:sz w:val="28"/>
          <w:szCs w:val="28"/>
          <w:lang w:eastAsia="en-US"/>
        </w:rPr>
        <w:t xml:space="preserve"> году </w:t>
      </w:r>
      <w:r w:rsidR="00BB0105">
        <w:rPr>
          <w:bCs/>
          <w:sz w:val="28"/>
          <w:szCs w:val="28"/>
          <w:lang w:eastAsia="en-US"/>
        </w:rPr>
        <w:t>400,0</w:t>
      </w:r>
      <w:r w:rsidR="003F24D4" w:rsidRPr="003F24D4">
        <w:rPr>
          <w:bCs/>
          <w:sz w:val="28"/>
          <w:szCs w:val="28"/>
          <w:lang w:eastAsia="en-US"/>
        </w:rPr>
        <w:t xml:space="preserve"> тыс. чел</w:t>
      </w:r>
      <w:r w:rsidR="003F24D4">
        <w:rPr>
          <w:bCs/>
          <w:sz w:val="28"/>
          <w:szCs w:val="28"/>
          <w:lang w:eastAsia="en-US"/>
        </w:rPr>
        <w:t>овек.</w:t>
      </w:r>
      <w:r w:rsidR="003F24D4" w:rsidRPr="003F24D4">
        <w:rPr>
          <w:bCs/>
          <w:sz w:val="28"/>
          <w:szCs w:val="28"/>
          <w:lang w:eastAsia="en-US"/>
        </w:rPr>
        <w:t xml:space="preserve"> При этом численность населения старше трудоспособного возраста выросла на </w:t>
      </w:r>
      <w:r>
        <w:rPr>
          <w:bCs/>
          <w:sz w:val="28"/>
          <w:szCs w:val="28"/>
          <w:lang w:eastAsia="en-US"/>
        </w:rPr>
        <w:t>22,4</w:t>
      </w:r>
      <w:r w:rsidR="003F24D4" w:rsidRPr="003F24D4">
        <w:rPr>
          <w:bCs/>
          <w:sz w:val="28"/>
          <w:szCs w:val="28"/>
          <w:lang w:eastAsia="en-US"/>
        </w:rPr>
        <w:t xml:space="preserve"> тыс. чел</w:t>
      </w:r>
      <w:r w:rsidR="00BB0105">
        <w:rPr>
          <w:bCs/>
          <w:sz w:val="28"/>
          <w:szCs w:val="28"/>
          <w:lang w:eastAsia="en-US"/>
        </w:rPr>
        <w:t>овек</w:t>
      </w:r>
      <w:r w:rsidR="003F24D4" w:rsidRPr="003F24D4">
        <w:rPr>
          <w:bCs/>
          <w:sz w:val="28"/>
          <w:szCs w:val="28"/>
          <w:lang w:eastAsia="en-US"/>
        </w:rPr>
        <w:t xml:space="preserve"> (на </w:t>
      </w:r>
      <w:r>
        <w:rPr>
          <w:bCs/>
          <w:sz w:val="28"/>
          <w:szCs w:val="28"/>
          <w:lang w:eastAsia="en-US"/>
        </w:rPr>
        <w:t>15</w:t>
      </w:r>
      <w:r w:rsidR="003F24D4" w:rsidRPr="003F24D4">
        <w:rPr>
          <w:bCs/>
          <w:sz w:val="28"/>
          <w:szCs w:val="28"/>
          <w:lang w:eastAsia="en-US"/>
        </w:rPr>
        <w:t>%) и составила</w:t>
      </w:r>
      <w:r w:rsidR="0038399C">
        <w:rPr>
          <w:bCs/>
          <w:sz w:val="28"/>
          <w:szCs w:val="28"/>
          <w:lang w:eastAsia="en-US"/>
        </w:rPr>
        <w:t xml:space="preserve"> </w:t>
      </w:r>
      <w:r w:rsidR="003F24D4" w:rsidRPr="003F24D4">
        <w:rPr>
          <w:bCs/>
          <w:sz w:val="28"/>
          <w:szCs w:val="28"/>
          <w:lang w:eastAsia="en-US"/>
        </w:rPr>
        <w:t>17</w:t>
      </w:r>
      <w:r w:rsidR="00BB0105">
        <w:rPr>
          <w:bCs/>
          <w:sz w:val="28"/>
          <w:szCs w:val="28"/>
          <w:lang w:eastAsia="en-US"/>
        </w:rPr>
        <w:t>1</w:t>
      </w:r>
      <w:r w:rsidR="003F24D4" w:rsidRPr="003F24D4">
        <w:rPr>
          <w:bCs/>
          <w:sz w:val="28"/>
          <w:szCs w:val="28"/>
          <w:lang w:eastAsia="en-US"/>
        </w:rPr>
        <w:t>,</w:t>
      </w:r>
      <w:r w:rsidR="00BB0105">
        <w:rPr>
          <w:bCs/>
          <w:sz w:val="28"/>
          <w:szCs w:val="28"/>
          <w:lang w:eastAsia="en-US"/>
        </w:rPr>
        <w:t>9</w:t>
      </w:r>
      <w:r w:rsidR="003F24D4" w:rsidRPr="003F24D4">
        <w:rPr>
          <w:bCs/>
          <w:sz w:val="28"/>
          <w:szCs w:val="28"/>
          <w:lang w:eastAsia="en-US"/>
        </w:rPr>
        <w:t xml:space="preserve"> тыс. чел</w:t>
      </w:r>
      <w:r w:rsidR="00BB0105">
        <w:rPr>
          <w:bCs/>
          <w:sz w:val="28"/>
          <w:szCs w:val="28"/>
          <w:lang w:eastAsia="en-US"/>
        </w:rPr>
        <w:t>овек</w:t>
      </w:r>
      <w:r w:rsidR="003F24D4" w:rsidRPr="003F24D4">
        <w:rPr>
          <w:bCs/>
          <w:sz w:val="28"/>
          <w:szCs w:val="28"/>
          <w:lang w:eastAsia="en-US"/>
        </w:rPr>
        <w:t xml:space="preserve">, а численность населения моложе трудоспособного возраста выросла на </w:t>
      </w:r>
      <w:r w:rsidR="00BB0105">
        <w:rPr>
          <w:bCs/>
          <w:sz w:val="28"/>
          <w:szCs w:val="28"/>
          <w:lang w:eastAsia="en-US"/>
        </w:rPr>
        <w:t>1</w:t>
      </w:r>
      <w:r>
        <w:rPr>
          <w:bCs/>
          <w:sz w:val="28"/>
          <w:szCs w:val="28"/>
          <w:lang w:eastAsia="en-US"/>
        </w:rPr>
        <w:t>0</w:t>
      </w:r>
      <w:r w:rsidR="00BB0105">
        <w:rPr>
          <w:bCs/>
          <w:sz w:val="28"/>
          <w:szCs w:val="28"/>
          <w:lang w:eastAsia="en-US"/>
        </w:rPr>
        <w:t>,</w:t>
      </w:r>
      <w:r>
        <w:rPr>
          <w:bCs/>
          <w:sz w:val="28"/>
          <w:szCs w:val="28"/>
          <w:lang w:eastAsia="en-US"/>
        </w:rPr>
        <w:t>8</w:t>
      </w:r>
      <w:r w:rsidR="003F24D4" w:rsidRPr="003F24D4">
        <w:rPr>
          <w:bCs/>
          <w:sz w:val="28"/>
          <w:szCs w:val="28"/>
          <w:lang w:eastAsia="en-US"/>
        </w:rPr>
        <w:t xml:space="preserve"> тыс. чел</w:t>
      </w:r>
      <w:r w:rsidR="00BB0105">
        <w:rPr>
          <w:bCs/>
          <w:sz w:val="28"/>
          <w:szCs w:val="28"/>
          <w:lang w:eastAsia="en-US"/>
        </w:rPr>
        <w:t>овек к 20</w:t>
      </w:r>
      <w:r>
        <w:rPr>
          <w:bCs/>
          <w:sz w:val="28"/>
          <w:szCs w:val="28"/>
          <w:lang w:eastAsia="en-US"/>
        </w:rPr>
        <w:t>10</w:t>
      </w:r>
      <w:r w:rsidR="00BB0105">
        <w:rPr>
          <w:bCs/>
          <w:sz w:val="28"/>
          <w:szCs w:val="28"/>
          <w:lang w:eastAsia="en-US"/>
        </w:rPr>
        <w:t xml:space="preserve"> году </w:t>
      </w:r>
      <w:r w:rsidR="003F24D4" w:rsidRPr="003F24D4">
        <w:rPr>
          <w:bCs/>
          <w:sz w:val="28"/>
          <w:szCs w:val="28"/>
          <w:lang w:eastAsia="en-US"/>
        </w:rPr>
        <w:t xml:space="preserve">(на </w:t>
      </w:r>
      <w:r>
        <w:rPr>
          <w:bCs/>
          <w:sz w:val="28"/>
          <w:szCs w:val="28"/>
          <w:lang w:eastAsia="en-US"/>
        </w:rPr>
        <w:t>9</w:t>
      </w:r>
      <w:r w:rsidR="003F24D4" w:rsidRPr="003F24D4">
        <w:rPr>
          <w:bCs/>
          <w:sz w:val="28"/>
          <w:szCs w:val="28"/>
          <w:lang w:eastAsia="en-US"/>
        </w:rPr>
        <w:t>,</w:t>
      </w:r>
      <w:r w:rsidR="00BB0105">
        <w:rPr>
          <w:bCs/>
          <w:sz w:val="28"/>
          <w:szCs w:val="28"/>
          <w:lang w:eastAsia="en-US"/>
        </w:rPr>
        <w:t>5</w:t>
      </w:r>
      <w:r w:rsidR="003F24D4" w:rsidRPr="003F24D4">
        <w:rPr>
          <w:bCs/>
          <w:sz w:val="28"/>
          <w:szCs w:val="28"/>
          <w:lang w:eastAsia="en-US"/>
        </w:rPr>
        <w:t>%) и составила</w:t>
      </w:r>
      <w:r w:rsidR="0038399C">
        <w:rPr>
          <w:bCs/>
          <w:sz w:val="28"/>
          <w:szCs w:val="28"/>
          <w:lang w:eastAsia="en-US"/>
        </w:rPr>
        <w:t xml:space="preserve"> </w:t>
      </w:r>
      <w:r w:rsidR="00BB0105">
        <w:rPr>
          <w:bCs/>
          <w:sz w:val="28"/>
          <w:szCs w:val="28"/>
          <w:lang w:eastAsia="en-US"/>
        </w:rPr>
        <w:t>124,4</w:t>
      </w:r>
      <w:r w:rsidR="003F24D4" w:rsidRPr="003F24D4">
        <w:rPr>
          <w:bCs/>
          <w:sz w:val="28"/>
          <w:szCs w:val="28"/>
          <w:lang w:eastAsia="en-US"/>
        </w:rPr>
        <w:t xml:space="preserve"> тыс. чел</w:t>
      </w:r>
      <w:r w:rsidR="00BB0105">
        <w:rPr>
          <w:bCs/>
          <w:sz w:val="28"/>
          <w:szCs w:val="28"/>
          <w:lang w:eastAsia="en-US"/>
        </w:rPr>
        <w:t>овек</w:t>
      </w:r>
      <w:r w:rsidR="003F24D4" w:rsidRPr="003F24D4">
        <w:rPr>
          <w:bCs/>
          <w:sz w:val="28"/>
          <w:szCs w:val="28"/>
          <w:lang w:eastAsia="en-US"/>
        </w:rPr>
        <w:t xml:space="preserve">. </w:t>
      </w:r>
    </w:p>
    <w:p w14:paraId="51E183D4" w14:textId="3AC3600D" w:rsidR="00BB0105" w:rsidRPr="00451600" w:rsidRDefault="00E5282A" w:rsidP="00BB0105">
      <w:pPr>
        <w:pStyle w:val="aff0"/>
        <w:spacing w:line="276" w:lineRule="auto"/>
        <w:rPr>
          <w:szCs w:val="28"/>
        </w:rPr>
      </w:pPr>
      <w:r>
        <w:rPr>
          <w:szCs w:val="28"/>
        </w:rPr>
        <w:t>В</w:t>
      </w:r>
      <w:r w:rsidR="00451600" w:rsidRPr="00451600">
        <w:rPr>
          <w:szCs w:val="28"/>
        </w:rPr>
        <w:t xml:space="preserve"> результате снижения численности населения в трудоспособном возрасте наблюда</w:t>
      </w:r>
      <w:r w:rsidR="00BB0105">
        <w:rPr>
          <w:szCs w:val="28"/>
        </w:rPr>
        <w:t>лось</w:t>
      </w:r>
      <w:r w:rsidR="00451600" w:rsidRPr="00451600">
        <w:rPr>
          <w:szCs w:val="28"/>
        </w:rPr>
        <w:t xml:space="preserve"> последовательное снижение численности </w:t>
      </w:r>
      <w:r w:rsidR="00BB0105">
        <w:rPr>
          <w:szCs w:val="28"/>
        </w:rPr>
        <w:t xml:space="preserve">трудовых ресурсов. </w:t>
      </w:r>
      <w:r w:rsidR="00BB0105" w:rsidRPr="00451600">
        <w:rPr>
          <w:szCs w:val="28"/>
        </w:rPr>
        <w:t>Доля численности трудовых ресурсов в общей численности населения городского округа Тольятти за 20</w:t>
      </w:r>
      <w:r w:rsidR="00BB0105">
        <w:rPr>
          <w:szCs w:val="28"/>
        </w:rPr>
        <w:t>20</w:t>
      </w:r>
      <w:r w:rsidR="00BB0105" w:rsidRPr="00451600">
        <w:rPr>
          <w:szCs w:val="28"/>
        </w:rPr>
        <w:t xml:space="preserve"> год составила </w:t>
      </w:r>
      <w:r w:rsidR="00BB0105">
        <w:rPr>
          <w:szCs w:val="28"/>
        </w:rPr>
        <w:t>62,7</w:t>
      </w:r>
      <w:r w:rsidR="00BB0105" w:rsidRPr="00451600">
        <w:rPr>
          <w:szCs w:val="28"/>
        </w:rPr>
        <w:t xml:space="preserve">% </w:t>
      </w:r>
      <w:r w:rsidR="00BB0105">
        <w:rPr>
          <w:szCs w:val="28"/>
        </w:rPr>
        <w:t>или 436,5 тыс. человек.</w:t>
      </w:r>
    </w:p>
    <w:p w14:paraId="02B853E1" w14:textId="7412B0B0" w:rsidR="00451600" w:rsidRDefault="008B5918" w:rsidP="00451600">
      <w:pPr>
        <w:pStyle w:val="aff0"/>
        <w:spacing w:line="276" w:lineRule="auto"/>
        <w:rPr>
          <w:bCs/>
          <w:szCs w:val="28"/>
          <w:lang w:eastAsia="en-US"/>
        </w:rPr>
      </w:pPr>
      <w:r w:rsidRPr="008B5918">
        <w:rPr>
          <w:bCs/>
          <w:szCs w:val="28"/>
          <w:lang w:eastAsia="en-US"/>
        </w:rPr>
        <w:t xml:space="preserve">Ограничительные мероприятия направленные на снижение распространения новой коронавирусной инфекции, в том числе ограничение передвижения по территории Российской Федерации и за пределы государства, нагрузка на пострадавшие отрасли экономики, а также рост числа безработных граждан, повлияли на сокращение </w:t>
      </w:r>
      <w:r>
        <w:rPr>
          <w:bCs/>
          <w:szCs w:val="28"/>
          <w:lang w:eastAsia="en-US"/>
        </w:rPr>
        <w:t xml:space="preserve">трудовых ресурсов и </w:t>
      </w:r>
      <w:r w:rsidRPr="008B5918">
        <w:rPr>
          <w:bCs/>
          <w:szCs w:val="28"/>
          <w:lang w:eastAsia="en-US"/>
        </w:rPr>
        <w:t>занятых в экономике городского округа Тольятти</w:t>
      </w:r>
      <w:r>
        <w:rPr>
          <w:bCs/>
          <w:szCs w:val="28"/>
          <w:lang w:eastAsia="en-US"/>
        </w:rPr>
        <w:t xml:space="preserve"> в 2020 году</w:t>
      </w:r>
      <w:r w:rsidRPr="008B5918">
        <w:rPr>
          <w:bCs/>
          <w:szCs w:val="28"/>
          <w:lang w:eastAsia="en-US"/>
        </w:rPr>
        <w:t xml:space="preserve">. </w:t>
      </w:r>
    </w:p>
    <w:p w14:paraId="00155747" w14:textId="0A58779D" w:rsidR="00BC1FF3" w:rsidRPr="00BC1FF3" w:rsidRDefault="00BC1FF3" w:rsidP="00BC1FF3">
      <w:pPr>
        <w:widowControl w:val="0"/>
        <w:suppressAutoHyphens w:val="0"/>
        <w:spacing w:line="276" w:lineRule="auto"/>
        <w:rPr>
          <w:bCs/>
          <w:sz w:val="28"/>
          <w:szCs w:val="28"/>
          <w:lang w:eastAsia="en-US"/>
        </w:rPr>
      </w:pPr>
      <w:r>
        <w:rPr>
          <w:bCs/>
          <w:sz w:val="28"/>
          <w:szCs w:val="28"/>
          <w:lang w:eastAsia="en-US"/>
        </w:rPr>
        <w:t>В</w:t>
      </w:r>
      <w:r w:rsidRPr="00BC1FF3">
        <w:rPr>
          <w:bCs/>
          <w:sz w:val="28"/>
          <w:szCs w:val="28"/>
          <w:lang w:eastAsia="en-US"/>
        </w:rPr>
        <w:t xml:space="preserve"> состав </w:t>
      </w:r>
      <w:r>
        <w:rPr>
          <w:bCs/>
          <w:sz w:val="28"/>
          <w:szCs w:val="28"/>
          <w:lang w:eastAsia="en-US"/>
        </w:rPr>
        <w:t>т</w:t>
      </w:r>
      <w:r w:rsidRPr="00BC1FF3">
        <w:rPr>
          <w:bCs/>
          <w:sz w:val="28"/>
          <w:szCs w:val="28"/>
          <w:lang w:eastAsia="en-US"/>
        </w:rPr>
        <w:t>рудовы</w:t>
      </w:r>
      <w:r>
        <w:rPr>
          <w:bCs/>
          <w:sz w:val="28"/>
          <w:szCs w:val="28"/>
          <w:lang w:eastAsia="en-US"/>
        </w:rPr>
        <w:t>х</w:t>
      </w:r>
      <w:r w:rsidRPr="00BC1FF3">
        <w:rPr>
          <w:bCs/>
          <w:sz w:val="28"/>
          <w:szCs w:val="28"/>
          <w:lang w:eastAsia="en-US"/>
        </w:rPr>
        <w:t xml:space="preserve"> ресурс</w:t>
      </w:r>
      <w:r>
        <w:rPr>
          <w:bCs/>
          <w:sz w:val="28"/>
          <w:szCs w:val="28"/>
          <w:lang w:eastAsia="en-US"/>
        </w:rPr>
        <w:t>ов</w:t>
      </w:r>
      <w:r w:rsidRPr="00BC1FF3">
        <w:rPr>
          <w:bCs/>
          <w:sz w:val="28"/>
          <w:szCs w:val="28"/>
          <w:lang w:eastAsia="en-US"/>
        </w:rPr>
        <w:t xml:space="preserve"> входит все </w:t>
      </w:r>
      <w:hyperlink r:id="rId10" w:tooltip="Трудоспособное население" w:history="1">
        <w:r w:rsidRPr="00BC1FF3">
          <w:rPr>
            <w:bCs/>
            <w:sz w:val="28"/>
            <w:szCs w:val="28"/>
            <w:lang w:eastAsia="en-US"/>
          </w:rPr>
          <w:t>трудоспособное население</w:t>
        </w:r>
      </w:hyperlink>
      <w:r w:rsidRPr="00BC1FF3">
        <w:rPr>
          <w:bCs/>
          <w:sz w:val="28"/>
          <w:szCs w:val="28"/>
          <w:lang w:eastAsia="en-US"/>
        </w:rPr>
        <w:t xml:space="preserve">, занятое в сферах общественного хозяйства и индивидуальной трудовой деятельности, также лица трудоспособного возраста, потенциально способные к труду, но занятые в домашнем и личном подсобном хозяйстве, </w:t>
      </w:r>
      <w:r w:rsidRPr="00BC1FF3">
        <w:rPr>
          <w:bCs/>
          <w:sz w:val="28"/>
          <w:szCs w:val="28"/>
          <w:lang w:eastAsia="en-US"/>
        </w:rPr>
        <w:lastRenderedPageBreak/>
        <w:t>на учебе с отрывом от производства, на военной службе, официально признанные безработные граждане и т.п.</w:t>
      </w:r>
    </w:p>
    <w:p w14:paraId="6BBA92B7" w14:textId="66EEF14F" w:rsidR="009A213D" w:rsidRDefault="008B5918" w:rsidP="00AD4C56">
      <w:pPr>
        <w:pStyle w:val="aff0"/>
        <w:spacing w:line="276" w:lineRule="auto"/>
        <w:rPr>
          <w:bCs/>
          <w:szCs w:val="28"/>
          <w:lang w:eastAsia="en-US"/>
        </w:rPr>
      </w:pPr>
      <w:r>
        <w:rPr>
          <w:bCs/>
          <w:szCs w:val="28"/>
          <w:lang w:eastAsia="en-US"/>
        </w:rPr>
        <w:t>Трудовые ресурсы городского округа Тольятти в 2020</w:t>
      </w:r>
      <w:r w:rsidR="00544F0B">
        <w:rPr>
          <w:bCs/>
          <w:szCs w:val="28"/>
          <w:lang w:eastAsia="en-US"/>
        </w:rPr>
        <w:t xml:space="preserve"> </w:t>
      </w:r>
      <w:r>
        <w:rPr>
          <w:bCs/>
          <w:szCs w:val="28"/>
          <w:lang w:eastAsia="en-US"/>
        </w:rPr>
        <w:t>год</w:t>
      </w:r>
      <w:r w:rsidR="00544F0B">
        <w:rPr>
          <w:bCs/>
          <w:szCs w:val="28"/>
          <w:lang w:eastAsia="en-US"/>
        </w:rPr>
        <w:t>у</w:t>
      </w:r>
      <w:r>
        <w:rPr>
          <w:bCs/>
          <w:szCs w:val="28"/>
          <w:lang w:eastAsia="en-US"/>
        </w:rPr>
        <w:t xml:space="preserve"> снизились на 7,5 тыс. человек</w:t>
      </w:r>
      <w:r w:rsidR="0038399C">
        <w:rPr>
          <w:bCs/>
          <w:szCs w:val="28"/>
          <w:lang w:eastAsia="en-US"/>
        </w:rPr>
        <w:t xml:space="preserve"> к 2019 году</w:t>
      </w:r>
      <w:r>
        <w:rPr>
          <w:bCs/>
          <w:szCs w:val="28"/>
          <w:lang w:eastAsia="en-US"/>
        </w:rPr>
        <w:t xml:space="preserve">, в том числе: </w:t>
      </w:r>
    </w:p>
    <w:p w14:paraId="14F29820" w14:textId="77777777" w:rsidR="009A213D" w:rsidRDefault="009A213D" w:rsidP="00AD4C56">
      <w:pPr>
        <w:pStyle w:val="aff0"/>
        <w:spacing w:line="276" w:lineRule="auto"/>
        <w:rPr>
          <w:bCs/>
          <w:szCs w:val="28"/>
          <w:lang w:eastAsia="en-US"/>
        </w:rPr>
      </w:pPr>
      <w:r>
        <w:rPr>
          <w:bCs/>
          <w:szCs w:val="28"/>
          <w:lang w:eastAsia="en-US"/>
        </w:rPr>
        <w:t xml:space="preserve">- </w:t>
      </w:r>
      <w:r w:rsidR="008B5918">
        <w:rPr>
          <w:bCs/>
          <w:szCs w:val="28"/>
          <w:lang w:eastAsia="en-US"/>
        </w:rPr>
        <w:t xml:space="preserve">трудоспособное население в трудоспособном возрасте </w:t>
      </w:r>
      <w:r>
        <w:rPr>
          <w:bCs/>
          <w:szCs w:val="28"/>
          <w:lang w:eastAsia="en-US"/>
        </w:rPr>
        <w:t>сократилось</w:t>
      </w:r>
      <w:r w:rsidR="008B5918">
        <w:rPr>
          <w:bCs/>
          <w:szCs w:val="28"/>
          <w:lang w:eastAsia="en-US"/>
        </w:rPr>
        <w:t xml:space="preserve"> на 1,2 тыс. челов</w:t>
      </w:r>
      <w:r>
        <w:rPr>
          <w:bCs/>
          <w:szCs w:val="28"/>
          <w:lang w:eastAsia="en-US"/>
        </w:rPr>
        <w:t>ек (составило 386 тыс. человек);</w:t>
      </w:r>
    </w:p>
    <w:p w14:paraId="6379A2E3" w14:textId="77777777" w:rsidR="009A213D" w:rsidRDefault="009A213D" w:rsidP="00AD4C56">
      <w:pPr>
        <w:pStyle w:val="aff0"/>
        <w:spacing w:line="276" w:lineRule="auto"/>
        <w:rPr>
          <w:bCs/>
          <w:szCs w:val="28"/>
          <w:lang w:eastAsia="en-US"/>
        </w:rPr>
      </w:pPr>
      <w:r>
        <w:rPr>
          <w:bCs/>
          <w:szCs w:val="28"/>
          <w:lang w:eastAsia="en-US"/>
        </w:rPr>
        <w:t>-</w:t>
      </w:r>
      <w:r w:rsidR="008B5918">
        <w:rPr>
          <w:bCs/>
          <w:szCs w:val="28"/>
          <w:lang w:eastAsia="en-US"/>
        </w:rPr>
        <w:t xml:space="preserve"> иностранные трудовые мигранты – на 4,4 тыс. человек (</w:t>
      </w:r>
      <w:r>
        <w:rPr>
          <w:bCs/>
          <w:szCs w:val="28"/>
          <w:lang w:eastAsia="en-US"/>
        </w:rPr>
        <w:t>составили 12,5 тыс. человек);</w:t>
      </w:r>
    </w:p>
    <w:p w14:paraId="0C115038" w14:textId="38831399" w:rsidR="008B5918" w:rsidRDefault="009A213D" w:rsidP="00AD4C56">
      <w:pPr>
        <w:pStyle w:val="aff0"/>
        <w:spacing w:line="276" w:lineRule="auto"/>
        <w:rPr>
          <w:bCs/>
          <w:szCs w:val="28"/>
          <w:lang w:eastAsia="en-US"/>
        </w:rPr>
      </w:pPr>
      <w:r>
        <w:rPr>
          <w:bCs/>
          <w:szCs w:val="28"/>
          <w:lang w:eastAsia="en-US"/>
        </w:rPr>
        <w:t>-</w:t>
      </w:r>
      <w:r w:rsidR="008B5918">
        <w:rPr>
          <w:bCs/>
          <w:szCs w:val="28"/>
          <w:lang w:eastAsia="en-US"/>
        </w:rPr>
        <w:t xml:space="preserve"> </w:t>
      </w:r>
      <w:r w:rsidR="008B5918" w:rsidRPr="008B5918">
        <w:rPr>
          <w:bCs/>
          <w:szCs w:val="28"/>
          <w:lang w:eastAsia="en-US"/>
        </w:rPr>
        <w:t>лица старше и младше  трудоспособного возраста, занятые в экономике</w:t>
      </w:r>
      <w:r w:rsidR="008B5918">
        <w:rPr>
          <w:bCs/>
          <w:szCs w:val="28"/>
          <w:lang w:eastAsia="en-US"/>
        </w:rPr>
        <w:t xml:space="preserve"> – на 1,9 тыс. человек (составили 38 тыс. человек).</w:t>
      </w:r>
    </w:p>
    <w:p w14:paraId="4D03685F" w14:textId="496F1303" w:rsidR="00544F0B" w:rsidRPr="00451600" w:rsidRDefault="00544F0B" w:rsidP="00AD4C56">
      <w:pPr>
        <w:pStyle w:val="aff0"/>
        <w:spacing w:line="276" w:lineRule="auto"/>
        <w:rPr>
          <w:szCs w:val="28"/>
        </w:rPr>
      </w:pPr>
      <w:r>
        <w:rPr>
          <w:bCs/>
          <w:szCs w:val="28"/>
          <w:lang w:eastAsia="en-US"/>
        </w:rPr>
        <w:t>В 2021 году трудоспособное население трудоспособного возраста снизится, по оценке, на 0,6 тыс. человек, иностранные трудовые мигранты вырастут незначительно на 0,3 тыс. человек, лица старше и младше трудоспособного возраста, занятые в экономике снизятся на 0,8 тыс. человек. В итоге численность трудовых ресурсов снизится на 1,1 тыс. человек.</w:t>
      </w:r>
    </w:p>
    <w:p w14:paraId="675826C7" w14:textId="45393F3E" w:rsidR="0042712D" w:rsidRDefault="0042712D" w:rsidP="00AD4C56">
      <w:pPr>
        <w:numPr>
          <w:ilvl w:val="0"/>
          <w:numId w:val="5"/>
        </w:numPr>
        <w:suppressAutoHyphens w:val="0"/>
        <w:spacing w:line="276" w:lineRule="auto"/>
        <w:ind w:left="0" w:firstLine="709"/>
        <w:contextualSpacing/>
        <w:rPr>
          <w:bCs/>
          <w:sz w:val="28"/>
          <w:szCs w:val="28"/>
          <w:lang w:eastAsia="en-US"/>
        </w:rPr>
      </w:pPr>
      <w:r>
        <w:rPr>
          <w:bCs/>
          <w:sz w:val="28"/>
          <w:szCs w:val="28"/>
          <w:lang w:eastAsia="en-US"/>
        </w:rPr>
        <w:t xml:space="preserve">Распределение трудовых ресурсов по категориям занятости сложилось </w:t>
      </w:r>
      <w:r w:rsidR="00544F0B">
        <w:rPr>
          <w:bCs/>
          <w:sz w:val="28"/>
          <w:szCs w:val="28"/>
          <w:lang w:eastAsia="en-US"/>
        </w:rPr>
        <w:t xml:space="preserve">в 2020-2021 годах </w:t>
      </w:r>
      <w:r>
        <w:rPr>
          <w:bCs/>
          <w:sz w:val="28"/>
          <w:szCs w:val="28"/>
          <w:lang w:eastAsia="en-US"/>
        </w:rPr>
        <w:t>следующим образом:</w:t>
      </w:r>
    </w:p>
    <w:p w14:paraId="4F169E9E" w14:textId="430BD65D" w:rsidR="00AD4C56" w:rsidRDefault="0042712D" w:rsidP="009278E9">
      <w:pPr>
        <w:numPr>
          <w:ilvl w:val="0"/>
          <w:numId w:val="5"/>
        </w:numPr>
        <w:suppressAutoHyphens w:val="0"/>
        <w:spacing w:line="276" w:lineRule="auto"/>
        <w:ind w:left="0" w:firstLine="709"/>
        <w:contextualSpacing/>
        <w:rPr>
          <w:bCs/>
          <w:sz w:val="28"/>
          <w:szCs w:val="28"/>
          <w:lang w:eastAsia="en-US"/>
        </w:rPr>
      </w:pPr>
      <w:r>
        <w:rPr>
          <w:bCs/>
          <w:sz w:val="28"/>
          <w:szCs w:val="28"/>
          <w:lang w:eastAsia="en-US"/>
        </w:rPr>
        <w:t>1.</w:t>
      </w:r>
      <w:r w:rsidRPr="0042712D">
        <w:rPr>
          <w:bCs/>
          <w:sz w:val="28"/>
          <w:szCs w:val="28"/>
          <w:lang w:eastAsia="en-US"/>
        </w:rPr>
        <w:t xml:space="preserve"> </w:t>
      </w:r>
      <w:r>
        <w:rPr>
          <w:bCs/>
          <w:sz w:val="28"/>
          <w:szCs w:val="28"/>
          <w:lang w:eastAsia="en-US"/>
        </w:rPr>
        <w:t>Ч</w:t>
      </w:r>
      <w:r w:rsidRPr="0042712D">
        <w:rPr>
          <w:bCs/>
          <w:sz w:val="28"/>
          <w:szCs w:val="28"/>
          <w:lang w:eastAsia="en-US"/>
        </w:rPr>
        <w:t xml:space="preserve">исленность занятых в экономике </w:t>
      </w:r>
      <w:r w:rsidR="00544F0B">
        <w:rPr>
          <w:bCs/>
          <w:sz w:val="28"/>
          <w:szCs w:val="28"/>
          <w:lang w:eastAsia="en-US"/>
        </w:rPr>
        <w:t xml:space="preserve">в 2020 году по данным </w:t>
      </w:r>
      <w:proofErr w:type="spellStart"/>
      <w:r w:rsidR="00544F0B">
        <w:rPr>
          <w:bCs/>
          <w:sz w:val="28"/>
          <w:szCs w:val="28"/>
          <w:lang w:eastAsia="en-US"/>
        </w:rPr>
        <w:t>Самарастата</w:t>
      </w:r>
      <w:proofErr w:type="spellEnd"/>
      <w:r w:rsidR="00544F0B">
        <w:rPr>
          <w:bCs/>
          <w:sz w:val="28"/>
          <w:szCs w:val="28"/>
          <w:lang w:eastAsia="en-US"/>
        </w:rPr>
        <w:t xml:space="preserve"> </w:t>
      </w:r>
      <w:r w:rsidRPr="0042712D">
        <w:rPr>
          <w:bCs/>
          <w:sz w:val="28"/>
          <w:szCs w:val="28"/>
          <w:lang w:eastAsia="en-US"/>
        </w:rPr>
        <w:t>– 349,6 тыс. человек или 80</w:t>
      </w:r>
      <w:r w:rsidR="000558C7">
        <w:rPr>
          <w:bCs/>
          <w:sz w:val="28"/>
          <w:szCs w:val="28"/>
          <w:lang w:eastAsia="en-US"/>
        </w:rPr>
        <w:t>,1</w:t>
      </w:r>
      <w:r w:rsidRPr="0042712D">
        <w:rPr>
          <w:bCs/>
          <w:sz w:val="28"/>
          <w:szCs w:val="28"/>
          <w:lang w:eastAsia="en-US"/>
        </w:rPr>
        <w:t>% от трудовых ресурсов.</w:t>
      </w:r>
      <w:r>
        <w:rPr>
          <w:bCs/>
          <w:sz w:val="28"/>
          <w:szCs w:val="28"/>
          <w:lang w:eastAsia="en-US"/>
        </w:rPr>
        <w:t xml:space="preserve"> </w:t>
      </w:r>
      <w:r w:rsidR="00AD4C56" w:rsidRPr="00AD4C56">
        <w:rPr>
          <w:bCs/>
          <w:sz w:val="28"/>
          <w:szCs w:val="28"/>
          <w:lang w:eastAsia="en-US"/>
        </w:rPr>
        <w:t>В результате значительного роста безработицы количество занятых в экономике Тольятти граждан по итогам 2020 года снизилось на 8</w:t>
      </w:r>
      <w:r w:rsidR="00AD4C56" w:rsidRPr="0042712D">
        <w:rPr>
          <w:bCs/>
          <w:sz w:val="28"/>
          <w:szCs w:val="28"/>
          <w:lang w:eastAsia="en-US"/>
        </w:rPr>
        <w:t>,0</w:t>
      </w:r>
      <w:r w:rsidR="00AD4C56" w:rsidRPr="00AD4C56">
        <w:rPr>
          <w:bCs/>
          <w:sz w:val="28"/>
          <w:szCs w:val="28"/>
          <w:lang w:eastAsia="en-US"/>
        </w:rPr>
        <w:t xml:space="preserve"> тыс. человек </w:t>
      </w:r>
      <w:r w:rsidR="00AD4C56" w:rsidRPr="0042712D">
        <w:rPr>
          <w:bCs/>
          <w:sz w:val="28"/>
          <w:szCs w:val="28"/>
          <w:lang w:eastAsia="en-US"/>
        </w:rPr>
        <w:t>к 2019 году</w:t>
      </w:r>
      <w:r w:rsidR="00AD4C56" w:rsidRPr="00AD4C56">
        <w:rPr>
          <w:bCs/>
          <w:sz w:val="28"/>
          <w:szCs w:val="28"/>
          <w:lang w:eastAsia="en-US"/>
        </w:rPr>
        <w:t xml:space="preserve">. </w:t>
      </w:r>
    </w:p>
    <w:p w14:paraId="68E809FE" w14:textId="77777777" w:rsidR="007A27D5" w:rsidRPr="007A27D5" w:rsidRDefault="007A27D5" w:rsidP="007A27D5">
      <w:pPr>
        <w:pStyle w:val="aff0"/>
        <w:spacing w:line="276" w:lineRule="auto"/>
        <w:rPr>
          <w:bCs/>
          <w:szCs w:val="28"/>
          <w:lang w:eastAsia="en-US"/>
        </w:rPr>
      </w:pPr>
      <w:r w:rsidRPr="007A27D5">
        <w:rPr>
          <w:bCs/>
          <w:szCs w:val="28"/>
          <w:lang w:eastAsia="en-US"/>
        </w:rPr>
        <w:t>Около половины от численности занятых в экономике работает в организациях, не относящихся к малому предпринимательству (в 2020 году - 153,0 тыс. человек, в 2019 году – 155,8 тыс. человек).</w:t>
      </w:r>
    </w:p>
    <w:p w14:paraId="28D43209" w14:textId="77777777" w:rsidR="007A27D5" w:rsidRPr="00451600" w:rsidRDefault="007A27D5" w:rsidP="007A27D5">
      <w:pPr>
        <w:pStyle w:val="aff0"/>
        <w:spacing w:line="276" w:lineRule="auto"/>
        <w:rPr>
          <w:szCs w:val="28"/>
        </w:rPr>
      </w:pPr>
      <w:r w:rsidRPr="00451600">
        <w:rPr>
          <w:szCs w:val="28"/>
        </w:rPr>
        <w:t xml:space="preserve">С 2008 года количество работающих в организациях, не относящихся к малому предпринимательству, сократилось на </w:t>
      </w:r>
      <w:r>
        <w:rPr>
          <w:szCs w:val="28"/>
        </w:rPr>
        <w:t>99,6</w:t>
      </w:r>
      <w:r w:rsidRPr="00451600">
        <w:rPr>
          <w:szCs w:val="28"/>
        </w:rPr>
        <w:t xml:space="preserve"> тыс. человек. В основном сокращения наблюдались в промышленном секторе</w:t>
      </w:r>
      <w:r>
        <w:rPr>
          <w:szCs w:val="28"/>
        </w:rPr>
        <w:t xml:space="preserve"> (в том числе на 70 </w:t>
      </w:r>
      <w:r w:rsidRPr="009A213D">
        <w:rPr>
          <w:szCs w:val="28"/>
        </w:rPr>
        <w:t>тыс.</w:t>
      </w:r>
      <w:r>
        <w:rPr>
          <w:szCs w:val="28"/>
        </w:rPr>
        <w:t xml:space="preserve"> человек в автомобилестроении, на 3,7 тыс. человек - в химическом производстве)</w:t>
      </w:r>
      <w:r w:rsidRPr="00451600">
        <w:rPr>
          <w:szCs w:val="28"/>
        </w:rPr>
        <w:t>, в строительстве</w:t>
      </w:r>
      <w:r>
        <w:rPr>
          <w:szCs w:val="28"/>
        </w:rPr>
        <w:t xml:space="preserve"> (на 2,6 тыс. человек)</w:t>
      </w:r>
      <w:r w:rsidRPr="00451600">
        <w:rPr>
          <w:szCs w:val="28"/>
        </w:rPr>
        <w:t>, на предприятиях транспорта</w:t>
      </w:r>
      <w:r>
        <w:rPr>
          <w:szCs w:val="28"/>
        </w:rPr>
        <w:t xml:space="preserve"> (на 6 тыс. человек)</w:t>
      </w:r>
      <w:r w:rsidRPr="00451600">
        <w:rPr>
          <w:szCs w:val="28"/>
        </w:rPr>
        <w:t>, в общепите</w:t>
      </w:r>
      <w:r>
        <w:rPr>
          <w:szCs w:val="28"/>
        </w:rPr>
        <w:t xml:space="preserve"> (на 3 тыс. человек)</w:t>
      </w:r>
      <w:r w:rsidRPr="00451600">
        <w:rPr>
          <w:szCs w:val="28"/>
        </w:rPr>
        <w:t xml:space="preserve">. Относительно стабильная ситуация в организациях финансовой сферы, операций с недвижимым имуществом, </w:t>
      </w:r>
      <w:r>
        <w:rPr>
          <w:szCs w:val="28"/>
        </w:rPr>
        <w:t xml:space="preserve">торговле, в организациях </w:t>
      </w:r>
      <w:r w:rsidRPr="00451600">
        <w:rPr>
          <w:szCs w:val="28"/>
        </w:rPr>
        <w:t xml:space="preserve">оказывающих коммунальные, социальные и персональные услуги, образования и здравоохранения.  </w:t>
      </w:r>
    </w:p>
    <w:p w14:paraId="0F931562" w14:textId="56657E6B" w:rsidR="007A27D5" w:rsidRPr="007A27D5" w:rsidRDefault="007A27D5" w:rsidP="0089394B">
      <w:pPr>
        <w:widowControl w:val="0"/>
        <w:numPr>
          <w:ilvl w:val="0"/>
          <w:numId w:val="5"/>
        </w:numPr>
        <w:suppressAutoHyphens w:val="0"/>
        <w:spacing w:line="276" w:lineRule="auto"/>
        <w:ind w:left="0" w:firstLine="709"/>
        <w:rPr>
          <w:sz w:val="28"/>
          <w:szCs w:val="28"/>
        </w:rPr>
      </w:pPr>
      <w:r w:rsidRPr="007A27D5">
        <w:rPr>
          <w:sz w:val="28"/>
          <w:szCs w:val="28"/>
        </w:rPr>
        <w:t xml:space="preserve">По итогам </w:t>
      </w:r>
      <w:r w:rsidR="002E3A48">
        <w:rPr>
          <w:sz w:val="28"/>
          <w:szCs w:val="28"/>
          <w:lang w:val="en-US"/>
        </w:rPr>
        <w:t>I</w:t>
      </w:r>
      <w:r w:rsidRPr="007A27D5">
        <w:rPr>
          <w:sz w:val="28"/>
          <w:szCs w:val="28"/>
        </w:rPr>
        <w:t xml:space="preserve"> полугодия 2021 года среднесписочная численность работников организаций городского округа Тольятти, не относящихся к субъектам малого предпринимательства, по данным </w:t>
      </w:r>
      <w:proofErr w:type="spellStart"/>
      <w:r w:rsidRPr="007A27D5">
        <w:rPr>
          <w:sz w:val="28"/>
          <w:szCs w:val="28"/>
        </w:rPr>
        <w:t>Самарастата</w:t>
      </w:r>
      <w:proofErr w:type="spellEnd"/>
      <w:r w:rsidRPr="007A27D5">
        <w:rPr>
          <w:sz w:val="28"/>
          <w:szCs w:val="28"/>
        </w:rPr>
        <w:t xml:space="preserve">, снизилась на 2,9% и составила 151,2 тыс. человек. Сокращение персонала к </w:t>
      </w:r>
      <w:r w:rsidRPr="007A27D5">
        <w:rPr>
          <w:sz w:val="28"/>
          <w:szCs w:val="28"/>
        </w:rPr>
        <w:lastRenderedPageBreak/>
        <w:t>соответствующему периоду 2020 года произошло в организациях, осуществляющих операции с недвижимым имуществом – на 22,3% до 1,0 тыс. человек, по виду профессиональной, научной и технической деятельности – на 5,7% до 3,6 тыс. человек, в сфере деятельности гостиниц и на предприятиях общественного питания – на 2,6% до 1,95 тыс. человек, в обрабатывающих производствах – на 6% до 62,6 тыс. человек.</w:t>
      </w:r>
    </w:p>
    <w:p w14:paraId="18A80714" w14:textId="77777777" w:rsidR="007A27D5" w:rsidRPr="007A27D5" w:rsidRDefault="007A27D5" w:rsidP="007A27D5">
      <w:pPr>
        <w:widowControl w:val="0"/>
        <w:spacing w:line="276" w:lineRule="auto"/>
        <w:rPr>
          <w:sz w:val="28"/>
          <w:szCs w:val="28"/>
        </w:rPr>
      </w:pPr>
      <w:r w:rsidRPr="007A27D5">
        <w:rPr>
          <w:sz w:val="28"/>
          <w:szCs w:val="28"/>
        </w:rPr>
        <w:t xml:space="preserve">По данным </w:t>
      </w:r>
      <w:proofErr w:type="spellStart"/>
      <w:r w:rsidRPr="007A27D5">
        <w:rPr>
          <w:sz w:val="28"/>
          <w:szCs w:val="28"/>
        </w:rPr>
        <w:t>Самарастата</w:t>
      </w:r>
      <w:proofErr w:type="spellEnd"/>
      <w:r w:rsidRPr="007A27D5">
        <w:rPr>
          <w:sz w:val="28"/>
          <w:szCs w:val="28"/>
        </w:rPr>
        <w:t xml:space="preserve">, в январе-июне 2021 года в крупных и средних организациях и учреждениях выбыло 20,7 тыс. человек по различным причинам увольнения. Принято 16,9 тыс. человек. </w:t>
      </w:r>
    </w:p>
    <w:p w14:paraId="01243FC5" w14:textId="5036EFE0" w:rsidR="007A27D5" w:rsidRDefault="007A27D5" w:rsidP="007A27D5">
      <w:pPr>
        <w:pStyle w:val="aff0"/>
        <w:spacing w:line="276" w:lineRule="auto"/>
        <w:rPr>
          <w:szCs w:val="28"/>
        </w:rPr>
      </w:pPr>
      <w:r>
        <w:rPr>
          <w:szCs w:val="28"/>
        </w:rPr>
        <w:t xml:space="preserve">Количество внешних совместителей, а также работников, выполнявших работы по договорам гражданско-правового характера </w:t>
      </w:r>
      <w:r w:rsidR="008A141A">
        <w:rPr>
          <w:szCs w:val="28"/>
        </w:rPr>
        <w:t>на</w:t>
      </w:r>
      <w:r>
        <w:rPr>
          <w:szCs w:val="28"/>
        </w:rPr>
        <w:t xml:space="preserve"> крупных и средних организациях составило 4338 человек.</w:t>
      </w:r>
    </w:p>
    <w:p w14:paraId="66AF1034" w14:textId="77777777" w:rsidR="007A27D5" w:rsidRDefault="007A27D5" w:rsidP="007A27D5">
      <w:pPr>
        <w:widowControl w:val="0"/>
        <w:suppressAutoHyphens w:val="0"/>
        <w:spacing w:line="276" w:lineRule="auto"/>
        <w:rPr>
          <w:sz w:val="28"/>
          <w:szCs w:val="28"/>
          <w:lang w:eastAsia="en-US"/>
        </w:rPr>
      </w:pPr>
      <w:r w:rsidRPr="00BC1FF3">
        <w:rPr>
          <w:sz w:val="28"/>
          <w:szCs w:val="28"/>
          <w:lang w:eastAsia="en-US"/>
        </w:rPr>
        <w:t xml:space="preserve">Численность работников бюджетной сферы составила </w:t>
      </w:r>
      <w:r>
        <w:rPr>
          <w:sz w:val="28"/>
          <w:szCs w:val="28"/>
          <w:lang w:eastAsia="en-US"/>
        </w:rPr>
        <w:t xml:space="preserve">в 2020 году </w:t>
      </w:r>
      <w:r w:rsidRPr="00F34C51">
        <w:rPr>
          <w:sz w:val="28"/>
          <w:szCs w:val="28"/>
          <w:lang w:eastAsia="en-US"/>
        </w:rPr>
        <w:t>46,1</w:t>
      </w:r>
      <w:r w:rsidRPr="00BC1FF3">
        <w:rPr>
          <w:sz w:val="28"/>
          <w:szCs w:val="28"/>
          <w:lang w:eastAsia="en-US"/>
        </w:rPr>
        <w:t xml:space="preserve"> тыс. человек</w:t>
      </w:r>
      <w:r>
        <w:rPr>
          <w:sz w:val="28"/>
          <w:szCs w:val="28"/>
          <w:lang w:eastAsia="en-US"/>
        </w:rPr>
        <w:t xml:space="preserve">, </w:t>
      </w:r>
      <w:r w:rsidRPr="00BC1FF3">
        <w:rPr>
          <w:sz w:val="28"/>
          <w:szCs w:val="28"/>
          <w:lang w:eastAsia="en-US"/>
        </w:rPr>
        <w:t>снизи</w:t>
      </w:r>
      <w:r>
        <w:rPr>
          <w:sz w:val="28"/>
          <w:szCs w:val="28"/>
          <w:lang w:eastAsia="en-US"/>
        </w:rPr>
        <w:t>вшись</w:t>
      </w:r>
      <w:r w:rsidRPr="00BC1FF3">
        <w:rPr>
          <w:sz w:val="28"/>
          <w:szCs w:val="28"/>
          <w:lang w:eastAsia="en-US"/>
        </w:rPr>
        <w:t xml:space="preserve"> с 201</w:t>
      </w:r>
      <w:r>
        <w:rPr>
          <w:sz w:val="28"/>
          <w:szCs w:val="28"/>
          <w:lang w:eastAsia="en-US"/>
        </w:rPr>
        <w:t>1</w:t>
      </w:r>
      <w:r w:rsidRPr="00BC1FF3">
        <w:rPr>
          <w:sz w:val="28"/>
          <w:szCs w:val="28"/>
          <w:lang w:eastAsia="en-US"/>
        </w:rPr>
        <w:t xml:space="preserve"> года на </w:t>
      </w:r>
      <w:r>
        <w:rPr>
          <w:sz w:val="28"/>
          <w:szCs w:val="28"/>
          <w:lang w:eastAsia="en-US"/>
        </w:rPr>
        <w:t>9</w:t>
      </w:r>
      <w:r w:rsidRPr="00BC1FF3">
        <w:rPr>
          <w:sz w:val="28"/>
          <w:szCs w:val="28"/>
          <w:lang w:eastAsia="en-US"/>
        </w:rPr>
        <w:t xml:space="preserve"> тыс. человек </w:t>
      </w:r>
      <w:r>
        <w:rPr>
          <w:sz w:val="28"/>
          <w:szCs w:val="28"/>
          <w:lang w:eastAsia="en-US"/>
        </w:rPr>
        <w:t xml:space="preserve">или 16,2% </w:t>
      </w:r>
      <w:r w:rsidRPr="00BC1FF3">
        <w:rPr>
          <w:sz w:val="28"/>
          <w:szCs w:val="28"/>
          <w:lang w:eastAsia="en-US"/>
        </w:rPr>
        <w:t xml:space="preserve">и (при этом численность работников государственных учреждений увеличилась на </w:t>
      </w:r>
      <w:r>
        <w:rPr>
          <w:sz w:val="28"/>
          <w:szCs w:val="28"/>
          <w:lang w:eastAsia="en-US"/>
        </w:rPr>
        <w:t>7,5</w:t>
      </w:r>
      <w:r w:rsidRPr="00BC1FF3">
        <w:rPr>
          <w:sz w:val="28"/>
          <w:szCs w:val="28"/>
          <w:lang w:eastAsia="en-US"/>
        </w:rPr>
        <w:t xml:space="preserve"> тыс. </w:t>
      </w:r>
      <w:r w:rsidRPr="0046384C">
        <w:rPr>
          <w:sz w:val="28"/>
          <w:szCs w:val="28"/>
          <w:lang w:eastAsia="en-US"/>
        </w:rPr>
        <w:t>до 27</w:t>
      </w:r>
      <w:r>
        <w:rPr>
          <w:sz w:val="28"/>
          <w:szCs w:val="28"/>
          <w:lang w:eastAsia="en-US"/>
        </w:rPr>
        <w:t>,7</w:t>
      </w:r>
      <w:r w:rsidRPr="00BC1FF3">
        <w:rPr>
          <w:sz w:val="28"/>
          <w:szCs w:val="28"/>
          <w:lang w:eastAsia="en-US"/>
        </w:rPr>
        <w:t xml:space="preserve"> тыс. человек, а муниципальных </w:t>
      </w:r>
      <w:proofErr w:type="gramStart"/>
      <w:r w:rsidRPr="00BC1FF3">
        <w:rPr>
          <w:sz w:val="28"/>
          <w:szCs w:val="28"/>
          <w:lang w:eastAsia="en-US"/>
        </w:rPr>
        <w:t>учреждений  –</w:t>
      </w:r>
      <w:proofErr w:type="gramEnd"/>
      <w:r w:rsidRPr="00BC1FF3">
        <w:rPr>
          <w:sz w:val="28"/>
          <w:szCs w:val="28"/>
          <w:lang w:eastAsia="en-US"/>
        </w:rPr>
        <w:t xml:space="preserve"> сократилась на </w:t>
      </w:r>
      <w:r>
        <w:rPr>
          <w:sz w:val="28"/>
          <w:szCs w:val="28"/>
          <w:lang w:eastAsia="en-US"/>
        </w:rPr>
        <w:t>16,4</w:t>
      </w:r>
      <w:r w:rsidRPr="00BC1FF3">
        <w:rPr>
          <w:sz w:val="28"/>
          <w:szCs w:val="28"/>
          <w:lang w:eastAsia="en-US"/>
        </w:rPr>
        <w:t xml:space="preserve"> тыс. до </w:t>
      </w:r>
      <w:r w:rsidRPr="0046384C">
        <w:rPr>
          <w:sz w:val="28"/>
          <w:szCs w:val="28"/>
          <w:lang w:eastAsia="en-US"/>
        </w:rPr>
        <w:t>18,5</w:t>
      </w:r>
      <w:r w:rsidRPr="00BC1FF3">
        <w:rPr>
          <w:sz w:val="28"/>
          <w:szCs w:val="28"/>
          <w:lang w:eastAsia="en-US"/>
        </w:rPr>
        <w:t xml:space="preserve"> тыс. человек).</w:t>
      </w:r>
    </w:p>
    <w:p w14:paraId="321907F5" w14:textId="43DDEFDA" w:rsidR="00741DC5" w:rsidRDefault="00544F0B" w:rsidP="00741DC5">
      <w:pPr>
        <w:pStyle w:val="aff0"/>
        <w:spacing w:line="276" w:lineRule="auto"/>
        <w:rPr>
          <w:szCs w:val="28"/>
        </w:rPr>
      </w:pPr>
      <w:r>
        <w:rPr>
          <w:szCs w:val="28"/>
        </w:rPr>
        <w:t xml:space="preserve">В 2021 году ожидается увеличение количества занятых </w:t>
      </w:r>
      <w:r w:rsidR="00741DC5">
        <w:rPr>
          <w:szCs w:val="28"/>
        </w:rPr>
        <w:t xml:space="preserve">до 355 тыс. человек </w:t>
      </w:r>
      <w:r>
        <w:rPr>
          <w:szCs w:val="28"/>
        </w:rPr>
        <w:t xml:space="preserve">за счет </w:t>
      </w:r>
      <w:r w:rsidR="009C4DA5">
        <w:rPr>
          <w:szCs w:val="28"/>
        </w:rPr>
        <w:t>создания новых рабочих мест, в том числе в сфере малого предпринимательства</w:t>
      </w:r>
      <w:r w:rsidR="00741DC5">
        <w:rPr>
          <w:szCs w:val="28"/>
        </w:rPr>
        <w:t>,</w:t>
      </w:r>
      <w:r w:rsidR="003675EA">
        <w:rPr>
          <w:szCs w:val="28"/>
        </w:rPr>
        <w:t xml:space="preserve"> </w:t>
      </w:r>
      <w:r w:rsidR="008A141A">
        <w:rPr>
          <w:szCs w:val="28"/>
        </w:rPr>
        <w:t>что</w:t>
      </w:r>
      <w:r w:rsidR="0055208F">
        <w:rPr>
          <w:szCs w:val="28"/>
        </w:rPr>
        <w:t xml:space="preserve"> приведет к </w:t>
      </w:r>
      <w:r w:rsidR="00741DC5">
        <w:rPr>
          <w:szCs w:val="28"/>
        </w:rPr>
        <w:t>снижени</w:t>
      </w:r>
      <w:r w:rsidR="007A27D5">
        <w:rPr>
          <w:szCs w:val="28"/>
        </w:rPr>
        <w:t>ю</w:t>
      </w:r>
      <w:r w:rsidR="00741DC5">
        <w:rPr>
          <w:szCs w:val="28"/>
        </w:rPr>
        <w:t xml:space="preserve"> безработицы.</w:t>
      </w:r>
      <w:r w:rsidR="007A27D5">
        <w:rPr>
          <w:szCs w:val="28"/>
        </w:rPr>
        <w:t xml:space="preserve"> </w:t>
      </w:r>
    </w:p>
    <w:p w14:paraId="54B61B3D" w14:textId="59FF1468" w:rsidR="009C4DA5" w:rsidRPr="008A141A" w:rsidRDefault="009C4DA5" w:rsidP="00741DC5">
      <w:pPr>
        <w:pStyle w:val="aff0"/>
        <w:spacing w:line="276" w:lineRule="auto"/>
        <w:rPr>
          <w:szCs w:val="28"/>
        </w:rPr>
      </w:pPr>
      <w:r w:rsidRPr="008A141A">
        <w:rPr>
          <w:szCs w:val="28"/>
        </w:rPr>
        <w:t xml:space="preserve">Так, по данным Единого реестра субъектов малого и среднего предпринимательства, в </w:t>
      </w:r>
      <w:r w:rsidR="002E3A48">
        <w:rPr>
          <w:szCs w:val="28"/>
          <w:lang w:val="en-US"/>
        </w:rPr>
        <w:t>I</w:t>
      </w:r>
      <w:r w:rsidRPr="008A141A">
        <w:rPr>
          <w:szCs w:val="28"/>
        </w:rPr>
        <w:t xml:space="preserve"> полугодии 2021</w:t>
      </w:r>
      <w:r w:rsidRPr="004B0E7E">
        <w:rPr>
          <w:szCs w:val="28"/>
        </w:rPr>
        <w:t xml:space="preserve"> года</w:t>
      </w:r>
      <w:r w:rsidRPr="008A141A">
        <w:rPr>
          <w:szCs w:val="28"/>
        </w:rPr>
        <w:t xml:space="preserve"> зарегистрировано 1946 новых индивидуальных предпринимателей (за 9 месяцев </w:t>
      </w:r>
      <w:r w:rsidR="00741DC5" w:rsidRPr="008A141A">
        <w:rPr>
          <w:szCs w:val="28"/>
        </w:rPr>
        <w:t xml:space="preserve">2021 года </w:t>
      </w:r>
      <w:r w:rsidR="003675EA" w:rsidRPr="008A141A">
        <w:rPr>
          <w:szCs w:val="28"/>
        </w:rPr>
        <w:t>–</w:t>
      </w:r>
      <w:r w:rsidRPr="008A141A">
        <w:rPr>
          <w:szCs w:val="28"/>
        </w:rPr>
        <w:t xml:space="preserve"> </w:t>
      </w:r>
      <w:r w:rsidR="003675EA" w:rsidRPr="008A141A">
        <w:rPr>
          <w:szCs w:val="28"/>
        </w:rPr>
        <w:t>2863 новых индивидуальных предпринимателей).</w:t>
      </w:r>
    </w:p>
    <w:p w14:paraId="693FD8B0" w14:textId="22B0C454" w:rsidR="009C4DA5" w:rsidRDefault="009C4DA5" w:rsidP="009C4DA5">
      <w:pPr>
        <w:pStyle w:val="aff0"/>
        <w:spacing w:line="276" w:lineRule="auto"/>
        <w:rPr>
          <w:szCs w:val="28"/>
        </w:rPr>
      </w:pPr>
      <w:r w:rsidRPr="008A141A">
        <w:rPr>
          <w:szCs w:val="28"/>
        </w:rPr>
        <w:t>Активно развивается новая форма предпринимательства – «</w:t>
      </w:r>
      <w:r w:rsidRPr="004B0E7E">
        <w:rPr>
          <w:szCs w:val="28"/>
        </w:rPr>
        <w:t xml:space="preserve">самозанятые». Количество </w:t>
      </w:r>
      <w:r w:rsidRPr="00AF7EB6">
        <w:rPr>
          <w:szCs w:val="28"/>
        </w:rPr>
        <w:t>«</w:t>
      </w:r>
      <w:r w:rsidRPr="004B0E7E">
        <w:rPr>
          <w:szCs w:val="28"/>
        </w:rPr>
        <w:t>самозанятых</w:t>
      </w:r>
      <w:r w:rsidRPr="00AF7EB6">
        <w:rPr>
          <w:szCs w:val="28"/>
        </w:rPr>
        <w:t>»</w:t>
      </w:r>
      <w:r w:rsidRPr="004B0E7E">
        <w:rPr>
          <w:szCs w:val="28"/>
        </w:rPr>
        <w:t xml:space="preserve"> граждан, зафиксировавших свой статус и применяющих налоговый режим «Налог на профессиональный доход», зарегистрированных на территории городского округа Тольятти, по состоянию на </w:t>
      </w:r>
      <w:r w:rsidR="00BF2A06">
        <w:rPr>
          <w:szCs w:val="28"/>
        </w:rPr>
        <w:t>01.07.</w:t>
      </w:r>
      <w:r w:rsidRPr="004B0E7E">
        <w:rPr>
          <w:szCs w:val="28"/>
        </w:rPr>
        <w:t xml:space="preserve">2021 составило </w:t>
      </w:r>
      <w:r w:rsidR="00BF2A06" w:rsidRPr="004C28D5">
        <w:rPr>
          <w:szCs w:val="28"/>
        </w:rPr>
        <w:t>15410 человек</w:t>
      </w:r>
      <w:r w:rsidR="00741DC5">
        <w:rPr>
          <w:szCs w:val="28"/>
        </w:rPr>
        <w:t xml:space="preserve"> (на 1 октября – 18540 человек)</w:t>
      </w:r>
      <w:r w:rsidRPr="004B0E7E">
        <w:rPr>
          <w:szCs w:val="28"/>
        </w:rPr>
        <w:t>.</w:t>
      </w:r>
    </w:p>
    <w:p w14:paraId="10DE09A1" w14:textId="010DB9B7" w:rsidR="007A27D5" w:rsidRDefault="00741DC5" w:rsidP="009C4DA5">
      <w:pPr>
        <w:pStyle w:val="aff0"/>
        <w:spacing w:line="276" w:lineRule="auto"/>
        <w:rPr>
          <w:szCs w:val="28"/>
        </w:rPr>
      </w:pPr>
      <w:r>
        <w:rPr>
          <w:szCs w:val="28"/>
        </w:rPr>
        <w:t>За счет реализации новых инвестиционных проектов</w:t>
      </w:r>
      <w:r w:rsidR="007A27D5">
        <w:rPr>
          <w:szCs w:val="28"/>
        </w:rPr>
        <w:t xml:space="preserve"> крупных, средних и малых предприятий планируется создание </w:t>
      </w:r>
      <w:r w:rsidR="00BF2A06">
        <w:rPr>
          <w:szCs w:val="28"/>
        </w:rPr>
        <w:t>более</w:t>
      </w:r>
      <w:r w:rsidR="007A27D5">
        <w:rPr>
          <w:szCs w:val="28"/>
        </w:rPr>
        <w:t xml:space="preserve"> 3 тыс. новых рабочих мест.</w:t>
      </w:r>
    </w:p>
    <w:p w14:paraId="4FE478A7" w14:textId="6C94CCC3" w:rsidR="007A27D5" w:rsidRPr="00AF7EB6" w:rsidRDefault="008A141A" w:rsidP="007A27D5">
      <w:pPr>
        <w:pStyle w:val="aff0"/>
        <w:spacing w:line="276" w:lineRule="auto"/>
        <w:rPr>
          <w:szCs w:val="28"/>
          <w:lang w:eastAsia="ru-RU"/>
        </w:rPr>
      </w:pPr>
      <w:r>
        <w:rPr>
          <w:szCs w:val="28"/>
        </w:rPr>
        <w:t>Так, н</w:t>
      </w:r>
      <w:r w:rsidR="007A27D5" w:rsidRPr="00AF7EB6">
        <w:rPr>
          <w:szCs w:val="28"/>
        </w:rPr>
        <w:t>а сегодняшний</w:t>
      </w:r>
      <w:r w:rsidR="007A27D5" w:rsidRPr="00AF7EB6">
        <w:rPr>
          <w:szCs w:val="28"/>
          <w:lang w:eastAsia="ru-RU"/>
        </w:rPr>
        <w:t xml:space="preserve"> день </w:t>
      </w:r>
      <w:r>
        <w:rPr>
          <w:szCs w:val="28"/>
          <w:lang w:eastAsia="ru-RU"/>
        </w:rPr>
        <w:t>резидентами</w:t>
      </w:r>
      <w:r w:rsidR="007A27D5" w:rsidRPr="00AF7EB6">
        <w:rPr>
          <w:szCs w:val="28"/>
          <w:lang w:eastAsia="ru-RU"/>
        </w:rPr>
        <w:t xml:space="preserve"> ТОСЭР «Тольятти» </w:t>
      </w:r>
      <w:r>
        <w:rPr>
          <w:szCs w:val="28"/>
          <w:lang w:eastAsia="ru-RU"/>
        </w:rPr>
        <w:t>являются</w:t>
      </w:r>
      <w:r w:rsidR="007A27D5" w:rsidRPr="00AF7EB6">
        <w:rPr>
          <w:szCs w:val="28"/>
          <w:lang w:eastAsia="ru-RU"/>
        </w:rPr>
        <w:t xml:space="preserve"> 69 </w:t>
      </w:r>
      <w:r>
        <w:rPr>
          <w:szCs w:val="28"/>
          <w:lang w:eastAsia="ru-RU"/>
        </w:rPr>
        <w:t>компаний</w:t>
      </w:r>
      <w:r w:rsidR="007A27D5" w:rsidRPr="00AF7EB6">
        <w:rPr>
          <w:szCs w:val="28"/>
          <w:lang w:eastAsia="ru-RU"/>
        </w:rPr>
        <w:t xml:space="preserve">, которыми в </w:t>
      </w:r>
      <w:r w:rsidR="002E3A48">
        <w:rPr>
          <w:szCs w:val="28"/>
          <w:lang w:val="en-US" w:eastAsia="ru-RU"/>
        </w:rPr>
        <w:t>I</w:t>
      </w:r>
      <w:r w:rsidR="007A27D5">
        <w:rPr>
          <w:szCs w:val="28"/>
          <w:lang w:eastAsia="ru-RU"/>
        </w:rPr>
        <w:t xml:space="preserve"> полугодии </w:t>
      </w:r>
      <w:r w:rsidR="007A27D5" w:rsidRPr="00AF7EB6">
        <w:rPr>
          <w:szCs w:val="28"/>
          <w:lang w:eastAsia="ru-RU"/>
        </w:rPr>
        <w:t>2021 год</w:t>
      </w:r>
      <w:r w:rsidR="007A27D5">
        <w:rPr>
          <w:szCs w:val="28"/>
          <w:lang w:eastAsia="ru-RU"/>
        </w:rPr>
        <w:t xml:space="preserve">а </w:t>
      </w:r>
      <w:r w:rsidR="00BF2A06">
        <w:rPr>
          <w:szCs w:val="28"/>
          <w:lang w:eastAsia="ru-RU"/>
        </w:rPr>
        <w:t xml:space="preserve">создано </w:t>
      </w:r>
      <w:r w:rsidR="00D229F0">
        <w:rPr>
          <w:szCs w:val="28"/>
          <w:lang w:eastAsia="ru-RU"/>
        </w:rPr>
        <w:t xml:space="preserve">более </w:t>
      </w:r>
      <w:r w:rsidR="00BF2A06">
        <w:rPr>
          <w:szCs w:val="28"/>
          <w:lang w:eastAsia="ru-RU"/>
        </w:rPr>
        <w:t>1,</w:t>
      </w:r>
      <w:r w:rsidR="00BF2A06" w:rsidRPr="00AF7EB6">
        <w:rPr>
          <w:szCs w:val="28"/>
          <w:lang w:eastAsia="ru-RU"/>
        </w:rPr>
        <w:t xml:space="preserve">1 </w:t>
      </w:r>
      <w:r w:rsidR="00BF2A06">
        <w:rPr>
          <w:szCs w:val="28"/>
          <w:lang w:eastAsia="ru-RU"/>
        </w:rPr>
        <w:t>тыс.</w:t>
      </w:r>
      <w:r w:rsidR="00D229F0">
        <w:rPr>
          <w:szCs w:val="28"/>
          <w:lang w:eastAsia="ru-RU"/>
        </w:rPr>
        <w:t xml:space="preserve"> </w:t>
      </w:r>
      <w:r w:rsidR="00BF2A06">
        <w:rPr>
          <w:szCs w:val="28"/>
          <w:lang w:eastAsia="ru-RU"/>
        </w:rPr>
        <w:t xml:space="preserve">новых рабочих мест </w:t>
      </w:r>
      <w:r w:rsidR="007A27D5">
        <w:rPr>
          <w:szCs w:val="28"/>
          <w:lang w:eastAsia="ru-RU"/>
        </w:rPr>
        <w:t>(в 2021 году запланировано создание порядка 2,5 тыс.</w:t>
      </w:r>
      <w:r>
        <w:rPr>
          <w:szCs w:val="28"/>
          <w:lang w:eastAsia="ru-RU"/>
        </w:rPr>
        <w:t xml:space="preserve"> </w:t>
      </w:r>
      <w:r w:rsidR="007A27D5">
        <w:rPr>
          <w:szCs w:val="28"/>
          <w:lang w:eastAsia="ru-RU"/>
        </w:rPr>
        <w:t>рабочих мест</w:t>
      </w:r>
      <w:r w:rsidR="007A27D5" w:rsidRPr="00AF7EB6">
        <w:rPr>
          <w:szCs w:val="28"/>
          <w:lang w:eastAsia="ru-RU"/>
        </w:rPr>
        <w:t>).</w:t>
      </w:r>
    </w:p>
    <w:p w14:paraId="0AF58553" w14:textId="77777777" w:rsidR="007A27D5" w:rsidRPr="00AF7EB6" w:rsidRDefault="007A27D5" w:rsidP="007A27D5">
      <w:pPr>
        <w:pStyle w:val="aff0"/>
        <w:spacing w:line="276" w:lineRule="auto"/>
        <w:rPr>
          <w:szCs w:val="28"/>
          <w:lang w:eastAsia="ru-RU"/>
        </w:rPr>
      </w:pPr>
      <w:r w:rsidRPr="00AF7EB6">
        <w:rPr>
          <w:szCs w:val="28"/>
          <w:lang w:eastAsia="ru-RU"/>
        </w:rPr>
        <w:t xml:space="preserve">В 2021 году запущены следующие производства: </w:t>
      </w:r>
    </w:p>
    <w:p w14:paraId="08086ECA" w14:textId="77777777" w:rsidR="007A27D5" w:rsidRPr="00AF7EB6" w:rsidRDefault="007A27D5" w:rsidP="007A27D5">
      <w:pPr>
        <w:pStyle w:val="aff0"/>
        <w:spacing w:line="276" w:lineRule="auto"/>
        <w:rPr>
          <w:szCs w:val="28"/>
          <w:lang w:eastAsia="ru-RU"/>
        </w:rPr>
      </w:pPr>
      <w:r w:rsidRPr="00AF7EB6">
        <w:rPr>
          <w:szCs w:val="28"/>
          <w:lang w:eastAsia="ru-RU"/>
        </w:rPr>
        <w:t xml:space="preserve">- резидентом ООО «БСГ» (производство дождевальных машин полного </w:t>
      </w:r>
      <w:r w:rsidRPr="00AF7EB6">
        <w:rPr>
          <w:szCs w:val="28"/>
          <w:lang w:eastAsia="ru-RU"/>
        </w:rPr>
        <w:lastRenderedPageBreak/>
        <w:t>цикла), создано 69 рабочих мест;</w:t>
      </w:r>
    </w:p>
    <w:p w14:paraId="468EE03F" w14:textId="77777777" w:rsidR="007A27D5" w:rsidRPr="00AF7EB6" w:rsidRDefault="007A27D5" w:rsidP="007A27D5">
      <w:pPr>
        <w:pStyle w:val="aff0"/>
        <w:spacing w:line="276" w:lineRule="auto"/>
        <w:rPr>
          <w:szCs w:val="28"/>
          <w:lang w:eastAsia="ru-RU"/>
        </w:rPr>
      </w:pPr>
      <w:r w:rsidRPr="00AF7EB6">
        <w:rPr>
          <w:szCs w:val="28"/>
          <w:lang w:eastAsia="ru-RU"/>
        </w:rPr>
        <w:t>- завод по выпуску сборных железобетонных изделий «</w:t>
      </w:r>
      <w:proofErr w:type="spellStart"/>
      <w:r w:rsidRPr="00AF7EB6">
        <w:rPr>
          <w:szCs w:val="28"/>
          <w:lang w:eastAsia="ru-RU"/>
        </w:rPr>
        <w:t>Флоркон</w:t>
      </w:r>
      <w:proofErr w:type="spellEnd"/>
      <w:r w:rsidRPr="00AF7EB6">
        <w:rPr>
          <w:szCs w:val="28"/>
          <w:lang w:eastAsia="ru-RU"/>
        </w:rPr>
        <w:t>» (высокотехнологичное массовое производство строительных конструкций),  создано 98 рабочих мест;</w:t>
      </w:r>
    </w:p>
    <w:p w14:paraId="723DB8CF" w14:textId="360163D9" w:rsidR="007A27D5" w:rsidRPr="00AF7EB6" w:rsidRDefault="007A27D5" w:rsidP="007A27D5">
      <w:pPr>
        <w:pStyle w:val="aff0"/>
        <w:spacing w:line="276" w:lineRule="auto"/>
        <w:rPr>
          <w:szCs w:val="28"/>
          <w:lang w:eastAsia="ru-RU"/>
        </w:rPr>
      </w:pPr>
      <w:r w:rsidRPr="00AF7EB6">
        <w:rPr>
          <w:szCs w:val="28"/>
          <w:lang w:eastAsia="ru-RU"/>
        </w:rPr>
        <w:t>- завод по производству входных металлических дверей ООО «</w:t>
      </w:r>
      <w:proofErr w:type="spellStart"/>
      <w:r w:rsidRPr="00AF7EB6">
        <w:rPr>
          <w:szCs w:val="28"/>
          <w:lang w:eastAsia="ru-RU"/>
        </w:rPr>
        <w:t>Феррони</w:t>
      </w:r>
      <w:proofErr w:type="spellEnd"/>
      <w:r w:rsidRPr="00AF7EB6">
        <w:rPr>
          <w:szCs w:val="28"/>
          <w:lang w:eastAsia="ru-RU"/>
        </w:rPr>
        <w:t xml:space="preserve">-Тольятти», создано </w:t>
      </w:r>
      <w:r w:rsidR="00BF2A06">
        <w:rPr>
          <w:szCs w:val="28"/>
          <w:lang w:eastAsia="ru-RU"/>
        </w:rPr>
        <w:t>более 1 тыс.</w:t>
      </w:r>
      <w:r w:rsidRPr="00AF7EB6">
        <w:rPr>
          <w:szCs w:val="28"/>
          <w:lang w:eastAsia="ru-RU"/>
        </w:rPr>
        <w:t xml:space="preserve"> рабочих мест.</w:t>
      </w:r>
    </w:p>
    <w:p w14:paraId="0DC6AE83" w14:textId="4CDEDD5A" w:rsidR="007A27D5" w:rsidRDefault="007A27D5" w:rsidP="007A27D5">
      <w:pPr>
        <w:pStyle w:val="aff0"/>
        <w:spacing w:line="276" w:lineRule="auto"/>
        <w:rPr>
          <w:szCs w:val="28"/>
          <w:lang w:eastAsia="ru-RU"/>
        </w:rPr>
      </w:pPr>
      <w:r w:rsidRPr="00AF7EB6">
        <w:rPr>
          <w:szCs w:val="28"/>
          <w:lang w:eastAsia="ru-RU"/>
        </w:rPr>
        <w:t>На территории ОЭЗ ППТ «Тольятти» работают 11 производств. Всего резидентами ОЭЗ ППТ «Тольятти» и управляющей компанией создано 404 новых рабочих места</w:t>
      </w:r>
      <w:r>
        <w:rPr>
          <w:szCs w:val="28"/>
          <w:lang w:eastAsia="ru-RU"/>
        </w:rPr>
        <w:t>, в 2021 году запланировано создание 553 рабочих мест</w:t>
      </w:r>
      <w:r w:rsidRPr="00AF7EB6">
        <w:rPr>
          <w:szCs w:val="28"/>
          <w:lang w:eastAsia="ru-RU"/>
        </w:rPr>
        <w:t>).</w:t>
      </w:r>
      <w:r>
        <w:rPr>
          <w:szCs w:val="28"/>
          <w:lang w:eastAsia="ru-RU"/>
        </w:rPr>
        <w:t xml:space="preserve"> </w:t>
      </w:r>
    </w:p>
    <w:p w14:paraId="4A1B8A19" w14:textId="39B35E43" w:rsidR="009C4DA5" w:rsidRDefault="007A27D5" w:rsidP="009C4DA5">
      <w:pPr>
        <w:pStyle w:val="aff0"/>
        <w:spacing w:line="276" w:lineRule="auto"/>
        <w:rPr>
          <w:rFonts w:eastAsia="Calibri"/>
          <w:szCs w:val="28"/>
          <w:lang w:eastAsia="ar-SA"/>
        </w:rPr>
      </w:pPr>
      <w:r>
        <w:rPr>
          <w:szCs w:val="28"/>
          <w:lang w:eastAsia="ru-RU"/>
        </w:rPr>
        <w:t xml:space="preserve"> </w:t>
      </w:r>
      <w:r w:rsidR="00741DC5">
        <w:rPr>
          <w:szCs w:val="28"/>
          <w:lang w:eastAsia="ru-RU"/>
        </w:rPr>
        <w:t xml:space="preserve"> </w:t>
      </w:r>
      <w:r w:rsidR="00741DC5">
        <w:rPr>
          <w:rFonts w:eastAsia="Calibri"/>
          <w:szCs w:val="28"/>
          <w:lang w:eastAsia="ar-SA"/>
        </w:rPr>
        <w:t>Кроме этого, п</w:t>
      </w:r>
      <w:r w:rsidR="009C4DA5" w:rsidRPr="009C4DA5">
        <w:rPr>
          <w:rFonts w:eastAsia="Calibri"/>
          <w:szCs w:val="28"/>
          <w:lang w:eastAsia="ar-SA"/>
        </w:rPr>
        <w:t xml:space="preserve">о данным </w:t>
      </w:r>
      <w:proofErr w:type="spellStart"/>
      <w:r w:rsidR="00741DC5">
        <w:rPr>
          <w:rFonts w:eastAsia="Calibri"/>
          <w:szCs w:val="28"/>
          <w:lang w:eastAsia="ar-SA"/>
        </w:rPr>
        <w:t>Самарастата</w:t>
      </w:r>
      <w:proofErr w:type="spellEnd"/>
      <w:r w:rsidR="009C4DA5" w:rsidRPr="009C4DA5">
        <w:rPr>
          <w:rFonts w:eastAsia="Calibri"/>
          <w:szCs w:val="28"/>
          <w:lang w:eastAsia="ar-SA"/>
        </w:rPr>
        <w:t xml:space="preserve">, за </w:t>
      </w:r>
      <w:r w:rsidR="00B81A11">
        <w:rPr>
          <w:rFonts w:eastAsia="Calibri"/>
          <w:szCs w:val="28"/>
          <w:lang w:val="en-US" w:eastAsia="ar-SA"/>
        </w:rPr>
        <w:t>I</w:t>
      </w:r>
      <w:r w:rsidR="009C4DA5" w:rsidRPr="009C4DA5">
        <w:rPr>
          <w:rFonts w:eastAsia="Calibri"/>
          <w:szCs w:val="28"/>
          <w:lang w:eastAsia="ar-SA"/>
        </w:rPr>
        <w:t xml:space="preserve"> полугодие 2021 года в организациях, не относящихся к субъектам малого предпринимательства, создано 990  новых рабочих мест</w:t>
      </w:r>
      <w:r w:rsidR="008A141A">
        <w:rPr>
          <w:rFonts w:eastAsia="Calibri"/>
          <w:szCs w:val="28"/>
          <w:lang w:eastAsia="ar-SA"/>
        </w:rPr>
        <w:t xml:space="preserve"> (частично учтены данные резидентов ТОСЭР «Тольятти» и ОЭЗ ППТ «Тольятти», не являющихся субъектами малого предпринимательства)</w:t>
      </w:r>
      <w:r w:rsidR="009C4DA5" w:rsidRPr="009C4DA5">
        <w:rPr>
          <w:rFonts w:eastAsia="Calibri"/>
          <w:szCs w:val="28"/>
          <w:lang w:eastAsia="ar-SA"/>
        </w:rPr>
        <w:t>.</w:t>
      </w:r>
    </w:p>
    <w:p w14:paraId="3F1E61C9" w14:textId="4698093B" w:rsidR="007A27D5" w:rsidRDefault="007A27D5" w:rsidP="007A27D5">
      <w:pPr>
        <w:pStyle w:val="aff0"/>
        <w:spacing w:line="276" w:lineRule="auto"/>
        <w:rPr>
          <w:szCs w:val="28"/>
        </w:rPr>
      </w:pPr>
      <w:r>
        <w:rPr>
          <w:szCs w:val="28"/>
        </w:rPr>
        <w:t xml:space="preserve">Сдерживать рост занятости будет фактор снижения численности </w:t>
      </w:r>
      <w:r w:rsidR="008A141A">
        <w:rPr>
          <w:szCs w:val="28"/>
        </w:rPr>
        <w:t xml:space="preserve">населения </w:t>
      </w:r>
      <w:r>
        <w:rPr>
          <w:szCs w:val="28"/>
        </w:rPr>
        <w:t xml:space="preserve">трудоспособного </w:t>
      </w:r>
      <w:r w:rsidR="008A141A">
        <w:rPr>
          <w:szCs w:val="28"/>
        </w:rPr>
        <w:t>возраста</w:t>
      </w:r>
      <w:r>
        <w:rPr>
          <w:szCs w:val="28"/>
        </w:rPr>
        <w:t>.</w:t>
      </w:r>
    </w:p>
    <w:p w14:paraId="4CE865E1" w14:textId="06A0B24E" w:rsidR="0042712D" w:rsidRPr="0042712D" w:rsidRDefault="0042712D" w:rsidP="00035AF4">
      <w:pPr>
        <w:pStyle w:val="afb"/>
        <w:numPr>
          <w:ilvl w:val="0"/>
          <w:numId w:val="5"/>
        </w:numPr>
        <w:tabs>
          <w:tab w:val="clear" w:pos="0"/>
          <w:tab w:val="num" w:pos="432"/>
        </w:tabs>
        <w:suppressAutoHyphens w:val="0"/>
        <w:spacing w:line="276" w:lineRule="auto"/>
        <w:ind w:left="0" w:firstLine="709"/>
        <w:contextualSpacing/>
        <w:textAlignment w:val="top"/>
        <w:rPr>
          <w:sz w:val="28"/>
          <w:szCs w:val="28"/>
          <w:lang w:eastAsia="ru-RU"/>
        </w:rPr>
      </w:pPr>
      <w:r w:rsidRPr="0042712D">
        <w:rPr>
          <w:sz w:val="28"/>
          <w:szCs w:val="28"/>
          <w:lang w:eastAsia="ru-RU"/>
        </w:rPr>
        <w:t>2. Учащиеся в трудоспособном возрасте, обучающиеся с отрывом от производства</w:t>
      </w:r>
      <w:r>
        <w:rPr>
          <w:sz w:val="28"/>
          <w:szCs w:val="28"/>
          <w:lang w:eastAsia="ru-RU"/>
        </w:rPr>
        <w:t>,</w:t>
      </w:r>
      <w:r w:rsidRPr="0042712D">
        <w:rPr>
          <w:sz w:val="28"/>
          <w:szCs w:val="28"/>
          <w:lang w:eastAsia="ru-RU"/>
        </w:rPr>
        <w:t xml:space="preserve"> по оценке, </w:t>
      </w:r>
      <w:r>
        <w:rPr>
          <w:sz w:val="28"/>
          <w:szCs w:val="28"/>
          <w:lang w:eastAsia="ru-RU"/>
        </w:rPr>
        <w:t xml:space="preserve">в 2020 году </w:t>
      </w:r>
      <w:r w:rsidR="00993F99">
        <w:rPr>
          <w:sz w:val="28"/>
          <w:szCs w:val="28"/>
          <w:lang w:eastAsia="ru-RU"/>
        </w:rPr>
        <w:t>составили</w:t>
      </w:r>
      <w:r>
        <w:rPr>
          <w:sz w:val="28"/>
          <w:szCs w:val="28"/>
          <w:lang w:eastAsia="ru-RU"/>
        </w:rPr>
        <w:t xml:space="preserve"> </w:t>
      </w:r>
      <w:r w:rsidRPr="0042712D">
        <w:rPr>
          <w:sz w:val="28"/>
          <w:szCs w:val="28"/>
          <w:lang w:eastAsia="ru-RU"/>
        </w:rPr>
        <w:t>24,9 тыс. человек.</w:t>
      </w:r>
      <w:r w:rsidR="009A213D">
        <w:rPr>
          <w:sz w:val="28"/>
          <w:szCs w:val="28"/>
          <w:lang w:eastAsia="ru-RU"/>
        </w:rPr>
        <w:t xml:space="preserve"> Значение данного показателя с 2019 года </w:t>
      </w:r>
      <w:proofErr w:type="spellStart"/>
      <w:r w:rsidR="00993F99">
        <w:rPr>
          <w:sz w:val="28"/>
          <w:szCs w:val="28"/>
          <w:lang w:eastAsia="ru-RU"/>
        </w:rPr>
        <w:t>Самарастатом</w:t>
      </w:r>
      <w:proofErr w:type="spellEnd"/>
      <w:r w:rsidR="00993F99">
        <w:rPr>
          <w:sz w:val="28"/>
          <w:szCs w:val="28"/>
          <w:lang w:eastAsia="ru-RU"/>
        </w:rPr>
        <w:t xml:space="preserve"> </w:t>
      </w:r>
      <w:r w:rsidR="009A213D">
        <w:rPr>
          <w:sz w:val="28"/>
          <w:szCs w:val="28"/>
          <w:lang w:eastAsia="ru-RU"/>
        </w:rPr>
        <w:t>не предоста</w:t>
      </w:r>
      <w:r w:rsidR="004B0E7E">
        <w:rPr>
          <w:sz w:val="28"/>
          <w:szCs w:val="28"/>
          <w:lang w:eastAsia="ru-RU"/>
        </w:rPr>
        <w:t xml:space="preserve">вляется, оценивается администрацией </w:t>
      </w:r>
      <w:r w:rsidR="00993F99">
        <w:rPr>
          <w:sz w:val="28"/>
          <w:szCs w:val="28"/>
          <w:lang w:eastAsia="ru-RU"/>
        </w:rPr>
        <w:t xml:space="preserve">городского округа Тольятти </w:t>
      </w:r>
      <w:r w:rsidR="004B0E7E">
        <w:rPr>
          <w:sz w:val="28"/>
          <w:szCs w:val="28"/>
          <w:lang w:eastAsia="ru-RU"/>
        </w:rPr>
        <w:t>самостоятельно.</w:t>
      </w:r>
      <w:r w:rsidRPr="0042712D">
        <w:rPr>
          <w:sz w:val="28"/>
          <w:szCs w:val="28"/>
          <w:lang w:eastAsia="ru-RU"/>
        </w:rPr>
        <w:t xml:space="preserve">  </w:t>
      </w:r>
      <w:r w:rsidR="008A141A">
        <w:rPr>
          <w:sz w:val="28"/>
          <w:szCs w:val="28"/>
          <w:lang w:eastAsia="ru-RU"/>
        </w:rPr>
        <w:t>Численность данной категории растет за счет увеличения числа молодежи от 16 лет до 22 лет, входящей в состав показателя.</w:t>
      </w:r>
    </w:p>
    <w:p w14:paraId="5658BD6B" w14:textId="238632B1" w:rsidR="0042712D" w:rsidRPr="0042712D" w:rsidRDefault="0042712D" w:rsidP="00035AF4">
      <w:pPr>
        <w:pStyle w:val="afb"/>
        <w:numPr>
          <w:ilvl w:val="0"/>
          <w:numId w:val="5"/>
        </w:numPr>
        <w:tabs>
          <w:tab w:val="clear" w:pos="0"/>
          <w:tab w:val="num" w:pos="432"/>
        </w:tabs>
        <w:suppressAutoHyphens w:val="0"/>
        <w:spacing w:line="276" w:lineRule="auto"/>
        <w:ind w:left="0" w:firstLine="709"/>
        <w:contextualSpacing/>
        <w:textAlignment w:val="top"/>
        <w:rPr>
          <w:sz w:val="28"/>
          <w:szCs w:val="28"/>
          <w:lang w:eastAsia="ru-RU"/>
        </w:rPr>
      </w:pPr>
      <w:r w:rsidRPr="0042712D">
        <w:rPr>
          <w:sz w:val="28"/>
          <w:szCs w:val="28"/>
          <w:lang w:eastAsia="ru-RU"/>
        </w:rPr>
        <w:t>3. Численность безработных граждан,</w:t>
      </w:r>
      <w:r w:rsidR="004B0E7E">
        <w:rPr>
          <w:sz w:val="28"/>
          <w:szCs w:val="28"/>
          <w:lang w:eastAsia="ru-RU"/>
        </w:rPr>
        <w:t xml:space="preserve"> </w:t>
      </w:r>
      <w:r w:rsidRPr="0042712D">
        <w:rPr>
          <w:sz w:val="28"/>
          <w:szCs w:val="28"/>
          <w:lang w:eastAsia="ru-RU"/>
        </w:rPr>
        <w:t>зарегистрированных в службе занятости населения в 2020 году – 12 тыс. ч</w:t>
      </w:r>
      <w:r w:rsidR="00993F99">
        <w:rPr>
          <w:sz w:val="28"/>
          <w:szCs w:val="28"/>
          <w:lang w:eastAsia="ru-RU"/>
        </w:rPr>
        <w:t>еловек в среднегодовом значении (на конец 2020 года - 13,4 тыс. человек).</w:t>
      </w:r>
      <w:r w:rsidRPr="0042712D">
        <w:rPr>
          <w:sz w:val="28"/>
          <w:szCs w:val="28"/>
          <w:lang w:eastAsia="ru-RU"/>
        </w:rPr>
        <w:t xml:space="preserve"> </w:t>
      </w:r>
    </w:p>
    <w:p w14:paraId="4B810B40" w14:textId="77777777" w:rsidR="00993F99" w:rsidRDefault="004B0E7E" w:rsidP="006A1245">
      <w:pPr>
        <w:spacing w:line="276" w:lineRule="auto"/>
        <w:rPr>
          <w:sz w:val="28"/>
          <w:szCs w:val="28"/>
          <w:lang w:eastAsia="ru-RU"/>
        </w:rPr>
      </w:pPr>
      <w:r w:rsidRPr="00993F99">
        <w:rPr>
          <w:sz w:val="28"/>
          <w:szCs w:val="28"/>
          <w:lang w:eastAsia="ru-RU"/>
        </w:rPr>
        <w:t xml:space="preserve">В результате проведения взвешенной политики занятости ситуация на рынке труда городского округа Тольятти в текущем году характеризуется последовательным снижением регистрируемой безработицы. </w:t>
      </w:r>
    </w:p>
    <w:p w14:paraId="2763C53E" w14:textId="785484BF" w:rsidR="00993F99" w:rsidRPr="00993F99" w:rsidRDefault="00993F99" w:rsidP="006A1245">
      <w:pPr>
        <w:spacing w:line="276" w:lineRule="auto"/>
        <w:rPr>
          <w:sz w:val="28"/>
          <w:szCs w:val="28"/>
          <w:lang w:eastAsia="ru-RU"/>
        </w:rPr>
      </w:pPr>
      <w:r w:rsidRPr="00993F99">
        <w:rPr>
          <w:sz w:val="28"/>
          <w:szCs w:val="28"/>
          <w:lang w:eastAsia="ru-RU"/>
        </w:rPr>
        <w:t>С начала 2021 года в ГКУ СО «Центр занятости населения городского округа Тольятти» (далее по разделу – Центр занятости) зарегистрировано в качестве активно ищущих работу – 10,5 тыс. человек, что в 1,8 раза меньше уровня показателя аналогичного периода прошлого года (18,7 тыс. чел</w:t>
      </w:r>
      <w:r w:rsidR="00BF2A06">
        <w:rPr>
          <w:sz w:val="28"/>
          <w:szCs w:val="28"/>
          <w:lang w:eastAsia="ru-RU"/>
        </w:rPr>
        <w:t>овек</w:t>
      </w:r>
      <w:r w:rsidRPr="00993F99">
        <w:rPr>
          <w:sz w:val="28"/>
          <w:szCs w:val="28"/>
          <w:lang w:eastAsia="ru-RU"/>
        </w:rPr>
        <w:t>).</w:t>
      </w:r>
      <w:r>
        <w:rPr>
          <w:sz w:val="28"/>
          <w:szCs w:val="28"/>
          <w:lang w:eastAsia="ru-RU"/>
        </w:rPr>
        <w:t xml:space="preserve"> </w:t>
      </w:r>
      <w:r w:rsidRPr="00993F99">
        <w:rPr>
          <w:sz w:val="28"/>
          <w:szCs w:val="28"/>
          <w:lang w:eastAsia="ru-RU"/>
        </w:rPr>
        <w:t xml:space="preserve"> </w:t>
      </w:r>
    </w:p>
    <w:p w14:paraId="25500905" w14:textId="77777777" w:rsidR="00282B08" w:rsidRDefault="00993F99" w:rsidP="00282B08">
      <w:pPr>
        <w:widowControl w:val="0"/>
        <w:spacing w:line="276" w:lineRule="auto"/>
        <w:rPr>
          <w:sz w:val="28"/>
          <w:szCs w:val="28"/>
          <w:lang w:eastAsia="ru-RU"/>
        </w:rPr>
      </w:pPr>
      <w:r w:rsidRPr="00993F99">
        <w:rPr>
          <w:sz w:val="28"/>
          <w:szCs w:val="28"/>
          <w:lang w:eastAsia="ru-RU"/>
        </w:rPr>
        <w:t>На конец июня 2021 года уровень безработицы относительно показателя прошлого года уменьшился на 2,57 процентных пункта и составил 1,47%. Численность безработных граждан на 01.07.2021 составила 5867 человека, что в 2,7 раза меньше показателя на 01.07.2020 (15</w:t>
      </w:r>
      <w:r w:rsidR="00695D20">
        <w:rPr>
          <w:sz w:val="28"/>
          <w:szCs w:val="28"/>
          <w:lang w:eastAsia="ru-RU"/>
        </w:rPr>
        <w:t>,</w:t>
      </w:r>
      <w:r w:rsidRPr="00993F99">
        <w:rPr>
          <w:sz w:val="28"/>
          <w:szCs w:val="28"/>
          <w:lang w:eastAsia="ru-RU"/>
        </w:rPr>
        <w:t xml:space="preserve">953 </w:t>
      </w:r>
      <w:r w:rsidR="00695D20">
        <w:rPr>
          <w:sz w:val="28"/>
          <w:szCs w:val="28"/>
          <w:lang w:eastAsia="ru-RU"/>
        </w:rPr>
        <w:t xml:space="preserve">тыс. </w:t>
      </w:r>
      <w:r w:rsidRPr="00993F99">
        <w:rPr>
          <w:sz w:val="28"/>
          <w:szCs w:val="28"/>
          <w:lang w:eastAsia="ru-RU"/>
        </w:rPr>
        <w:t xml:space="preserve">человек). </w:t>
      </w:r>
    </w:p>
    <w:p w14:paraId="098905B1" w14:textId="0A76DD89" w:rsidR="004B0E7E" w:rsidRDefault="004B0E7E" w:rsidP="00282B08">
      <w:pPr>
        <w:widowControl w:val="0"/>
        <w:spacing w:line="276" w:lineRule="auto"/>
        <w:rPr>
          <w:sz w:val="28"/>
          <w:szCs w:val="28"/>
          <w:lang w:eastAsia="ru-RU"/>
        </w:rPr>
      </w:pPr>
      <w:r w:rsidRPr="00993F99">
        <w:rPr>
          <w:sz w:val="28"/>
          <w:szCs w:val="28"/>
          <w:lang w:eastAsia="ru-RU"/>
        </w:rPr>
        <w:t>Состав безработных</w:t>
      </w:r>
      <w:r w:rsidR="00993F99">
        <w:rPr>
          <w:sz w:val="28"/>
          <w:szCs w:val="28"/>
          <w:lang w:eastAsia="ru-RU"/>
        </w:rPr>
        <w:t xml:space="preserve">, зарегистрированных в </w:t>
      </w:r>
      <w:r w:rsidR="004F3625">
        <w:rPr>
          <w:sz w:val="28"/>
          <w:szCs w:val="28"/>
          <w:lang w:val="en-US" w:eastAsia="ru-RU"/>
        </w:rPr>
        <w:t>I</w:t>
      </w:r>
      <w:r w:rsidR="00993F99">
        <w:rPr>
          <w:sz w:val="28"/>
          <w:szCs w:val="28"/>
          <w:lang w:eastAsia="ru-RU"/>
        </w:rPr>
        <w:t xml:space="preserve"> полугодии 2021 года </w:t>
      </w:r>
      <w:r w:rsidR="00993F99" w:rsidRPr="007B463D">
        <w:rPr>
          <w:sz w:val="28"/>
          <w:szCs w:val="28"/>
          <w:lang w:eastAsia="ru-RU"/>
        </w:rPr>
        <w:t>(</w:t>
      </w:r>
      <w:r w:rsidR="00695D20">
        <w:rPr>
          <w:sz w:val="28"/>
          <w:szCs w:val="28"/>
          <w:lang w:eastAsia="ru-RU"/>
        </w:rPr>
        <w:t xml:space="preserve">всего в отчетном периоде было зарегистрировано </w:t>
      </w:r>
      <w:r w:rsidR="007B463D" w:rsidRPr="007B463D">
        <w:rPr>
          <w:sz w:val="28"/>
          <w:szCs w:val="28"/>
          <w:lang w:eastAsia="ru-RU"/>
        </w:rPr>
        <w:t>8</w:t>
      </w:r>
      <w:r w:rsidR="007B463D">
        <w:rPr>
          <w:sz w:val="28"/>
          <w:szCs w:val="28"/>
          <w:lang w:eastAsia="ru-RU"/>
        </w:rPr>
        <w:t>,</w:t>
      </w:r>
      <w:r w:rsidR="007B463D" w:rsidRPr="007B463D">
        <w:rPr>
          <w:sz w:val="28"/>
          <w:szCs w:val="28"/>
          <w:lang w:eastAsia="ru-RU"/>
        </w:rPr>
        <w:t xml:space="preserve">59 </w:t>
      </w:r>
      <w:r w:rsidR="00695D20">
        <w:rPr>
          <w:sz w:val="28"/>
          <w:szCs w:val="28"/>
          <w:lang w:eastAsia="ru-RU"/>
        </w:rPr>
        <w:t xml:space="preserve">тыс. </w:t>
      </w:r>
      <w:r w:rsidR="00993F99" w:rsidRPr="007B463D">
        <w:rPr>
          <w:sz w:val="28"/>
          <w:szCs w:val="28"/>
          <w:lang w:eastAsia="ru-RU"/>
        </w:rPr>
        <w:t>человек),</w:t>
      </w:r>
      <w:r w:rsidRPr="007B463D">
        <w:rPr>
          <w:sz w:val="28"/>
          <w:szCs w:val="28"/>
          <w:lang w:eastAsia="ru-RU"/>
        </w:rPr>
        <w:t xml:space="preserve"> </w:t>
      </w:r>
      <w:r w:rsidRPr="007B463D">
        <w:rPr>
          <w:sz w:val="28"/>
          <w:szCs w:val="28"/>
          <w:lang w:eastAsia="ru-RU"/>
        </w:rPr>
        <w:lastRenderedPageBreak/>
        <w:t>выглядит</w:t>
      </w:r>
      <w:r w:rsidRPr="00993F99">
        <w:rPr>
          <w:sz w:val="28"/>
          <w:szCs w:val="28"/>
          <w:lang w:eastAsia="ru-RU"/>
        </w:rPr>
        <w:t xml:space="preserve"> следующим образом:</w:t>
      </w:r>
    </w:p>
    <w:p w14:paraId="296DF423" w14:textId="721B64F6" w:rsidR="007B463D" w:rsidRDefault="007B463D" w:rsidP="004A4CED">
      <w:pPr>
        <w:pStyle w:val="afb"/>
        <w:numPr>
          <w:ilvl w:val="0"/>
          <w:numId w:val="5"/>
        </w:numPr>
        <w:suppressAutoHyphens w:val="0"/>
        <w:spacing w:line="276" w:lineRule="auto"/>
        <w:ind w:left="0" w:firstLine="709"/>
        <w:contextualSpacing/>
        <w:textAlignment w:val="top"/>
        <w:rPr>
          <w:sz w:val="28"/>
          <w:szCs w:val="28"/>
          <w:lang w:eastAsia="ru-RU"/>
        </w:rPr>
      </w:pPr>
      <w:r>
        <w:rPr>
          <w:sz w:val="28"/>
          <w:szCs w:val="28"/>
          <w:lang w:eastAsia="ru-RU"/>
        </w:rPr>
        <w:t>1. Р</w:t>
      </w:r>
      <w:r w:rsidRPr="007B463D">
        <w:rPr>
          <w:sz w:val="28"/>
          <w:szCs w:val="28"/>
          <w:lang w:eastAsia="ru-RU"/>
        </w:rPr>
        <w:t>анее не работали - 0,69</w:t>
      </w:r>
      <w:r>
        <w:rPr>
          <w:sz w:val="28"/>
          <w:szCs w:val="28"/>
          <w:lang w:eastAsia="ru-RU"/>
        </w:rPr>
        <w:t xml:space="preserve"> </w:t>
      </w:r>
      <w:r w:rsidRPr="007B463D">
        <w:rPr>
          <w:sz w:val="28"/>
          <w:szCs w:val="28"/>
          <w:lang w:eastAsia="ru-RU"/>
        </w:rPr>
        <w:t>тыс. человек</w:t>
      </w:r>
      <w:r>
        <w:rPr>
          <w:sz w:val="28"/>
          <w:szCs w:val="28"/>
          <w:lang w:eastAsia="ru-RU"/>
        </w:rPr>
        <w:t xml:space="preserve"> или 7,8% от общего числа безработных</w:t>
      </w:r>
      <w:r w:rsidR="004A4CED">
        <w:rPr>
          <w:sz w:val="28"/>
          <w:szCs w:val="28"/>
          <w:lang w:eastAsia="ru-RU"/>
        </w:rPr>
        <w:t>,</w:t>
      </w:r>
      <w:r w:rsidR="004A4CED" w:rsidRPr="004A4CED">
        <w:rPr>
          <w:sz w:val="28"/>
          <w:szCs w:val="28"/>
          <w:lang w:eastAsia="ru-RU"/>
        </w:rPr>
        <w:t xml:space="preserve"> </w:t>
      </w:r>
      <w:r w:rsidR="004A4CED" w:rsidRPr="004B0E7E">
        <w:rPr>
          <w:sz w:val="28"/>
          <w:szCs w:val="28"/>
          <w:lang w:eastAsia="ru-RU"/>
        </w:rPr>
        <w:t xml:space="preserve"> </w:t>
      </w:r>
      <w:r w:rsidR="004A4CED">
        <w:rPr>
          <w:sz w:val="28"/>
          <w:szCs w:val="28"/>
          <w:lang w:eastAsia="ru-RU"/>
        </w:rPr>
        <w:t xml:space="preserve">в </w:t>
      </w:r>
      <w:r w:rsidR="004A4CED" w:rsidRPr="004B0E7E">
        <w:rPr>
          <w:sz w:val="28"/>
          <w:szCs w:val="28"/>
          <w:lang w:eastAsia="ru-RU"/>
        </w:rPr>
        <w:t>аналогичном периоде прошлого года</w:t>
      </w:r>
      <w:r w:rsidR="004A4CED">
        <w:rPr>
          <w:sz w:val="28"/>
          <w:szCs w:val="28"/>
          <w:lang w:eastAsia="ru-RU"/>
        </w:rPr>
        <w:t xml:space="preserve"> – 1,39</w:t>
      </w:r>
      <w:r w:rsidR="004A4CED" w:rsidRPr="004B0E7E">
        <w:rPr>
          <w:sz w:val="28"/>
          <w:szCs w:val="28"/>
          <w:lang w:eastAsia="ru-RU"/>
        </w:rPr>
        <w:t xml:space="preserve"> тыс. человек</w:t>
      </w:r>
      <w:r w:rsidR="004A4CED">
        <w:rPr>
          <w:sz w:val="28"/>
          <w:szCs w:val="28"/>
          <w:lang w:eastAsia="ru-RU"/>
        </w:rPr>
        <w:t xml:space="preserve"> (9,1%).</w:t>
      </w:r>
      <w:r w:rsidR="004A4CED" w:rsidRPr="004B0E7E">
        <w:rPr>
          <w:sz w:val="28"/>
          <w:szCs w:val="28"/>
          <w:lang w:eastAsia="ru-RU"/>
        </w:rPr>
        <w:t xml:space="preserve"> </w:t>
      </w:r>
    </w:p>
    <w:p w14:paraId="7EE14A5F" w14:textId="63B93E0B" w:rsidR="007B463D" w:rsidRDefault="007B463D" w:rsidP="007B463D">
      <w:pPr>
        <w:pStyle w:val="afb"/>
        <w:numPr>
          <w:ilvl w:val="0"/>
          <w:numId w:val="5"/>
        </w:numPr>
        <w:suppressAutoHyphens w:val="0"/>
        <w:spacing w:line="276" w:lineRule="auto"/>
        <w:ind w:left="0" w:firstLine="709"/>
        <w:contextualSpacing/>
        <w:textAlignment w:val="top"/>
        <w:rPr>
          <w:sz w:val="28"/>
          <w:szCs w:val="28"/>
          <w:lang w:eastAsia="ru-RU"/>
        </w:rPr>
      </w:pPr>
      <w:r>
        <w:rPr>
          <w:sz w:val="28"/>
          <w:szCs w:val="28"/>
          <w:lang w:eastAsia="ru-RU"/>
        </w:rPr>
        <w:t>2. Были заняты в экономике – 7,9 тыс. человек или 92,2%, в том числе:</w:t>
      </w:r>
    </w:p>
    <w:p w14:paraId="68AC087C" w14:textId="086D0667" w:rsidR="004B0E7E" w:rsidRPr="007B463D" w:rsidRDefault="004B0E7E" w:rsidP="007B463D">
      <w:pPr>
        <w:pStyle w:val="afb"/>
        <w:numPr>
          <w:ilvl w:val="0"/>
          <w:numId w:val="5"/>
        </w:numPr>
        <w:suppressAutoHyphens w:val="0"/>
        <w:spacing w:line="276" w:lineRule="auto"/>
        <w:ind w:left="0" w:firstLine="709"/>
        <w:contextualSpacing/>
        <w:textAlignment w:val="top"/>
        <w:rPr>
          <w:sz w:val="28"/>
          <w:szCs w:val="28"/>
          <w:lang w:eastAsia="ru-RU"/>
        </w:rPr>
      </w:pPr>
      <w:r w:rsidRPr="007B463D">
        <w:rPr>
          <w:sz w:val="28"/>
          <w:szCs w:val="28"/>
          <w:lang w:eastAsia="ru-RU"/>
        </w:rPr>
        <w:t xml:space="preserve">- уволенные по собственному желанию – </w:t>
      </w:r>
      <w:r w:rsidR="007B463D" w:rsidRPr="007B463D">
        <w:rPr>
          <w:sz w:val="28"/>
          <w:szCs w:val="28"/>
          <w:lang w:eastAsia="ru-RU"/>
        </w:rPr>
        <w:t>5,75</w:t>
      </w:r>
      <w:r w:rsidRPr="007B463D">
        <w:rPr>
          <w:sz w:val="28"/>
          <w:szCs w:val="28"/>
          <w:lang w:eastAsia="ru-RU"/>
        </w:rPr>
        <w:t xml:space="preserve"> тыс. человек (</w:t>
      </w:r>
      <w:r w:rsidR="007B463D">
        <w:rPr>
          <w:sz w:val="28"/>
          <w:szCs w:val="28"/>
          <w:lang w:eastAsia="ru-RU"/>
        </w:rPr>
        <w:t>72,6</w:t>
      </w:r>
      <w:r w:rsidRPr="007B463D">
        <w:rPr>
          <w:sz w:val="28"/>
          <w:szCs w:val="28"/>
          <w:lang w:eastAsia="ru-RU"/>
        </w:rPr>
        <w:t xml:space="preserve">% от </w:t>
      </w:r>
      <w:r w:rsidR="007B463D">
        <w:rPr>
          <w:sz w:val="28"/>
          <w:szCs w:val="28"/>
          <w:lang w:eastAsia="ru-RU"/>
        </w:rPr>
        <w:t>данной категории безработных</w:t>
      </w:r>
      <w:r w:rsidRPr="007B463D">
        <w:rPr>
          <w:sz w:val="28"/>
          <w:szCs w:val="28"/>
          <w:lang w:eastAsia="ru-RU"/>
        </w:rPr>
        <w:t xml:space="preserve">), в аналогичном периоде прошлого года </w:t>
      </w:r>
      <w:r w:rsidR="00695D20">
        <w:rPr>
          <w:sz w:val="28"/>
          <w:szCs w:val="28"/>
          <w:lang w:eastAsia="ru-RU"/>
        </w:rPr>
        <w:t xml:space="preserve">- </w:t>
      </w:r>
      <w:r w:rsidR="007B463D">
        <w:rPr>
          <w:sz w:val="28"/>
          <w:szCs w:val="28"/>
          <w:lang w:eastAsia="ru-RU"/>
        </w:rPr>
        <w:t>10</w:t>
      </w:r>
      <w:r w:rsidRPr="007B463D">
        <w:rPr>
          <w:sz w:val="28"/>
          <w:szCs w:val="28"/>
          <w:lang w:eastAsia="ru-RU"/>
        </w:rPr>
        <w:t xml:space="preserve"> тыс. человек;</w:t>
      </w:r>
    </w:p>
    <w:p w14:paraId="2ACE6BEC" w14:textId="3EBF3506" w:rsidR="004B0E7E" w:rsidRPr="004B0E7E" w:rsidRDefault="004B0E7E" w:rsidP="00544F0B">
      <w:pPr>
        <w:pStyle w:val="afb"/>
        <w:numPr>
          <w:ilvl w:val="0"/>
          <w:numId w:val="5"/>
        </w:numPr>
        <w:suppressAutoHyphens w:val="0"/>
        <w:spacing w:line="276" w:lineRule="auto"/>
        <w:ind w:left="0" w:firstLine="709"/>
        <w:contextualSpacing/>
        <w:textAlignment w:val="top"/>
        <w:rPr>
          <w:sz w:val="28"/>
          <w:szCs w:val="28"/>
          <w:lang w:eastAsia="ru-RU"/>
        </w:rPr>
      </w:pPr>
      <w:r w:rsidRPr="004B0E7E">
        <w:rPr>
          <w:sz w:val="28"/>
          <w:szCs w:val="28"/>
          <w:lang w:eastAsia="ru-RU"/>
        </w:rPr>
        <w:t xml:space="preserve">- уволенные по соглашению сторон – </w:t>
      </w:r>
      <w:r w:rsidR="004A4CED">
        <w:rPr>
          <w:sz w:val="28"/>
          <w:szCs w:val="28"/>
          <w:lang w:eastAsia="ru-RU"/>
        </w:rPr>
        <w:t>1,5</w:t>
      </w:r>
      <w:r w:rsidRPr="004B0E7E">
        <w:rPr>
          <w:sz w:val="28"/>
          <w:szCs w:val="28"/>
          <w:lang w:eastAsia="ru-RU"/>
        </w:rPr>
        <w:t xml:space="preserve"> тыс. человек (</w:t>
      </w:r>
      <w:r w:rsidR="004A4CED">
        <w:rPr>
          <w:sz w:val="28"/>
          <w:szCs w:val="28"/>
          <w:lang w:eastAsia="ru-RU"/>
        </w:rPr>
        <w:t>18,9</w:t>
      </w:r>
      <w:r w:rsidRPr="004B0E7E">
        <w:rPr>
          <w:sz w:val="28"/>
          <w:szCs w:val="28"/>
          <w:lang w:eastAsia="ru-RU"/>
        </w:rPr>
        <w:t xml:space="preserve">%), в аналогичном периоде прошлого года </w:t>
      </w:r>
      <w:r w:rsidR="004A4CED">
        <w:rPr>
          <w:sz w:val="28"/>
          <w:szCs w:val="28"/>
          <w:lang w:eastAsia="ru-RU"/>
        </w:rPr>
        <w:t>2,8</w:t>
      </w:r>
      <w:r w:rsidRPr="004B0E7E">
        <w:rPr>
          <w:sz w:val="28"/>
          <w:szCs w:val="28"/>
          <w:lang w:eastAsia="ru-RU"/>
        </w:rPr>
        <w:t xml:space="preserve"> тыс. человек;</w:t>
      </w:r>
    </w:p>
    <w:p w14:paraId="603B095F" w14:textId="5FC96264" w:rsidR="004B0E7E" w:rsidRDefault="004B0E7E" w:rsidP="00544F0B">
      <w:pPr>
        <w:pStyle w:val="afb"/>
        <w:numPr>
          <w:ilvl w:val="0"/>
          <w:numId w:val="5"/>
        </w:numPr>
        <w:suppressAutoHyphens w:val="0"/>
        <w:spacing w:line="276" w:lineRule="auto"/>
        <w:ind w:left="0" w:firstLine="709"/>
        <w:contextualSpacing/>
        <w:textAlignment w:val="top"/>
        <w:rPr>
          <w:sz w:val="28"/>
          <w:szCs w:val="28"/>
          <w:lang w:eastAsia="ru-RU"/>
        </w:rPr>
      </w:pPr>
      <w:r w:rsidRPr="004B0E7E">
        <w:rPr>
          <w:sz w:val="28"/>
          <w:szCs w:val="28"/>
          <w:lang w:eastAsia="ru-RU"/>
        </w:rPr>
        <w:t xml:space="preserve">- </w:t>
      </w:r>
      <w:r w:rsidR="004A4CED">
        <w:rPr>
          <w:sz w:val="28"/>
          <w:szCs w:val="28"/>
          <w:lang w:eastAsia="ru-RU"/>
        </w:rPr>
        <w:t xml:space="preserve">прочие причины </w:t>
      </w:r>
      <w:r w:rsidRPr="004B0E7E">
        <w:rPr>
          <w:sz w:val="28"/>
          <w:szCs w:val="28"/>
          <w:lang w:eastAsia="ru-RU"/>
        </w:rPr>
        <w:t xml:space="preserve">– </w:t>
      </w:r>
      <w:r w:rsidR="004A4CED">
        <w:rPr>
          <w:sz w:val="28"/>
          <w:szCs w:val="28"/>
          <w:lang w:eastAsia="ru-RU"/>
        </w:rPr>
        <w:t>0</w:t>
      </w:r>
      <w:r w:rsidRPr="004B0E7E">
        <w:rPr>
          <w:sz w:val="28"/>
          <w:szCs w:val="28"/>
          <w:lang w:eastAsia="ru-RU"/>
        </w:rPr>
        <w:t>,</w:t>
      </w:r>
      <w:r w:rsidR="004A4CED">
        <w:rPr>
          <w:sz w:val="28"/>
          <w:szCs w:val="28"/>
          <w:lang w:eastAsia="ru-RU"/>
        </w:rPr>
        <w:t>65</w:t>
      </w:r>
      <w:r w:rsidRPr="004B0E7E">
        <w:rPr>
          <w:sz w:val="28"/>
          <w:szCs w:val="28"/>
          <w:lang w:eastAsia="ru-RU"/>
        </w:rPr>
        <w:t xml:space="preserve"> тыс. человек (</w:t>
      </w:r>
      <w:r w:rsidR="004A4CED">
        <w:rPr>
          <w:sz w:val="28"/>
          <w:szCs w:val="28"/>
          <w:lang w:eastAsia="ru-RU"/>
        </w:rPr>
        <w:t>8,5</w:t>
      </w:r>
      <w:r w:rsidRPr="004B0E7E">
        <w:rPr>
          <w:sz w:val="28"/>
          <w:szCs w:val="28"/>
          <w:lang w:eastAsia="ru-RU"/>
        </w:rPr>
        <w:t xml:space="preserve">%), </w:t>
      </w:r>
      <w:r w:rsidR="004A4CED">
        <w:rPr>
          <w:sz w:val="28"/>
          <w:szCs w:val="28"/>
          <w:lang w:eastAsia="ru-RU"/>
        </w:rPr>
        <w:t xml:space="preserve">в </w:t>
      </w:r>
      <w:r w:rsidRPr="004B0E7E">
        <w:rPr>
          <w:sz w:val="28"/>
          <w:szCs w:val="28"/>
          <w:lang w:eastAsia="ru-RU"/>
        </w:rPr>
        <w:t xml:space="preserve">аналогичном периоде прошлого года </w:t>
      </w:r>
      <w:r w:rsidR="00783B92">
        <w:rPr>
          <w:sz w:val="28"/>
          <w:szCs w:val="28"/>
          <w:lang w:eastAsia="ru-RU"/>
        </w:rPr>
        <w:t>1,2</w:t>
      </w:r>
      <w:r w:rsidRPr="004B0E7E">
        <w:rPr>
          <w:sz w:val="28"/>
          <w:szCs w:val="28"/>
          <w:lang w:eastAsia="ru-RU"/>
        </w:rPr>
        <w:t xml:space="preserve"> тыс. человек.</w:t>
      </w:r>
    </w:p>
    <w:p w14:paraId="51A4A422" w14:textId="238050EC" w:rsidR="00993F99" w:rsidRPr="00993F99" w:rsidRDefault="00993F99" w:rsidP="00993F99">
      <w:pPr>
        <w:pStyle w:val="afb"/>
        <w:numPr>
          <w:ilvl w:val="0"/>
          <w:numId w:val="5"/>
        </w:numPr>
        <w:suppressAutoHyphens w:val="0"/>
        <w:spacing w:line="276" w:lineRule="auto"/>
        <w:ind w:left="0" w:firstLine="709"/>
        <w:contextualSpacing/>
        <w:textAlignment w:val="top"/>
        <w:rPr>
          <w:sz w:val="28"/>
          <w:szCs w:val="28"/>
          <w:lang w:eastAsia="ru-RU"/>
        </w:rPr>
      </w:pPr>
      <w:r w:rsidRPr="00993F99">
        <w:rPr>
          <w:sz w:val="28"/>
          <w:szCs w:val="28"/>
          <w:lang w:eastAsia="ru-RU"/>
        </w:rPr>
        <w:t>На 01.07.2021 в Центре занятости было зарегистрировано 11</w:t>
      </w:r>
      <w:r w:rsidR="00695D20">
        <w:rPr>
          <w:sz w:val="28"/>
          <w:szCs w:val="28"/>
          <w:lang w:eastAsia="ru-RU"/>
        </w:rPr>
        <w:t>,</w:t>
      </w:r>
      <w:r w:rsidRPr="00993F99">
        <w:rPr>
          <w:sz w:val="28"/>
          <w:szCs w:val="28"/>
          <w:lang w:eastAsia="ru-RU"/>
        </w:rPr>
        <w:t xml:space="preserve">845 </w:t>
      </w:r>
      <w:r w:rsidR="00695D20">
        <w:rPr>
          <w:sz w:val="28"/>
          <w:szCs w:val="28"/>
          <w:lang w:eastAsia="ru-RU"/>
        </w:rPr>
        <w:t xml:space="preserve">тыс. </w:t>
      </w:r>
      <w:r w:rsidRPr="00993F99">
        <w:rPr>
          <w:sz w:val="28"/>
          <w:szCs w:val="28"/>
          <w:lang w:eastAsia="ru-RU"/>
        </w:rPr>
        <w:t xml:space="preserve">вакансий, что на 64,7% больше аналогичного показателя предыдущего года (на 01.07.2020 – 7,2 тыс. вакансий), в том числе для рабочих </w:t>
      </w:r>
      <w:r w:rsidR="00695D20">
        <w:rPr>
          <w:sz w:val="28"/>
          <w:szCs w:val="28"/>
          <w:lang w:eastAsia="ru-RU"/>
        </w:rPr>
        <w:t>–</w:t>
      </w:r>
      <w:r w:rsidRPr="00993F99">
        <w:rPr>
          <w:sz w:val="28"/>
          <w:szCs w:val="28"/>
          <w:lang w:eastAsia="ru-RU"/>
        </w:rPr>
        <w:t xml:space="preserve"> 8</w:t>
      </w:r>
      <w:r w:rsidR="00695D20">
        <w:rPr>
          <w:sz w:val="28"/>
          <w:szCs w:val="28"/>
          <w:lang w:eastAsia="ru-RU"/>
        </w:rPr>
        <w:t>,</w:t>
      </w:r>
      <w:r w:rsidRPr="00993F99">
        <w:rPr>
          <w:sz w:val="28"/>
          <w:szCs w:val="28"/>
          <w:lang w:eastAsia="ru-RU"/>
        </w:rPr>
        <w:t xml:space="preserve">272 </w:t>
      </w:r>
      <w:r w:rsidR="00695D20">
        <w:rPr>
          <w:sz w:val="28"/>
          <w:szCs w:val="28"/>
          <w:lang w:eastAsia="ru-RU"/>
        </w:rPr>
        <w:t xml:space="preserve">тыс. </w:t>
      </w:r>
      <w:r w:rsidRPr="00993F99">
        <w:rPr>
          <w:sz w:val="28"/>
          <w:szCs w:val="28"/>
          <w:lang w:eastAsia="ru-RU"/>
        </w:rPr>
        <w:t>вакансий (69,8%), для специалистов и служащих – 3</w:t>
      </w:r>
      <w:r w:rsidR="00695D20">
        <w:rPr>
          <w:sz w:val="28"/>
          <w:szCs w:val="28"/>
          <w:lang w:eastAsia="ru-RU"/>
        </w:rPr>
        <w:t>,</w:t>
      </w:r>
      <w:r w:rsidRPr="00993F99">
        <w:rPr>
          <w:sz w:val="28"/>
          <w:szCs w:val="28"/>
          <w:lang w:eastAsia="ru-RU"/>
        </w:rPr>
        <w:t xml:space="preserve">573 </w:t>
      </w:r>
      <w:r w:rsidR="00695D20">
        <w:rPr>
          <w:sz w:val="28"/>
          <w:szCs w:val="28"/>
          <w:lang w:eastAsia="ru-RU"/>
        </w:rPr>
        <w:t>тыс.</w:t>
      </w:r>
      <w:r w:rsidR="00D229F0">
        <w:rPr>
          <w:sz w:val="28"/>
          <w:szCs w:val="28"/>
          <w:lang w:eastAsia="ru-RU"/>
        </w:rPr>
        <w:t xml:space="preserve"> </w:t>
      </w:r>
      <w:r w:rsidRPr="00993F99">
        <w:rPr>
          <w:sz w:val="28"/>
          <w:szCs w:val="28"/>
          <w:lang w:eastAsia="ru-RU"/>
        </w:rPr>
        <w:t>вакансий (30,2%).</w:t>
      </w:r>
    </w:p>
    <w:p w14:paraId="1BCEC7B6" w14:textId="77777777" w:rsidR="00C32D60" w:rsidRPr="00670823" w:rsidRDefault="00C32D60" w:rsidP="00C32D60">
      <w:pPr>
        <w:pStyle w:val="afb"/>
        <w:numPr>
          <w:ilvl w:val="0"/>
          <w:numId w:val="5"/>
        </w:numPr>
        <w:suppressAutoHyphens w:val="0"/>
        <w:spacing w:line="276" w:lineRule="auto"/>
        <w:ind w:left="0" w:firstLine="709"/>
        <w:contextualSpacing/>
        <w:textAlignment w:val="top"/>
        <w:rPr>
          <w:sz w:val="28"/>
          <w:szCs w:val="28"/>
          <w:highlight w:val="yellow"/>
          <w:lang w:eastAsia="ru-RU"/>
        </w:rPr>
      </w:pPr>
      <w:r w:rsidRPr="00993F99">
        <w:rPr>
          <w:sz w:val="28"/>
          <w:szCs w:val="28"/>
          <w:lang w:eastAsia="ru-RU"/>
        </w:rPr>
        <w:t>Коэффициент напряженности на рынке труда составил 0,5 незанятых на одно свободное рабочее место (на 01.07.2020 – 2,4)</w:t>
      </w:r>
      <w:r>
        <w:rPr>
          <w:sz w:val="28"/>
          <w:szCs w:val="28"/>
          <w:lang w:eastAsia="ru-RU"/>
        </w:rPr>
        <w:t>, в том числе: 0,3 среди рабочих, 0,8 – среди служащих</w:t>
      </w:r>
      <w:r w:rsidRPr="00993F99">
        <w:rPr>
          <w:sz w:val="28"/>
          <w:szCs w:val="28"/>
          <w:lang w:eastAsia="ru-RU"/>
        </w:rPr>
        <w:t>.</w:t>
      </w:r>
    </w:p>
    <w:p w14:paraId="34398478" w14:textId="1C17915F" w:rsidR="00993F99" w:rsidRPr="00993F99" w:rsidRDefault="00993F99" w:rsidP="00993F99">
      <w:pPr>
        <w:pStyle w:val="afb"/>
        <w:numPr>
          <w:ilvl w:val="0"/>
          <w:numId w:val="5"/>
        </w:numPr>
        <w:suppressAutoHyphens w:val="0"/>
        <w:spacing w:line="276" w:lineRule="auto"/>
        <w:ind w:left="0" w:firstLine="709"/>
        <w:contextualSpacing/>
        <w:textAlignment w:val="top"/>
        <w:rPr>
          <w:sz w:val="28"/>
          <w:szCs w:val="28"/>
          <w:lang w:eastAsia="ru-RU"/>
        </w:rPr>
      </w:pPr>
      <w:r w:rsidRPr="00993F99">
        <w:rPr>
          <w:sz w:val="28"/>
          <w:szCs w:val="28"/>
          <w:lang w:eastAsia="ru-RU"/>
        </w:rPr>
        <w:t>Основными заказчиками рабочей силы выступают предприятия обрабатывающих производств (</w:t>
      </w:r>
      <w:r w:rsidR="00C32D60">
        <w:rPr>
          <w:sz w:val="28"/>
          <w:szCs w:val="28"/>
          <w:lang w:eastAsia="ru-RU"/>
        </w:rPr>
        <w:t>3</w:t>
      </w:r>
      <w:r w:rsidR="00D229F0">
        <w:rPr>
          <w:sz w:val="28"/>
          <w:szCs w:val="28"/>
          <w:lang w:eastAsia="ru-RU"/>
        </w:rPr>
        <w:t>,</w:t>
      </w:r>
      <w:r w:rsidR="00C32D60">
        <w:rPr>
          <w:sz w:val="28"/>
          <w:szCs w:val="28"/>
          <w:lang w:eastAsia="ru-RU"/>
        </w:rPr>
        <w:t xml:space="preserve">058 </w:t>
      </w:r>
      <w:r w:rsidR="00D229F0">
        <w:rPr>
          <w:sz w:val="28"/>
          <w:szCs w:val="28"/>
          <w:lang w:eastAsia="ru-RU"/>
        </w:rPr>
        <w:t xml:space="preserve">тыс. </w:t>
      </w:r>
      <w:r w:rsidR="00C32D60">
        <w:rPr>
          <w:sz w:val="28"/>
          <w:szCs w:val="28"/>
          <w:lang w:eastAsia="ru-RU"/>
        </w:rPr>
        <w:t xml:space="preserve">вакансий, </w:t>
      </w:r>
      <w:r w:rsidRPr="00993F99">
        <w:rPr>
          <w:sz w:val="28"/>
          <w:szCs w:val="28"/>
          <w:lang w:eastAsia="ru-RU"/>
        </w:rPr>
        <w:t>25,8%), образования (</w:t>
      </w:r>
      <w:r w:rsidR="00C32D60">
        <w:rPr>
          <w:sz w:val="28"/>
          <w:szCs w:val="28"/>
          <w:lang w:eastAsia="ru-RU"/>
        </w:rPr>
        <w:t>1</w:t>
      </w:r>
      <w:r w:rsidR="00D229F0">
        <w:rPr>
          <w:sz w:val="28"/>
          <w:szCs w:val="28"/>
          <w:lang w:eastAsia="ru-RU"/>
        </w:rPr>
        <w:t>,</w:t>
      </w:r>
      <w:r w:rsidR="00C32D60">
        <w:rPr>
          <w:sz w:val="28"/>
          <w:szCs w:val="28"/>
          <w:lang w:eastAsia="ru-RU"/>
        </w:rPr>
        <w:t xml:space="preserve">693 </w:t>
      </w:r>
      <w:r w:rsidR="00D229F0">
        <w:rPr>
          <w:sz w:val="28"/>
          <w:szCs w:val="28"/>
          <w:lang w:eastAsia="ru-RU"/>
        </w:rPr>
        <w:t xml:space="preserve">тыс. </w:t>
      </w:r>
      <w:r w:rsidR="00C32D60">
        <w:rPr>
          <w:sz w:val="28"/>
          <w:szCs w:val="28"/>
          <w:lang w:eastAsia="ru-RU"/>
        </w:rPr>
        <w:t xml:space="preserve">вакансий, </w:t>
      </w:r>
      <w:r w:rsidRPr="00993F99">
        <w:rPr>
          <w:sz w:val="28"/>
          <w:szCs w:val="28"/>
          <w:lang w:eastAsia="ru-RU"/>
        </w:rPr>
        <w:t>14,3%), оптовой и розничной торговли (</w:t>
      </w:r>
      <w:r w:rsidR="00C32D60">
        <w:rPr>
          <w:sz w:val="28"/>
          <w:szCs w:val="28"/>
          <w:lang w:eastAsia="ru-RU"/>
        </w:rPr>
        <w:t>1</w:t>
      </w:r>
      <w:r w:rsidR="00D229F0">
        <w:rPr>
          <w:sz w:val="28"/>
          <w:szCs w:val="28"/>
          <w:lang w:eastAsia="ru-RU"/>
        </w:rPr>
        <w:t>,</w:t>
      </w:r>
      <w:r w:rsidR="00C32D60">
        <w:rPr>
          <w:sz w:val="28"/>
          <w:szCs w:val="28"/>
          <w:lang w:eastAsia="ru-RU"/>
        </w:rPr>
        <w:t xml:space="preserve">165 </w:t>
      </w:r>
      <w:r w:rsidR="00D229F0">
        <w:rPr>
          <w:sz w:val="28"/>
          <w:szCs w:val="28"/>
          <w:lang w:eastAsia="ru-RU"/>
        </w:rPr>
        <w:t xml:space="preserve">тыс. </w:t>
      </w:r>
      <w:r w:rsidR="00C32D60">
        <w:rPr>
          <w:sz w:val="28"/>
          <w:szCs w:val="28"/>
          <w:lang w:eastAsia="ru-RU"/>
        </w:rPr>
        <w:t xml:space="preserve">вакансий, </w:t>
      </w:r>
      <w:r w:rsidRPr="00993F99">
        <w:rPr>
          <w:sz w:val="28"/>
          <w:szCs w:val="28"/>
          <w:lang w:eastAsia="ru-RU"/>
        </w:rPr>
        <w:t>9,8%), деятельность в области здравоохранения и социальных услуг (</w:t>
      </w:r>
      <w:r w:rsidR="00D229F0">
        <w:rPr>
          <w:sz w:val="28"/>
          <w:szCs w:val="28"/>
          <w:lang w:eastAsia="ru-RU"/>
        </w:rPr>
        <w:t>0,</w:t>
      </w:r>
      <w:r w:rsidR="00C32D60">
        <w:rPr>
          <w:sz w:val="28"/>
          <w:szCs w:val="28"/>
          <w:lang w:eastAsia="ru-RU"/>
        </w:rPr>
        <w:t xml:space="preserve">871 </w:t>
      </w:r>
      <w:r w:rsidR="00D229F0">
        <w:rPr>
          <w:sz w:val="28"/>
          <w:szCs w:val="28"/>
          <w:lang w:eastAsia="ru-RU"/>
        </w:rPr>
        <w:t xml:space="preserve">тыс. </w:t>
      </w:r>
      <w:r w:rsidR="00C32D60">
        <w:rPr>
          <w:sz w:val="28"/>
          <w:szCs w:val="28"/>
          <w:lang w:eastAsia="ru-RU"/>
        </w:rPr>
        <w:t>ваканси</w:t>
      </w:r>
      <w:r w:rsidR="00D229F0">
        <w:rPr>
          <w:sz w:val="28"/>
          <w:szCs w:val="28"/>
          <w:lang w:eastAsia="ru-RU"/>
        </w:rPr>
        <w:t>й</w:t>
      </w:r>
      <w:r w:rsidR="00C32D60">
        <w:rPr>
          <w:sz w:val="28"/>
          <w:szCs w:val="28"/>
          <w:lang w:eastAsia="ru-RU"/>
        </w:rPr>
        <w:t xml:space="preserve">, </w:t>
      </w:r>
      <w:r w:rsidRPr="00993F99">
        <w:rPr>
          <w:sz w:val="28"/>
          <w:szCs w:val="28"/>
          <w:lang w:eastAsia="ru-RU"/>
        </w:rPr>
        <w:t xml:space="preserve">7,4%). </w:t>
      </w:r>
    </w:p>
    <w:p w14:paraId="1D9BBA73" w14:textId="4C87887A" w:rsidR="00993F99" w:rsidRDefault="00993F99" w:rsidP="00993F99">
      <w:pPr>
        <w:pStyle w:val="afb"/>
        <w:numPr>
          <w:ilvl w:val="0"/>
          <w:numId w:val="5"/>
        </w:numPr>
        <w:suppressAutoHyphens w:val="0"/>
        <w:spacing w:line="276" w:lineRule="auto"/>
        <w:ind w:left="0" w:firstLine="709"/>
        <w:contextualSpacing/>
        <w:textAlignment w:val="top"/>
        <w:rPr>
          <w:sz w:val="28"/>
          <w:szCs w:val="28"/>
          <w:lang w:eastAsia="ru-RU"/>
        </w:rPr>
      </w:pPr>
      <w:r w:rsidRPr="00993F99">
        <w:rPr>
          <w:sz w:val="28"/>
          <w:szCs w:val="28"/>
          <w:lang w:eastAsia="ru-RU"/>
        </w:rPr>
        <w:t>В общей потребности в кадрах спрос на рабочих относительно показателя предыдущего года увеличился на 9,2 процентных пункта и составил 69,8%. Наибольшую долю потребности среди рабочих – вакансии предприятий обрабатывающих производств (32,3%)</w:t>
      </w:r>
      <w:r w:rsidR="00C32D60">
        <w:rPr>
          <w:sz w:val="28"/>
          <w:szCs w:val="28"/>
          <w:lang w:eastAsia="ru-RU"/>
        </w:rPr>
        <w:t xml:space="preserve">, среди </w:t>
      </w:r>
      <w:r w:rsidR="00C32D60" w:rsidRPr="00993F99">
        <w:rPr>
          <w:sz w:val="28"/>
          <w:szCs w:val="28"/>
          <w:lang w:eastAsia="ru-RU"/>
        </w:rPr>
        <w:t xml:space="preserve">служащих </w:t>
      </w:r>
      <w:r w:rsidR="00C32D60">
        <w:rPr>
          <w:sz w:val="28"/>
          <w:szCs w:val="28"/>
          <w:lang w:eastAsia="ru-RU"/>
        </w:rPr>
        <w:t>-</w:t>
      </w:r>
      <w:r w:rsidR="00C32D60" w:rsidRPr="00993F99">
        <w:rPr>
          <w:sz w:val="28"/>
          <w:szCs w:val="28"/>
          <w:lang w:eastAsia="ru-RU"/>
        </w:rPr>
        <w:t xml:space="preserve"> вакансии в области образования (22,2%)</w:t>
      </w:r>
      <w:r w:rsidR="00C32D60">
        <w:rPr>
          <w:sz w:val="28"/>
          <w:szCs w:val="28"/>
          <w:lang w:eastAsia="ru-RU"/>
        </w:rPr>
        <w:t>, здравоохранения и социальных услуг – (21,2%)</w:t>
      </w:r>
      <w:r w:rsidRPr="00993F99">
        <w:rPr>
          <w:sz w:val="28"/>
          <w:szCs w:val="28"/>
          <w:lang w:eastAsia="ru-RU"/>
        </w:rPr>
        <w:t>.</w:t>
      </w:r>
    </w:p>
    <w:p w14:paraId="30ECE7D4" w14:textId="59A8256B" w:rsidR="009A5634" w:rsidRPr="009A5634" w:rsidRDefault="009A5634" w:rsidP="009A5634">
      <w:pPr>
        <w:pStyle w:val="afb"/>
        <w:widowControl w:val="0"/>
        <w:numPr>
          <w:ilvl w:val="0"/>
          <w:numId w:val="5"/>
        </w:numPr>
        <w:suppressAutoHyphens w:val="0"/>
        <w:spacing w:line="276" w:lineRule="auto"/>
        <w:ind w:left="0" w:firstLine="709"/>
        <w:contextualSpacing/>
        <w:textAlignment w:val="top"/>
        <w:rPr>
          <w:szCs w:val="28"/>
          <w:lang w:eastAsia="ru-RU"/>
        </w:rPr>
      </w:pPr>
      <w:r w:rsidRPr="009A5634">
        <w:rPr>
          <w:sz w:val="28"/>
          <w:szCs w:val="28"/>
          <w:lang w:eastAsia="ru-RU"/>
        </w:rPr>
        <w:t xml:space="preserve">Следует отметить, что по данным Тольяттинского управления министерства образования и науки Самарской области количество выпускников учреждений среднего образования городского округа Тольятти  в  2021 году составило </w:t>
      </w:r>
      <w:r w:rsidR="00D229F0">
        <w:rPr>
          <w:sz w:val="28"/>
          <w:szCs w:val="28"/>
          <w:lang w:eastAsia="ru-RU"/>
        </w:rPr>
        <w:t xml:space="preserve">3749 человек </w:t>
      </w:r>
      <w:r w:rsidR="00D229F0" w:rsidRPr="009A5634">
        <w:rPr>
          <w:sz w:val="28"/>
          <w:szCs w:val="28"/>
          <w:lang w:eastAsia="ru-RU"/>
        </w:rPr>
        <w:t xml:space="preserve">(в 2020 году – </w:t>
      </w:r>
      <w:r w:rsidR="00D229F0">
        <w:rPr>
          <w:sz w:val="28"/>
          <w:szCs w:val="28"/>
          <w:lang w:eastAsia="ru-RU"/>
        </w:rPr>
        <w:t>3007 выпускников</w:t>
      </w:r>
      <w:r w:rsidR="00D229F0" w:rsidRPr="009A5634">
        <w:rPr>
          <w:sz w:val="28"/>
          <w:szCs w:val="28"/>
          <w:lang w:eastAsia="ru-RU"/>
        </w:rPr>
        <w:t>)</w:t>
      </w:r>
      <w:r w:rsidR="00D229F0">
        <w:rPr>
          <w:sz w:val="28"/>
          <w:szCs w:val="28"/>
          <w:lang w:eastAsia="ru-RU"/>
        </w:rPr>
        <w:t>, из них трудоустроено</w:t>
      </w:r>
      <w:r w:rsidR="00D229F0" w:rsidRPr="00D229F0">
        <w:rPr>
          <w:sz w:val="28"/>
          <w:szCs w:val="28"/>
          <w:lang w:eastAsia="ru-RU"/>
        </w:rPr>
        <w:t xml:space="preserve"> </w:t>
      </w:r>
      <w:r w:rsidR="00D229F0" w:rsidRPr="009A5634">
        <w:rPr>
          <w:sz w:val="28"/>
          <w:szCs w:val="28"/>
          <w:lang w:eastAsia="ru-RU"/>
        </w:rPr>
        <w:t xml:space="preserve">на предприятия городского округа Тольятти </w:t>
      </w:r>
      <w:r w:rsidRPr="009A5634">
        <w:rPr>
          <w:sz w:val="28"/>
          <w:szCs w:val="28"/>
          <w:lang w:eastAsia="ru-RU"/>
        </w:rPr>
        <w:t>1962 человека (в 2020 году</w:t>
      </w:r>
      <w:r>
        <w:rPr>
          <w:sz w:val="28"/>
          <w:szCs w:val="28"/>
          <w:lang w:eastAsia="ru-RU"/>
        </w:rPr>
        <w:t xml:space="preserve"> – 1886 человек</w:t>
      </w:r>
      <w:r w:rsidRPr="009A5634">
        <w:rPr>
          <w:sz w:val="28"/>
          <w:szCs w:val="28"/>
          <w:lang w:eastAsia="ru-RU"/>
        </w:rPr>
        <w:t>),</w:t>
      </w:r>
      <w:r>
        <w:rPr>
          <w:sz w:val="28"/>
          <w:szCs w:val="28"/>
          <w:lang w:eastAsia="ru-RU"/>
        </w:rPr>
        <w:t xml:space="preserve"> </w:t>
      </w:r>
      <w:r w:rsidRPr="009A5634">
        <w:rPr>
          <w:sz w:val="28"/>
          <w:szCs w:val="28"/>
          <w:lang w:eastAsia="ru-RU"/>
        </w:rPr>
        <w:t xml:space="preserve">что составило 52,3% от общего числа выпускников. </w:t>
      </w:r>
    </w:p>
    <w:p w14:paraId="138A2E56" w14:textId="373B01C5" w:rsidR="00993F99" w:rsidRPr="00993F99" w:rsidRDefault="00993F99" w:rsidP="00993F99">
      <w:pPr>
        <w:pStyle w:val="afb"/>
        <w:numPr>
          <w:ilvl w:val="0"/>
          <w:numId w:val="5"/>
        </w:numPr>
        <w:suppressAutoHyphens w:val="0"/>
        <w:spacing w:line="276" w:lineRule="auto"/>
        <w:ind w:left="0" w:firstLine="709"/>
        <w:contextualSpacing/>
        <w:textAlignment w:val="top"/>
        <w:rPr>
          <w:sz w:val="28"/>
          <w:szCs w:val="28"/>
          <w:lang w:eastAsia="ru-RU"/>
        </w:rPr>
      </w:pPr>
      <w:r w:rsidRPr="00993F99">
        <w:rPr>
          <w:sz w:val="28"/>
          <w:szCs w:val="28"/>
          <w:lang w:eastAsia="ru-RU"/>
        </w:rPr>
        <w:lastRenderedPageBreak/>
        <w:t>По сведениям Центра занятости по итогам отчетного периода по полному кругу предприятий, было высвобождено по причине сокращения штатов 217 чел</w:t>
      </w:r>
      <w:r w:rsidR="00695D20">
        <w:rPr>
          <w:sz w:val="28"/>
          <w:szCs w:val="28"/>
          <w:lang w:eastAsia="ru-RU"/>
        </w:rPr>
        <w:t>овек</w:t>
      </w:r>
      <w:r w:rsidRPr="00993F99">
        <w:rPr>
          <w:sz w:val="28"/>
          <w:szCs w:val="28"/>
          <w:lang w:eastAsia="ru-RU"/>
        </w:rPr>
        <w:t xml:space="preserve"> (75 предприятий), что в 1,8 раза меньше показателя за </w:t>
      </w:r>
      <w:r w:rsidR="00B81A11">
        <w:rPr>
          <w:sz w:val="28"/>
          <w:szCs w:val="28"/>
          <w:lang w:val="en-US" w:eastAsia="ru-RU"/>
        </w:rPr>
        <w:t>I</w:t>
      </w:r>
      <w:r w:rsidRPr="00993F99">
        <w:rPr>
          <w:sz w:val="28"/>
          <w:szCs w:val="28"/>
          <w:lang w:eastAsia="ru-RU"/>
        </w:rPr>
        <w:t xml:space="preserve"> полугодие 2020 года (400 чел</w:t>
      </w:r>
      <w:r w:rsidR="00695D20">
        <w:rPr>
          <w:sz w:val="28"/>
          <w:szCs w:val="28"/>
          <w:lang w:eastAsia="ru-RU"/>
        </w:rPr>
        <w:t>овек</w:t>
      </w:r>
      <w:r w:rsidR="00557C9C">
        <w:rPr>
          <w:sz w:val="28"/>
          <w:szCs w:val="28"/>
          <w:lang w:eastAsia="ru-RU"/>
        </w:rPr>
        <w:t xml:space="preserve"> с 110 предприятий</w:t>
      </w:r>
      <w:r w:rsidRPr="00993F99">
        <w:rPr>
          <w:sz w:val="28"/>
          <w:szCs w:val="28"/>
          <w:lang w:eastAsia="ru-RU"/>
        </w:rPr>
        <w:t xml:space="preserve">). </w:t>
      </w:r>
    </w:p>
    <w:p w14:paraId="497D8DB2" w14:textId="071AE8C7" w:rsidR="004B0E7E" w:rsidRDefault="00993F99" w:rsidP="00993F99">
      <w:pPr>
        <w:pStyle w:val="afb"/>
        <w:numPr>
          <w:ilvl w:val="0"/>
          <w:numId w:val="5"/>
        </w:numPr>
        <w:suppressAutoHyphens w:val="0"/>
        <w:spacing w:line="276" w:lineRule="auto"/>
        <w:ind w:left="0" w:firstLine="709"/>
        <w:contextualSpacing/>
        <w:textAlignment w:val="top"/>
        <w:rPr>
          <w:sz w:val="28"/>
          <w:szCs w:val="28"/>
          <w:lang w:eastAsia="ru-RU"/>
        </w:rPr>
      </w:pPr>
      <w:r w:rsidRPr="00993F99">
        <w:rPr>
          <w:sz w:val="28"/>
          <w:szCs w:val="28"/>
          <w:lang w:eastAsia="ru-RU"/>
        </w:rPr>
        <w:t>По состоянию на 01.07.2021 15 предприяти</w:t>
      </w:r>
      <w:r w:rsidR="00E22750">
        <w:rPr>
          <w:sz w:val="28"/>
          <w:szCs w:val="28"/>
          <w:lang w:eastAsia="ru-RU"/>
        </w:rPr>
        <w:t>й</w:t>
      </w:r>
      <w:r w:rsidRPr="00993F99">
        <w:rPr>
          <w:sz w:val="28"/>
          <w:szCs w:val="28"/>
          <w:lang w:eastAsia="ru-RU"/>
        </w:rPr>
        <w:t xml:space="preserve"> работали в режиме неполного рабочего времени, временной приостановки работы (простое). На 01.07.2021 137 работников были заняты неполный рабочий день, 461 работников находились в простое (на 01.07.2020 – 3555 человек и 3974 человек соответственно).</w:t>
      </w:r>
    </w:p>
    <w:p w14:paraId="41754719" w14:textId="2858AD41" w:rsidR="004B0E7E" w:rsidRDefault="004B0E7E" w:rsidP="004B0E7E">
      <w:pPr>
        <w:pStyle w:val="afb"/>
        <w:numPr>
          <w:ilvl w:val="0"/>
          <w:numId w:val="5"/>
        </w:numPr>
        <w:suppressAutoHyphens w:val="0"/>
        <w:spacing w:line="276" w:lineRule="auto"/>
        <w:ind w:left="0" w:firstLine="709"/>
        <w:contextualSpacing/>
        <w:textAlignment w:val="top"/>
        <w:rPr>
          <w:sz w:val="28"/>
          <w:szCs w:val="28"/>
          <w:lang w:eastAsia="ru-RU"/>
        </w:rPr>
      </w:pPr>
      <w:r w:rsidRPr="004B0E7E">
        <w:rPr>
          <w:sz w:val="28"/>
          <w:szCs w:val="28"/>
          <w:lang w:eastAsia="ru-RU"/>
        </w:rPr>
        <w:t>По прогнозу Центра занятости среднегодовая численность  безработных граждан  в 2021 году не превысит  7,0 тыс. человек, уровень безработицы соответственно – 1,</w:t>
      </w:r>
      <w:r w:rsidR="00557C9C">
        <w:rPr>
          <w:sz w:val="28"/>
          <w:szCs w:val="28"/>
          <w:lang w:eastAsia="ru-RU"/>
        </w:rPr>
        <w:t>73</w:t>
      </w:r>
      <w:r w:rsidRPr="004B0E7E">
        <w:rPr>
          <w:sz w:val="28"/>
          <w:szCs w:val="28"/>
          <w:lang w:eastAsia="ru-RU"/>
        </w:rPr>
        <w:t>%.</w:t>
      </w:r>
    </w:p>
    <w:p w14:paraId="662E7BA9" w14:textId="66848173" w:rsidR="00D92577" w:rsidRDefault="00D92577" w:rsidP="00D92577">
      <w:pPr>
        <w:pStyle w:val="aff0"/>
        <w:spacing w:line="276" w:lineRule="auto"/>
        <w:rPr>
          <w:szCs w:val="28"/>
          <w:lang w:eastAsia="ru-RU"/>
        </w:rPr>
      </w:pPr>
      <w:r>
        <w:rPr>
          <w:szCs w:val="28"/>
          <w:lang w:eastAsia="ru-RU"/>
        </w:rPr>
        <w:t>4. Прочие категории лиц в трудоспособном возрасте, не занятые трудовой деятельностью и учебой: в 2020 году - 50 тыс. человек. Расчетный показатель, в состав которого входят:</w:t>
      </w:r>
    </w:p>
    <w:p w14:paraId="601D3442" w14:textId="357414A4" w:rsidR="00D92577" w:rsidRDefault="00D92577" w:rsidP="00D92577">
      <w:pPr>
        <w:pStyle w:val="aff0"/>
        <w:spacing w:line="276" w:lineRule="auto"/>
        <w:rPr>
          <w:szCs w:val="28"/>
        </w:rPr>
      </w:pPr>
      <w:r>
        <w:rPr>
          <w:szCs w:val="28"/>
          <w:lang w:eastAsia="ru-RU"/>
        </w:rPr>
        <w:t>- ч</w:t>
      </w:r>
      <w:r>
        <w:rPr>
          <w:szCs w:val="28"/>
        </w:rPr>
        <w:t xml:space="preserve">исленность женщин, находящихся в отпуске по уходу за ребенком до достижения им возраста 1,5 лет, а также в возрасте от 1,5 до 3 лет в крупных и средних организациях </w:t>
      </w:r>
      <w:r w:rsidR="00557C9C">
        <w:rPr>
          <w:szCs w:val="28"/>
        </w:rPr>
        <w:t>–</w:t>
      </w:r>
      <w:r>
        <w:rPr>
          <w:szCs w:val="28"/>
        </w:rPr>
        <w:t xml:space="preserve"> </w:t>
      </w:r>
      <w:r w:rsidR="00557C9C">
        <w:rPr>
          <w:szCs w:val="28"/>
        </w:rPr>
        <w:t xml:space="preserve">в 2020 году </w:t>
      </w:r>
      <w:r>
        <w:rPr>
          <w:szCs w:val="28"/>
        </w:rPr>
        <w:t>6</w:t>
      </w:r>
      <w:r w:rsidR="00695D20">
        <w:rPr>
          <w:szCs w:val="28"/>
        </w:rPr>
        <w:t>,</w:t>
      </w:r>
      <w:r w:rsidR="00670823">
        <w:rPr>
          <w:szCs w:val="28"/>
        </w:rPr>
        <w:t>346</w:t>
      </w:r>
      <w:r>
        <w:rPr>
          <w:szCs w:val="28"/>
        </w:rPr>
        <w:t xml:space="preserve"> </w:t>
      </w:r>
      <w:r w:rsidR="00695D20">
        <w:rPr>
          <w:szCs w:val="28"/>
        </w:rPr>
        <w:t xml:space="preserve">тыс. </w:t>
      </w:r>
      <w:r>
        <w:rPr>
          <w:szCs w:val="28"/>
        </w:rPr>
        <w:t>человек</w:t>
      </w:r>
      <w:r w:rsidR="00557C9C">
        <w:rPr>
          <w:szCs w:val="28"/>
        </w:rPr>
        <w:t xml:space="preserve"> (в </w:t>
      </w:r>
      <w:r w:rsidR="004F3625">
        <w:rPr>
          <w:szCs w:val="28"/>
          <w:lang w:val="en-US"/>
        </w:rPr>
        <w:t>I</w:t>
      </w:r>
      <w:r w:rsidR="00557C9C">
        <w:rPr>
          <w:szCs w:val="28"/>
        </w:rPr>
        <w:t xml:space="preserve"> полугодии 2021 года – 6</w:t>
      </w:r>
      <w:r w:rsidR="00695D20">
        <w:rPr>
          <w:szCs w:val="28"/>
        </w:rPr>
        <w:t>,</w:t>
      </w:r>
      <w:r w:rsidR="00557C9C">
        <w:rPr>
          <w:szCs w:val="28"/>
        </w:rPr>
        <w:t xml:space="preserve">036 </w:t>
      </w:r>
      <w:r w:rsidR="00695D20">
        <w:rPr>
          <w:szCs w:val="28"/>
        </w:rPr>
        <w:t xml:space="preserve">тыс. </w:t>
      </w:r>
      <w:r w:rsidR="00557C9C">
        <w:rPr>
          <w:szCs w:val="28"/>
        </w:rPr>
        <w:t>человек)</w:t>
      </w:r>
      <w:r>
        <w:rPr>
          <w:szCs w:val="28"/>
        </w:rPr>
        <w:t>. Следует отметить, что данная категория граждан не входит в состав показателя «Занятые в экономике» согласно утвержденной статистической методике;</w:t>
      </w:r>
    </w:p>
    <w:p w14:paraId="00A1D553" w14:textId="79B774B5" w:rsidR="00D92577" w:rsidRDefault="00D92577" w:rsidP="00D92577">
      <w:pPr>
        <w:pStyle w:val="aff0"/>
        <w:spacing w:line="276" w:lineRule="auto"/>
        <w:rPr>
          <w:szCs w:val="28"/>
        </w:rPr>
      </w:pPr>
      <w:r>
        <w:rPr>
          <w:szCs w:val="28"/>
        </w:rPr>
        <w:t xml:space="preserve">- количество граждан, призванных для прохождения военной службы в 2020 году – </w:t>
      </w:r>
      <w:r w:rsidR="00695D20">
        <w:rPr>
          <w:szCs w:val="28"/>
        </w:rPr>
        <w:t>0,</w:t>
      </w:r>
      <w:r>
        <w:rPr>
          <w:szCs w:val="28"/>
        </w:rPr>
        <w:t xml:space="preserve">944 </w:t>
      </w:r>
      <w:r w:rsidR="00695D20">
        <w:rPr>
          <w:szCs w:val="28"/>
        </w:rPr>
        <w:t xml:space="preserve">тыс. </w:t>
      </w:r>
      <w:r>
        <w:rPr>
          <w:szCs w:val="28"/>
        </w:rPr>
        <w:t>человек</w:t>
      </w:r>
      <w:r w:rsidR="00670823">
        <w:rPr>
          <w:szCs w:val="28"/>
        </w:rPr>
        <w:t>;</w:t>
      </w:r>
      <w:r>
        <w:rPr>
          <w:szCs w:val="28"/>
        </w:rPr>
        <w:t xml:space="preserve"> </w:t>
      </w:r>
    </w:p>
    <w:p w14:paraId="319B6AF7" w14:textId="36426012" w:rsidR="00670823" w:rsidRDefault="00D92577" w:rsidP="00D92577">
      <w:pPr>
        <w:pStyle w:val="aff0"/>
        <w:spacing w:line="276" w:lineRule="auto"/>
        <w:rPr>
          <w:szCs w:val="28"/>
        </w:rPr>
      </w:pPr>
      <w:r>
        <w:rPr>
          <w:szCs w:val="28"/>
        </w:rPr>
        <w:t xml:space="preserve">- количество граждан, отбывающих наказание в виде лишения свободы </w:t>
      </w:r>
      <w:r w:rsidR="00557C9C">
        <w:rPr>
          <w:szCs w:val="28"/>
        </w:rPr>
        <w:t xml:space="preserve">в 2020 году </w:t>
      </w:r>
      <w:r w:rsidR="00695D20">
        <w:rPr>
          <w:szCs w:val="28"/>
        </w:rPr>
        <w:t>–</w:t>
      </w:r>
      <w:r>
        <w:rPr>
          <w:szCs w:val="28"/>
        </w:rPr>
        <w:t xml:space="preserve"> </w:t>
      </w:r>
      <w:r w:rsidR="00695D20">
        <w:rPr>
          <w:szCs w:val="28"/>
        </w:rPr>
        <w:t>0,</w:t>
      </w:r>
      <w:r w:rsidR="00557C9C">
        <w:rPr>
          <w:szCs w:val="28"/>
        </w:rPr>
        <w:t>600</w:t>
      </w:r>
      <w:r>
        <w:rPr>
          <w:szCs w:val="28"/>
        </w:rPr>
        <w:t xml:space="preserve"> </w:t>
      </w:r>
      <w:r w:rsidR="00695D20">
        <w:rPr>
          <w:szCs w:val="28"/>
        </w:rPr>
        <w:t xml:space="preserve">тыс. </w:t>
      </w:r>
      <w:r>
        <w:rPr>
          <w:szCs w:val="28"/>
        </w:rPr>
        <w:t>человек</w:t>
      </w:r>
      <w:r w:rsidR="00670823">
        <w:rPr>
          <w:szCs w:val="28"/>
        </w:rPr>
        <w:t>;</w:t>
      </w:r>
    </w:p>
    <w:p w14:paraId="3C9CCFB7" w14:textId="2D7C4BD6" w:rsidR="00670823" w:rsidRPr="00670823" w:rsidRDefault="00670823" w:rsidP="00670823">
      <w:pPr>
        <w:pStyle w:val="aff0"/>
        <w:numPr>
          <w:ilvl w:val="0"/>
          <w:numId w:val="5"/>
        </w:numPr>
        <w:spacing w:line="276" w:lineRule="auto"/>
        <w:ind w:left="0" w:firstLine="709"/>
        <w:rPr>
          <w:rFonts w:eastAsia="Calibri"/>
          <w:szCs w:val="28"/>
          <w:lang w:eastAsia="ar-SA"/>
        </w:rPr>
      </w:pPr>
      <w:r>
        <w:rPr>
          <w:szCs w:val="28"/>
        </w:rPr>
        <w:t xml:space="preserve">- прочие не занятые граждане - 42,2 тыс. человек. </w:t>
      </w:r>
      <w:r w:rsidRPr="00670823">
        <w:rPr>
          <w:rFonts w:eastAsia="Calibri"/>
          <w:szCs w:val="28"/>
          <w:lang w:eastAsia="ar-SA"/>
        </w:rPr>
        <w:t>По расчетным данным, количество граждан в городском округе Тольятти, не занятых работой и учебой и не зарегистрированных в качестве безработных граждан</w:t>
      </w:r>
      <w:r>
        <w:rPr>
          <w:rFonts w:eastAsia="Calibri"/>
          <w:szCs w:val="28"/>
          <w:lang w:eastAsia="ar-SA"/>
        </w:rPr>
        <w:t>, не проходящих военную службу и т.п.</w:t>
      </w:r>
      <w:r w:rsidRPr="00670823">
        <w:rPr>
          <w:rFonts w:eastAsia="Calibri"/>
          <w:szCs w:val="28"/>
          <w:lang w:eastAsia="ar-SA"/>
        </w:rPr>
        <w:t xml:space="preserve"> составляет 9,6</w:t>
      </w:r>
      <w:r>
        <w:rPr>
          <w:rFonts w:eastAsia="Calibri"/>
          <w:szCs w:val="28"/>
          <w:lang w:eastAsia="ar-SA"/>
        </w:rPr>
        <w:t>% от трудовых ресурсов</w:t>
      </w:r>
      <w:r w:rsidRPr="00670823">
        <w:rPr>
          <w:rFonts w:eastAsia="Calibri"/>
          <w:szCs w:val="28"/>
          <w:lang w:eastAsia="ar-SA"/>
        </w:rPr>
        <w:t>. Это негативно сказывается на собираемости налогов, прежде всего регионального и муниципального уровней. Из этих средств формируется зарплата врачей, учителей, соцработников, финансируется строительство детских садов, школ, других социальных объектов и инфраструктуры. В результате невыплаты социальных взносов недофинансированными оказываются пенсионная система и фонд социального страхования. Кроме этого, неформально занятые работники лишаются прав и государственных гарантий.</w:t>
      </w:r>
    </w:p>
    <w:p w14:paraId="772E656F" w14:textId="795879C9" w:rsidR="00D92577" w:rsidRDefault="00670823" w:rsidP="00BC1FF3">
      <w:pPr>
        <w:pStyle w:val="aff0"/>
        <w:spacing w:line="276" w:lineRule="auto"/>
        <w:rPr>
          <w:szCs w:val="28"/>
          <w:lang w:eastAsia="ru-RU"/>
        </w:rPr>
      </w:pPr>
      <w:r>
        <w:rPr>
          <w:szCs w:val="28"/>
          <w:lang w:eastAsia="ru-RU"/>
        </w:rPr>
        <w:t xml:space="preserve">В 2021 году количество граждан данной категории сократится и составит, по оценке, 48 тыс. человек за счет ожидаемого роста занятого </w:t>
      </w:r>
      <w:r>
        <w:rPr>
          <w:szCs w:val="28"/>
          <w:lang w:eastAsia="ru-RU"/>
        </w:rPr>
        <w:lastRenderedPageBreak/>
        <w:t>населения.</w:t>
      </w:r>
    </w:p>
    <w:p w14:paraId="0B3C440B" w14:textId="77777777" w:rsidR="007F2A19" w:rsidRDefault="00670823" w:rsidP="00BC1FF3">
      <w:pPr>
        <w:pStyle w:val="afb"/>
        <w:numPr>
          <w:ilvl w:val="0"/>
          <w:numId w:val="5"/>
        </w:numPr>
        <w:suppressAutoHyphens w:val="0"/>
        <w:spacing w:line="276" w:lineRule="auto"/>
        <w:ind w:left="0" w:firstLine="709"/>
        <w:contextualSpacing/>
        <w:textAlignment w:val="top"/>
        <w:rPr>
          <w:sz w:val="28"/>
          <w:szCs w:val="28"/>
          <w:lang w:eastAsia="ru-RU"/>
        </w:rPr>
      </w:pPr>
      <w:r w:rsidRPr="00670823">
        <w:rPr>
          <w:sz w:val="28"/>
          <w:szCs w:val="28"/>
          <w:lang w:eastAsia="ru-RU"/>
        </w:rPr>
        <w:t xml:space="preserve">С целью улучшения ситуации в сфере занятости населения реализуется комплекс мер по восстановлению численности занятого населения. Принимаются дополнительные меры содействия занятости, включающие в себя мероприятия по стимулированию работодателей к найму на работу безработных граждан, а также профессиональное обучение и дополнительное профессиональное образование отдельных категорий граждан, временное трудоустройство молодежи. </w:t>
      </w:r>
    </w:p>
    <w:p w14:paraId="789C9D1F" w14:textId="77D1B272" w:rsidR="00670823" w:rsidRPr="00670823" w:rsidRDefault="00670823" w:rsidP="00BC1FF3">
      <w:pPr>
        <w:pStyle w:val="afb"/>
        <w:numPr>
          <w:ilvl w:val="0"/>
          <w:numId w:val="5"/>
        </w:numPr>
        <w:suppressAutoHyphens w:val="0"/>
        <w:spacing w:line="276" w:lineRule="auto"/>
        <w:ind w:left="0" w:firstLine="709"/>
        <w:contextualSpacing/>
        <w:textAlignment w:val="top"/>
        <w:rPr>
          <w:sz w:val="28"/>
          <w:szCs w:val="28"/>
          <w:lang w:eastAsia="ru-RU"/>
        </w:rPr>
      </w:pPr>
      <w:r w:rsidRPr="00670823">
        <w:rPr>
          <w:sz w:val="28"/>
          <w:szCs w:val="28"/>
          <w:lang w:eastAsia="ru-RU"/>
        </w:rPr>
        <w:t xml:space="preserve">В 2021 году жители Самарской области могут воспользоваться правом </w:t>
      </w:r>
      <w:r w:rsidR="007F2A19">
        <w:rPr>
          <w:sz w:val="28"/>
          <w:szCs w:val="28"/>
          <w:lang w:eastAsia="ru-RU"/>
        </w:rPr>
        <w:t xml:space="preserve">на </w:t>
      </w:r>
      <w:r w:rsidRPr="00670823">
        <w:rPr>
          <w:sz w:val="28"/>
          <w:szCs w:val="28"/>
          <w:lang w:eastAsia="ru-RU"/>
        </w:rPr>
        <w:t xml:space="preserve">получение государственной социальной помощи на основании социального контракта, в том числе в сфере занятости. По данным территориального отдела Центрального округа министерства социально – демографической и семейной политики Самарской области за </w:t>
      </w:r>
      <w:r w:rsidR="008C1524">
        <w:rPr>
          <w:sz w:val="28"/>
          <w:szCs w:val="28"/>
          <w:lang w:eastAsia="ru-RU"/>
        </w:rPr>
        <w:t>9</w:t>
      </w:r>
      <w:r w:rsidR="00401ABB">
        <w:rPr>
          <w:sz w:val="28"/>
          <w:szCs w:val="28"/>
          <w:lang w:eastAsia="ru-RU"/>
        </w:rPr>
        <w:t xml:space="preserve"> месяцев</w:t>
      </w:r>
      <w:r w:rsidRPr="00670823">
        <w:rPr>
          <w:sz w:val="28"/>
          <w:szCs w:val="28"/>
          <w:lang w:eastAsia="ru-RU"/>
        </w:rPr>
        <w:t xml:space="preserve"> 2021 года в рамках  содействия в поиске работы </w:t>
      </w:r>
      <w:r w:rsidR="00A775F8">
        <w:rPr>
          <w:sz w:val="28"/>
          <w:szCs w:val="28"/>
          <w:lang w:eastAsia="ru-RU"/>
        </w:rPr>
        <w:t xml:space="preserve">заключен </w:t>
      </w:r>
      <w:r w:rsidR="009057BA">
        <w:rPr>
          <w:sz w:val="28"/>
          <w:szCs w:val="28"/>
          <w:lang w:eastAsia="ru-RU"/>
        </w:rPr>
        <w:t>237</w:t>
      </w:r>
      <w:r w:rsidRPr="00670823">
        <w:rPr>
          <w:sz w:val="28"/>
          <w:szCs w:val="28"/>
          <w:lang w:eastAsia="ru-RU"/>
        </w:rPr>
        <w:t xml:space="preserve"> контракт</w:t>
      </w:r>
      <w:r w:rsidR="00A775F8">
        <w:rPr>
          <w:sz w:val="28"/>
          <w:szCs w:val="28"/>
          <w:lang w:eastAsia="ru-RU"/>
        </w:rPr>
        <w:t xml:space="preserve"> с гражданами городского округа Тольятти</w:t>
      </w:r>
      <w:r w:rsidRPr="00670823">
        <w:rPr>
          <w:sz w:val="28"/>
          <w:szCs w:val="28"/>
          <w:lang w:eastAsia="ru-RU"/>
        </w:rPr>
        <w:t xml:space="preserve">, по осуществлению индивидуальной предпринимательской деятельности -  </w:t>
      </w:r>
      <w:r w:rsidR="009057BA">
        <w:rPr>
          <w:sz w:val="28"/>
          <w:szCs w:val="28"/>
          <w:lang w:eastAsia="ru-RU"/>
        </w:rPr>
        <w:t>355</w:t>
      </w:r>
      <w:r w:rsidRPr="00670823">
        <w:rPr>
          <w:sz w:val="28"/>
          <w:szCs w:val="28"/>
          <w:lang w:eastAsia="ru-RU"/>
        </w:rPr>
        <w:t xml:space="preserve"> контрактов.</w:t>
      </w:r>
    </w:p>
    <w:p w14:paraId="69F71ACB" w14:textId="4303405C" w:rsidR="00670823" w:rsidRDefault="00670823" w:rsidP="00BC1FF3">
      <w:pPr>
        <w:pStyle w:val="afb"/>
        <w:widowControl w:val="0"/>
        <w:numPr>
          <w:ilvl w:val="0"/>
          <w:numId w:val="5"/>
        </w:numPr>
        <w:suppressAutoHyphens w:val="0"/>
        <w:spacing w:line="276" w:lineRule="auto"/>
        <w:ind w:left="0" w:firstLine="709"/>
        <w:contextualSpacing/>
        <w:textAlignment w:val="top"/>
        <w:rPr>
          <w:sz w:val="28"/>
          <w:szCs w:val="28"/>
          <w:lang w:eastAsia="ru-RU"/>
        </w:rPr>
      </w:pPr>
      <w:r w:rsidRPr="00670823">
        <w:rPr>
          <w:sz w:val="28"/>
          <w:szCs w:val="28"/>
          <w:lang w:eastAsia="ru-RU"/>
        </w:rPr>
        <w:t xml:space="preserve">Центром занятости </w:t>
      </w:r>
      <w:r>
        <w:rPr>
          <w:sz w:val="28"/>
          <w:szCs w:val="28"/>
          <w:lang w:eastAsia="ru-RU"/>
        </w:rPr>
        <w:t>в</w:t>
      </w:r>
      <w:r w:rsidRPr="00D92577">
        <w:rPr>
          <w:sz w:val="28"/>
          <w:szCs w:val="28"/>
          <w:lang w:eastAsia="ru-RU"/>
        </w:rPr>
        <w:t xml:space="preserve"> рамках государственной программы содействия занятости населения Самарской области на 2019-2023 годы в городском округе Тольятти из числа обратившихся в январе-июне 2021 года было трудоустроено 636 человек, из них на общественные работы – 41 человек, временное трудоустройство граждан, испытывающих трудности в поиске работы – 4 человека, 546 человек в возрасте от 14 до 18 лет трудоустроено на временные работы, зарегистрировали предпринимательскую деятельность 45 человек. </w:t>
      </w:r>
    </w:p>
    <w:p w14:paraId="47CBC8E5" w14:textId="3C28F1D9" w:rsidR="00670823" w:rsidRDefault="00670823" w:rsidP="00670823">
      <w:pPr>
        <w:widowControl w:val="0"/>
        <w:spacing w:line="276" w:lineRule="auto"/>
        <w:rPr>
          <w:sz w:val="28"/>
          <w:szCs w:val="28"/>
          <w:lang w:eastAsia="ru-RU"/>
        </w:rPr>
      </w:pPr>
      <w:r w:rsidRPr="00D92577">
        <w:rPr>
          <w:sz w:val="28"/>
          <w:szCs w:val="28"/>
          <w:lang w:eastAsia="ru-RU"/>
        </w:rPr>
        <w:t>В течение отчетного периода Центром занятости предоставлено консалтинговых услуг 529 гражданам. Оказано профориентационных услуг 6,6 тыс. горожанам. Проведено 6 </w:t>
      </w:r>
      <w:r w:rsidR="0055208F">
        <w:rPr>
          <w:sz w:val="28"/>
          <w:szCs w:val="28"/>
          <w:lang w:eastAsia="ru-RU"/>
        </w:rPr>
        <w:t xml:space="preserve"> </w:t>
      </w:r>
      <w:r w:rsidRPr="00D92577">
        <w:rPr>
          <w:sz w:val="28"/>
          <w:szCs w:val="28"/>
          <w:lang w:eastAsia="ru-RU"/>
        </w:rPr>
        <w:t xml:space="preserve">специализированных мероприятия с охватом участников 1015 человек. </w:t>
      </w:r>
    </w:p>
    <w:p w14:paraId="688BA8FD" w14:textId="662B4A82" w:rsidR="00AF7EB6" w:rsidRPr="009A5634" w:rsidRDefault="00AF7EB6" w:rsidP="00120C25">
      <w:pPr>
        <w:pStyle w:val="afb"/>
        <w:widowControl w:val="0"/>
        <w:numPr>
          <w:ilvl w:val="0"/>
          <w:numId w:val="5"/>
        </w:numPr>
        <w:suppressAutoHyphens w:val="0"/>
        <w:spacing w:line="276" w:lineRule="auto"/>
        <w:ind w:left="0" w:firstLine="709"/>
        <w:contextualSpacing/>
        <w:textAlignment w:val="top"/>
        <w:rPr>
          <w:sz w:val="28"/>
          <w:szCs w:val="28"/>
          <w:lang w:eastAsia="ru-RU"/>
        </w:rPr>
      </w:pPr>
      <w:r w:rsidRPr="009A5634">
        <w:rPr>
          <w:sz w:val="28"/>
          <w:szCs w:val="28"/>
          <w:lang w:eastAsia="ru-RU"/>
        </w:rPr>
        <w:t xml:space="preserve">Важную роль в повышении привлекательности городского округа Тольятти как места для вложения инвестиций и ведения бизнеса оказывает созданная территория опережающего социально-экономического развития (далее - ТОСЭР «Тольятти»), что способствует привлечению в город инвестиций и созданию новых рабочих мест. </w:t>
      </w:r>
    </w:p>
    <w:p w14:paraId="50DEF063" w14:textId="77777777" w:rsidR="00AF7EB6" w:rsidRPr="00AF7EB6" w:rsidRDefault="00AF7EB6" w:rsidP="00AF7EB6">
      <w:pPr>
        <w:pStyle w:val="aff0"/>
        <w:spacing w:line="276" w:lineRule="auto"/>
        <w:rPr>
          <w:szCs w:val="28"/>
          <w:lang w:eastAsia="ru-RU"/>
        </w:rPr>
      </w:pPr>
      <w:r w:rsidRPr="00AF7EB6">
        <w:rPr>
          <w:szCs w:val="28"/>
          <w:lang w:eastAsia="ru-RU"/>
        </w:rPr>
        <w:t xml:space="preserve">Несмотря на сдерживающее влияние, которое оказала неблагоприятная санитарно-эпидемиологическая обстановка, связанная с распространением новой коронавирусной инфекции, резиденты продолжают развивать инвестиционные проекты на территории города. </w:t>
      </w:r>
    </w:p>
    <w:p w14:paraId="15C99699" w14:textId="402EB7AC" w:rsidR="00AF7EB6" w:rsidRPr="00AF7EB6" w:rsidRDefault="00AF7EB6" w:rsidP="00AF7EB6">
      <w:pPr>
        <w:pStyle w:val="aff0"/>
        <w:numPr>
          <w:ilvl w:val="0"/>
          <w:numId w:val="5"/>
        </w:numPr>
        <w:spacing w:line="276" w:lineRule="auto"/>
        <w:ind w:left="0" w:firstLine="709"/>
        <w:rPr>
          <w:rFonts w:eastAsia="Calibri"/>
          <w:szCs w:val="28"/>
          <w:lang w:eastAsia="ar-SA"/>
        </w:rPr>
      </w:pPr>
      <w:r w:rsidRPr="00AF7EB6">
        <w:rPr>
          <w:rFonts w:eastAsia="Calibri"/>
          <w:szCs w:val="28"/>
          <w:lang w:eastAsia="en-US"/>
        </w:rPr>
        <w:t>Одно из важных направлений в сфере занятости населения - снижение неформальной занятости населения.</w:t>
      </w:r>
      <w:r w:rsidRPr="00AF7EB6">
        <w:rPr>
          <w:rFonts w:eastAsia="Calibri"/>
          <w:szCs w:val="28"/>
          <w:lang w:eastAsia="ar-SA"/>
        </w:rPr>
        <w:t xml:space="preserve"> В администрации городского округа </w:t>
      </w:r>
      <w:r w:rsidRPr="00AF7EB6">
        <w:rPr>
          <w:rFonts w:eastAsia="Calibri"/>
          <w:szCs w:val="28"/>
          <w:lang w:eastAsia="ar-SA"/>
        </w:rPr>
        <w:lastRenderedPageBreak/>
        <w:t xml:space="preserve">Тольятти ведется работа, направленная на выявление и содействие легализации неформальной занятости, по нескольким направлениям: </w:t>
      </w:r>
    </w:p>
    <w:p w14:paraId="71A32BCB" w14:textId="77777777" w:rsidR="00AF7EB6" w:rsidRPr="00AF7EB6" w:rsidRDefault="00AF7EB6" w:rsidP="00AF7EB6">
      <w:pPr>
        <w:widowControl w:val="0"/>
        <w:numPr>
          <w:ilvl w:val="0"/>
          <w:numId w:val="5"/>
        </w:numPr>
        <w:suppressAutoHyphens w:val="0"/>
        <w:spacing w:line="276" w:lineRule="auto"/>
        <w:ind w:left="0" w:firstLine="709"/>
        <w:rPr>
          <w:rFonts w:eastAsia="Calibri"/>
          <w:sz w:val="28"/>
          <w:szCs w:val="28"/>
          <w:lang w:eastAsia="ar-SA"/>
        </w:rPr>
      </w:pPr>
      <w:r w:rsidRPr="00AF7EB6">
        <w:rPr>
          <w:rFonts w:eastAsia="Calibri"/>
          <w:sz w:val="28"/>
          <w:szCs w:val="28"/>
          <w:lang w:eastAsia="ar-SA"/>
        </w:rPr>
        <w:t xml:space="preserve">- проводится сбор и анализ сведений о работодателях, имеющих признаки неформальной занятости, поступивших: от налоговых органов и других органов власти, </w:t>
      </w:r>
      <w:r w:rsidRPr="00AF7EB6">
        <w:rPr>
          <w:rFonts w:eastAsia="Calibri"/>
          <w:sz w:val="28"/>
          <w:szCs w:val="28"/>
          <w:lang w:eastAsia="en-US"/>
        </w:rPr>
        <w:t>в ходе деятельности по мониторингу и организации сферы потребительского рынка,</w:t>
      </w:r>
      <w:r w:rsidRPr="00AF7EB6">
        <w:rPr>
          <w:rFonts w:eastAsia="Calibri"/>
          <w:sz w:val="28"/>
          <w:szCs w:val="28"/>
          <w:lang w:eastAsia="ar-SA"/>
        </w:rPr>
        <w:t xml:space="preserve"> в рамках осуществления муниципального контроля в области торговой деятельности, </w:t>
      </w:r>
      <w:r w:rsidRPr="00AF7EB6">
        <w:rPr>
          <w:bCs/>
          <w:sz w:val="28"/>
          <w:szCs w:val="28"/>
          <w:lang w:eastAsia="x-none"/>
        </w:rPr>
        <w:t xml:space="preserve">по результатам обращений граждан, в том числе, полученных в рамках работы телефона телефонной линии по вопросам задолженности по заработной плате и </w:t>
      </w:r>
      <w:r w:rsidRPr="00AF7EB6">
        <w:rPr>
          <w:rFonts w:eastAsia="Calibri"/>
          <w:sz w:val="28"/>
          <w:szCs w:val="28"/>
          <w:lang w:eastAsia="ar-SA"/>
        </w:rPr>
        <w:t xml:space="preserve">легализации трудовых отношений, созданной при администрации городского округа Тольятти и других; </w:t>
      </w:r>
    </w:p>
    <w:p w14:paraId="1BD3FE23" w14:textId="7D5E46F5" w:rsidR="00AF7EB6" w:rsidRPr="00AF7EB6" w:rsidRDefault="00AF7EB6" w:rsidP="00AF7EB6">
      <w:pPr>
        <w:widowControl w:val="0"/>
        <w:suppressAutoHyphens w:val="0"/>
        <w:spacing w:line="276" w:lineRule="auto"/>
        <w:rPr>
          <w:sz w:val="28"/>
          <w:szCs w:val="28"/>
          <w:lang w:eastAsia="ar-SA"/>
        </w:rPr>
      </w:pPr>
      <w:r w:rsidRPr="00AF7EB6">
        <w:rPr>
          <w:rFonts w:eastAsia="Calibri"/>
          <w:sz w:val="28"/>
          <w:szCs w:val="28"/>
          <w:lang w:eastAsia="ar-SA"/>
        </w:rPr>
        <w:t xml:space="preserve">- рассмотрение работодателей, имеющих официально нетрудоустроенных работников, и физических лиц, осуществляющих трудовую деятельность нелегально, на заседаниях межведомственной комиссии по урегулированию задолженности по доходам бюджета и легализации </w:t>
      </w:r>
      <w:proofErr w:type="spellStart"/>
      <w:r w:rsidRPr="00AF7EB6">
        <w:rPr>
          <w:rFonts w:eastAsia="Calibri"/>
          <w:sz w:val="28"/>
          <w:szCs w:val="28"/>
          <w:lang w:eastAsia="ar-SA"/>
        </w:rPr>
        <w:t>недекларируемой</w:t>
      </w:r>
      <w:proofErr w:type="spellEnd"/>
      <w:r w:rsidRPr="00AF7EB6">
        <w:rPr>
          <w:rFonts w:eastAsia="Calibri"/>
          <w:sz w:val="28"/>
          <w:szCs w:val="28"/>
          <w:lang w:eastAsia="ar-SA"/>
        </w:rPr>
        <w:t xml:space="preserve"> части заработной платы (далее – Комиссия). За январь-</w:t>
      </w:r>
      <w:r w:rsidR="009057BA">
        <w:rPr>
          <w:rFonts w:eastAsia="Calibri"/>
          <w:sz w:val="28"/>
          <w:szCs w:val="28"/>
          <w:lang w:eastAsia="ar-SA"/>
        </w:rPr>
        <w:t>июнь</w:t>
      </w:r>
      <w:r w:rsidRPr="00AF7EB6">
        <w:rPr>
          <w:rFonts w:eastAsia="Calibri"/>
          <w:sz w:val="28"/>
          <w:szCs w:val="28"/>
          <w:lang w:eastAsia="ar-SA"/>
        </w:rPr>
        <w:t xml:space="preserve"> 2021 года проведено 1</w:t>
      </w:r>
      <w:r w:rsidR="009057BA">
        <w:rPr>
          <w:rFonts w:eastAsia="Calibri"/>
          <w:sz w:val="28"/>
          <w:szCs w:val="28"/>
          <w:lang w:eastAsia="ar-SA"/>
        </w:rPr>
        <w:t>0</w:t>
      </w:r>
      <w:r w:rsidRPr="00AF7EB6">
        <w:rPr>
          <w:rFonts w:eastAsia="Calibri"/>
          <w:sz w:val="28"/>
          <w:szCs w:val="28"/>
          <w:lang w:eastAsia="ar-SA"/>
        </w:rPr>
        <w:t xml:space="preserve"> заседаний  Комиссии, на которых рассмотрено </w:t>
      </w:r>
      <w:r w:rsidR="009057BA">
        <w:rPr>
          <w:rFonts w:eastAsia="Calibri"/>
          <w:sz w:val="28"/>
          <w:szCs w:val="28"/>
          <w:lang w:eastAsia="ar-SA"/>
        </w:rPr>
        <w:t>148</w:t>
      </w:r>
      <w:r w:rsidRPr="00AF7EB6">
        <w:rPr>
          <w:rFonts w:eastAsia="Calibri"/>
          <w:sz w:val="28"/>
          <w:szCs w:val="28"/>
          <w:lang w:eastAsia="ar-SA"/>
        </w:rPr>
        <w:t xml:space="preserve"> физических и юридических лиц. По результатам </w:t>
      </w:r>
      <w:r w:rsidRPr="00AF7EB6">
        <w:rPr>
          <w:sz w:val="28"/>
          <w:szCs w:val="28"/>
          <w:lang w:eastAsia="ar-SA"/>
        </w:rPr>
        <w:t>рассмотрения материалы направляются в Государственную инспекцию труда в Самарской области и в Прокуратуру г. Тольятти, а также налоговые органы для выявления нарушений и проведения соответствующих мероприятий;</w:t>
      </w:r>
    </w:p>
    <w:p w14:paraId="2EC95411" w14:textId="3508D28C" w:rsidR="00AF7EB6" w:rsidRPr="00AF7EB6" w:rsidRDefault="00AF7EB6" w:rsidP="00AF7EB6">
      <w:pPr>
        <w:widowControl w:val="0"/>
        <w:suppressAutoHyphens w:val="0"/>
        <w:spacing w:line="276" w:lineRule="auto"/>
        <w:rPr>
          <w:sz w:val="28"/>
          <w:szCs w:val="28"/>
          <w:lang w:eastAsia="ar-SA"/>
        </w:rPr>
      </w:pPr>
      <w:r w:rsidRPr="00AF7EB6">
        <w:rPr>
          <w:sz w:val="28"/>
          <w:szCs w:val="28"/>
          <w:lang w:eastAsia="ar-SA"/>
        </w:rPr>
        <w:t xml:space="preserve">- проводится информационно-разъяснительная работа, направленная на снижение неформальной деятельности в городском округе Тольятти, в том числе путем размещения актуальных материалов в СМИ, проведения на базе МАУ «Агентство экономического развития» консультаций, направленных на организацию собственного бизнеса, разработку бизнес-плана и другое (общее количество оказанных услуг в </w:t>
      </w:r>
      <w:r w:rsidR="009057BA">
        <w:rPr>
          <w:sz w:val="28"/>
          <w:szCs w:val="28"/>
          <w:lang w:eastAsia="ar-SA"/>
        </w:rPr>
        <w:t xml:space="preserve">отчетном периоде </w:t>
      </w:r>
      <w:r w:rsidRPr="00AF7EB6">
        <w:rPr>
          <w:sz w:val="28"/>
          <w:szCs w:val="28"/>
          <w:lang w:eastAsia="ar-SA"/>
        </w:rPr>
        <w:t xml:space="preserve">2021 года - 1840), проводятся обучающие мероприятия, в том числе для лиц, выбравших налоговый режим для «самозанятых» граждан (в 2021 году проводился курс повышения квалификации «Основы предпринимательской деятельности», количество слушателей – 100 человек). Представители администрации </w:t>
      </w:r>
      <w:r w:rsidR="00C25CD4">
        <w:rPr>
          <w:sz w:val="28"/>
          <w:szCs w:val="28"/>
          <w:lang w:eastAsia="ar-SA"/>
        </w:rPr>
        <w:t xml:space="preserve">городского округа Тольятти </w:t>
      </w:r>
      <w:r w:rsidRPr="00AF7EB6">
        <w:rPr>
          <w:sz w:val="28"/>
          <w:szCs w:val="28"/>
          <w:lang w:eastAsia="ar-SA"/>
        </w:rPr>
        <w:t xml:space="preserve">совершают выезды на территорию торгово-офисных центров и гаражных кооперативов в целях информирования, популяризации предпринимательской деятельности, консультировании о возможностях применения специального налогового режима «Налог на профессиональный доход» (в текущем году совершено 6 выездов, дано более 232 консультаций, с приложением раздаточных материалов). Налажен алгоритм взаимодействия </w:t>
      </w:r>
      <w:bookmarkStart w:id="5" w:name="_Hlk83895091"/>
      <w:r w:rsidRPr="00AF7EB6">
        <w:rPr>
          <w:sz w:val="28"/>
          <w:szCs w:val="28"/>
          <w:lang w:eastAsia="ar-SA"/>
        </w:rPr>
        <w:t>МАУ «Многофункциональный центр» с МАУ «Агентство экономического развития»</w:t>
      </w:r>
      <w:bookmarkEnd w:id="5"/>
      <w:r w:rsidRPr="00AF7EB6">
        <w:rPr>
          <w:sz w:val="28"/>
          <w:szCs w:val="28"/>
          <w:lang w:eastAsia="ar-SA"/>
        </w:rPr>
        <w:t xml:space="preserve">, обеспечена возможность регистрации </w:t>
      </w:r>
      <w:r w:rsidRPr="00AF7EB6">
        <w:rPr>
          <w:sz w:val="28"/>
          <w:szCs w:val="28"/>
          <w:lang w:eastAsia="ar-SA"/>
        </w:rPr>
        <w:lastRenderedPageBreak/>
        <w:t xml:space="preserve">в качестве «самозанятого», индивидуального предпринимателя, после посещения обучающих мероприятий. </w:t>
      </w:r>
    </w:p>
    <w:p w14:paraId="7CAAD15C" w14:textId="2889D9B5" w:rsidR="00AF7EB6" w:rsidRPr="00AF7EB6" w:rsidRDefault="00AF7EB6" w:rsidP="00AF7EB6">
      <w:pPr>
        <w:widowControl w:val="0"/>
        <w:numPr>
          <w:ilvl w:val="0"/>
          <w:numId w:val="5"/>
        </w:numPr>
        <w:suppressAutoHyphens w:val="0"/>
        <w:spacing w:line="276" w:lineRule="auto"/>
        <w:ind w:left="0" w:firstLine="709"/>
        <w:contextualSpacing/>
        <w:rPr>
          <w:rFonts w:eastAsia="Calibri"/>
          <w:sz w:val="28"/>
          <w:szCs w:val="28"/>
          <w:lang w:eastAsia="ar-SA"/>
        </w:rPr>
      </w:pPr>
      <w:r w:rsidRPr="00AF7EB6">
        <w:rPr>
          <w:rFonts w:eastAsia="Calibri"/>
          <w:sz w:val="28"/>
          <w:szCs w:val="28"/>
          <w:lang w:eastAsia="ar-SA"/>
        </w:rPr>
        <w:t xml:space="preserve">Администрацией </w:t>
      </w:r>
      <w:r w:rsidR="00C25CD4">
        <w:rPr>
          <w:sz w:val="28"/>
          <w:szCs w:val="28"/>
          <w:lang w:eastAsia="ar-SA"/>
        </w:rPr>
        <w:t>городского округа Тольятти</w:t>
      </w:r>
      <w:r w:rsidR="00C25CD4" w:rsidRPr="00AF7EB6">
        <w:rPr>
          <w:rFonts w:eastAsia="Calibri"/>
          <w:sz w:val="28"/>
          <w:szCs w:val="28"/>
          <w:lang w:eastAsia="ar-SA"/>
        </w:rPr>
        <w:t xml:space="preserve"> </w:t>
      </w:r>
      <w:r w:rsidRPr="00AF7EB6">
        <w:rPr>
          <w:rFonts w:eastAsia="Calibri"/>
          <w:sz w:val="28"/>
          <w:szCs w:val="28"/>
          <w:lang w:eastAsia="ar-SA"/>
        </w:rPr>
        <w:t xml:space="preserve">в постоянном режиме ведется мониторинг в сфере занятости населения, осуществляется информационное взаимодействие с организациями. Все свежие новости о мерах поддержки оперативно доводятся до организаций, размещаются на информационных ресурсах администрации </w:t>
      </w:r>
      <w:r w:rsidR="00C25CD4">
        <w:rPr>
          <w:sz w:val="28"/>
          <w:szCs w:val="28"/>
          <w:lang w:eastAsia="ar-SA"/>
        </w:rPr>
        <w:t>городского округа Тольятти</w:t>
      </w:r>
      <w:r w:rsidR="00C25CD4" w:rsidRPr="00AF7EB6">
        <w:rPr>
          <w:rFonts w:eastAsia="Calibri"/>
          <w:sz w:val="28"/>
          <w:szCs w:val="28"/>
          <w:lang w:eastAsia="ar-SA"/>
        </w:rPr>
        <w:t xml:space="preserve"> </w:t>
      </w:r>
      <w:r w:rsidRPr="00AF7EB6">
        <w:rPr>
          <w:rFonts w:eastAsia="Calibri"/>
          <w:sz w:val="28"/>
          <w:szCs w:val="28"/>
          <w:lang w:eastAsia="ar-SA"/>
        </w:rPr>
        <w:t xml:space="preserve">и в социальных сетях. </w:t>
      </w:r>
    </w:p>
    <w:p w14:paraId="5B3E11ED" w14:textId="43601CF1" w:rsidR="00E72F82" w:rsidRDefault="00E72F82" w:rsidP="00597F88">
      <w:pPr>
        <w:widowControl w:val="0"/>
        <w:suppressAutoHyphens w:val="0"/>
        <w:spacing w:line="276" w:lineRule="auto"/>
        <w:jc w:val="center"/>
        <w:rPr>
          <w:sz w:val="28"/>
          <w:szCs w:val="28"/>
          <w:lang w:eastAsia="ar-SA"/>
        </w:rPr>
      </w:pPr>
      <w:r w:rsidRPr="00AF7EB6">
        <w:rPr>
          <w:sz w:val="28"/>
          <w:szCs w:val="28"/>
          <w:lang w:eastAsia="ru-RU"/>
        </w:rPr>
        <w:t>О</w:t>
      </w:r>
      <w:r w:rsidRPr="00AF7EB6">
        <w:rPr>
          <w:sz w:val="28"/>
          <w:szCs w:val="28"/>
          <w:lang w:eastAsia="ar-SA"/>
        </w:rPr>
        <w:t>жидаемое выполнение прогнозных показателей в сфере занятости населения на 202</w:t>
      </w:r>
      <w:r w:rsidR="00505A89" w:rsidRPr="00AF7EB6">
        <w:rPr>
          <w:sz w:val="28"/>
          <w:szCs w:val="28"/>
          <w:lang w:eastAsia="ar-SA"/>
        </w:rPr>
        <w:t>1</w:t>
      </w:r>
      <w:r w:rsidRPr="00AF7EB6">
        <w:rPr>
          <w:sz w:val="28"/>
          <w:szCs w:val="28"/>
          <w:lang w:eastAsia="ar-SA"/>
        </w:rPr>
        <w:t xml:space="preserve"> год</w:t>
      </w:r>
    </w:p>
    <w:tbl>
      <w:tblPr>
        <w:tblW w:w="9731" w:type="dxa"/>
        <w:tblInd w:w="-125" w:type="dxa"/>
        <w:tblLayout w:type="fixed"/>
        <w:tblLook w:val="0000" w:firstRow="0" w:lastRow="0" w:firstColumn="0" w:lastColumn="0" w:noHBand="0" w:noVBand="0"/>
      </w:tblPr>
      <w:tblGrid>
        <w:gridCol w:w="4061"/>
        <w:gridCol w:w="1559"/>
        <w:gridCol w:w="1418"/>
        <w:gridCol w:w="1276"/>
        <w:gridCol w:w="1417"/>
      </w:tblGrid>
      <w:tr w:rsidR="00E72F82" w:rsidRPr="00AF7EB6" w14:paraId="781D4168" w14:textId="77777777" w:rsidTr="00AC7FC1">
        <w:trPr>
          <w:cantSplit/>
          <w:tblHeader/>
        </w:trPr>
        <w:tc>
          <w:tcPr>
            <w:tcW w:w="4061" w:type="dxa"/>
            <w:vMerge w:val="restart"/>
            <w:tcBorders>
              <w:top w:val="single" w:sz="4" w:space="0" w:color="000000"/>
              <w:left w:val="single" w:sz="4" w:space="0" w:color="000000"/>
              <w:bottom w:val="single" w:sz="4" w:space="0" w:color="000000"/>
            </w:tcBorders>
            <w:vAlign w:val="center"/>
          </w:tcPr>
          <w:p w14:paraId="77429D5E" w14:textId="565C1FAD" w:rsidR="00E72F82" w:rsidRPr="007357F3" w:rsidRDefault="00E72F82" w:rsidP="009057BA">
            <w:pPr>
              <w:widowControl w:val="0"/>
              <w:suppressAutoHyphens w:val="0"/>
              <w:jc w:val="center"/>
              <w:rPr>
                <w:sz w:val="28"/>
                <w:szCs w:val="28"/>
                <w:lang w:eastAsia="ar-SA"/>
              </w:rPr>
            </w:pPr>
            <w:r w:rsidRPr="007357F3">
              <w:rPr>
                <w:sz w:val="28"/>
                <w:szCs w:val="28"/>
                <w:lang w:eastAsia="ar-SA"/>
              </w:rPr>
              <w:t>Показатели</w:t>
            </w:r>
          </w:p>
        </w:tc>
        <w:tc>
          <w:tcPr>
            <w:tcW w:w="1559" w:type="dxa"/>
            <w:vMerge w:val="restart"/>
            <w:tcBorders>
              <w:top w:val="single" w:sz="4" w:space="0" w:color="000000"/>
              <w:left w:val="single" w:sz="4" w:space="0" w:color="000000"/>
              <w:bottom w:val="single" w:sz="4" w:space="0" w:color="000000"/>
            </w:tcBorders>
            <w:vAlign w:val="center"/>
          </w:tcPr>
          <w:p w14:paraId="519C0B0B" w14:textId="77777777" w:rsidR="00E72F82" w:rsidRPr="007357F3" w:rsidRDefault="00E72F82" w:rsidP="009057BA">
            <w:pPr>
              <w:widowControl w:val="0"/>
              <w:suppressAutoHyphens w:val="0"/>
              <w:ind w:firstLine="0"/>
              <w:jc w:val="center"/>
              <w:rPr>
                <w:sz w:val="28"/>
                <w:szCs w:val="28"/>
                <w:lang w:eastAsia="ar-SA"/>
              </w:rPr>
            </w:pPr>
            <w:r w:rsidRPr="007357F3">
              <w:rPr>
                <w:sz w:val="28"/>
                <w:szCs w:val="28"/>
                <w:lang w:eastAsia="ar-SA"/>
              </w:rPr>
              <w:t>Единица измерения</w:t>
            </w:r>
          </w:p>
        </w:tc>
        <w:tc>
          <w:tcPr>
            <w:tcW w:w="2694" w:type="dxa"/>
            <w:gridSpan w:val="2"/>
            <w:tcBorders>
              <w:top w:val="single" w:sz="4" w:space="0" w:color="000000"/>
              <w:left w:val="single" w:sz="4" w:space="0" w:color="000000"/>
              <w:bottom w:val="single" w:sz="4" w:space="0" w:color="000000"/>
            </w:tcBorders>
            <w:vAlign w:val="center"/>
          </w:tcPr>
          <w:p w14:paraId="6A60946A" w14:textId="1F17E36B" w:rsidR="00E72F82" w:rsidRPr="007357F3" w:rsidRDefault="00E72F82" w:rsidP="009057BA">
            <w:pPr>
              <w:widowControl w:val="0"/>
              <w:suppressAutoHyphens w:val="0"/>
              <w:ind w:firstLine="34"/>
              <w:jc w:val="center"/>
              <w:rPr>
                <w:sz w:val="28"/>
                <w:szCs w:val="28"/>
                <w:lang w:eastAsia="ar-SA"/>
              </w:rPr>
            </w:pPr>
            <w:r w:rsidRPr="007357F3">
              <w:rPr>
                <w:sz w:val="28"/>
                <w:szCs w:val="28"/>
                <w:lang w:eastAsia="ar-SA"/>
              </w:rPr>
              <w:t>Прогноз на 202</w:t>
            </w:r>
            <w:r w:rsidR="007357F3">
              <w:rPr>
                <w:sz w:val="28"/>
                <w:szCs w:val="28"/>
                <w:lang w:eastAsia="ar-SA"/>
              </w:rPr>
              <w:t>1</w:t>
            </w:r>
            <w:r w:rsidRPr="007357F3">
              <w:rPr>
                <w:sz w:val="28"/>
                <w:szCs w:val="28"/>
                <w:lang w:eastAsia="ar-SA"/>
              </w:rPr>
              <w:t xml:space="preserve"> год</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14:paraId="162A842C" w14:textId="24B32D83" w:rsidR="00E72F82" w:rsidRPr="007357F3" w:rsidRDefault="00E72F82" w:rsidP="009057BA">
            <w:pPr>
              <w:widowControl w:val="0"/>
              <w:suppressAutoHyphens w:val="0"/>
              <w:ind w:firstLine="34"/>
              <w:jc w:val="center"/>
              <w:rPr>
                <w:sz w:val="28"/>
                <w:szCs w:val="28"/>
                <w:lang w:eastAsia="ar-SA"/>
              </w:rPr>
            </w:pPr>
            <w:r w:rsidRPr="007357F3">
              <w:rPr>
                <w:sz w:val="28"/>
                <w:szCs w:val="28"/>
                <w:lang w:eastAsia="ar-SA"/>
              </w:rPr>
              <w:t>202</w:t>
            </w:r>
            <w:r w:rsidR="007357F3">
              <w:rPr>
                <w:sz w:val="28"/>
                <w:szCs w:val="28"/>
                <w:lang w:eastAsia="ar-SA"/>
              </w:rPr>
              <w:t>1</w:t>
            </w:r>
            <w:r w:rsidRPr="007357F3">
              <w:rPr>
                <w:sz w:val="28"/>
                <w:szCs w:val="28"/>
                <w:lang w:eastAsia="ar-SA"/>
              </w:rPr>
              <w:t xml:space="preserve"> год (оценка)</w:t>
            </w:r>
          </w:p>
        </w:tc>
      </w:tr>
      <w:tr w:rsidR="00E72F82" w:rsidRPr="00AF7EB6" w14:paraId="2AA79EC9" w14:textId="77777777" w:rsidTr="00AC7FC1">
        <w:trPr>
          <w:cantSplit/>
          <w:tblHeader/>
        </w:trPr>
        <w:tc>
          <w:tcPr>
            <w:tcW w:w="4061" w:type="dxa"/>
            <w:vMerge/>
            <w:tcBorders>
              <w:top w:val="single" w:sz="4" w:space="0" w:color="000000"/>
              <w:left w:val="single" w:sz="4" w:space="0" w:color="000000"/>
              <w:bottom w:val="single" w:sz="4" w:space="0" w:color="000000"/>
            </w:tcBorders>
            <w:vAlign w:val="center"/>
          </w:tcPr>
          <w:p w14:paraId="1563202E" w14:textId="77777777" w:rsidR="00E72F82" w:rsidRPr="007357F3" w:rsidRDefault="00E72F82" w:rsidP="00AF7EB6">
            <w:pPr>
              <w:widowControl w:val="0"/>
              <w:suppressAutoHyphens w:val="0"/>
              <w:rPr>
                <w:sz w:val="28"/>
                <w:szCs w:val="28"/>
                <w:lang w:eastAsia="ar-SA"/>
              </w:rPr>
            </w:pPr>
          </w:p>
        </w:tc>
        <w:tc>
          <w:tcPr>
            <w:tcW w:w="1559" w:type="dxa"/>
            <w:vMerge/>
            <w:tcBorders>
              <w:top w:val="single" w:sz="4" w:space="0" w:color="000000"/>
              <w:left w:val="single" w:sz="4" w:space="0" w:color="000000"/>
              <w:bottom w:val="single" w:sz="4" w:space="0" w:color="000000"/>
            </w:tcBorders>
            <w:vAlign w:val="center"/>
          </w:tcPr>
          <w:p w14:paraId="16D63FAF" w14:textId="77777777" w:rsidR="00E72F82" w:rsidRPr="007357F3" w:rsidRDefault="00E72F82" w:rsidP="00AF7EB6">
            <w:pPr>
              <w:widowControl w:val="0"/>
              <w:suppressAutoHyphens w:val="0"/>
              <w:rPr>
                <w:sz w:val="28"/>
                <w:szCs w:val="28"/>
                <w:lang w:eastAsia="ar-SA"/>
              </w:rPr>
            </w:pPr>
          </w:p>
        </w:tc>
        <w:tc>
          <w:tcPr>
            <w:tcW w:w="1418" w:type="dxa"/>
            <w:tcBorders>
              <w:top w:val="single" w:sz="4" w:space="0" w:color="000000"/>
              <w:left w:val="single" w:sz="4" w:space="0" w:color="000000"/>
              <w:bottom w:val="single" w:sz="4" w:space="0" w:color="000000"/>
            </w:tcBorders>
            <w:vAlign w:val="center"/>
          </w:tcPr>
          <w:p w14:paraId="3455CE2E" w14:textId="53B10730" w:rsidR="00E72F82" w:rsidRPr="007357F3" w:rsidRDefault="00E72F82" w:rsidP="00AF7EB6">
            <w:pPr>
              <w:widowControl w:val="0"/>
              <w:suppressAutoHyphens w:val="0"/>
              <w:ind w:firstLine="34"/>
              <w:jc w:val="center"/>
              <w:rPr>
                <w:sz w:val="28"/>
                <w:szCs w:val="28"/>
                <w:lang w:eastAsia="ar-SA"/>
              </w:rPr>
            </w:pPr>
            <w:r w:rsidRPr="007357F3">
              <w:rPr>
                <w:sz w:val="28"/>
                <w:szCs w:val="28"/>
                <w:lang w:eastAsia="ar-SA"/>
              </w:rPr>
              <w:t>консервативный</w:t>
            </w:r>
          </w:p>
        </w:tc>
        <w:tc>
          <w:tcPr>
            <w:tcW w:w="1276" w:type="dxa"/>
            <w:tcBorders>
              <w:top w:val="single" w:sz="4" w:space="0" w:color="000000"/>
              <w:left w:val="single" w:sz="4" w:space="0" w:color="000000"/>
              <w:bottom w:val="single" w:sz="4" w:space="0" w:color="000000"/>
            </w:tcBorders>
            <w:vAlign w:val="center"/>
          </w:tcPr>
          <w:p w14:paraId="5AD377A0" w14:textId="77777777" w:rsidR="00E72F82" w:rsidRPr="007357F3" w:rsidRDefault="00E72F82" w:rsidP="00AF7EB6">
            <w:pPr>
              <w:widowControl w:val="0"/>
              <w:suppressAutoHyphens w:val="0"/>
              <w:ind w:firstLine="34"/>
              <w:jc w:val="center"/>
              <w:rPr>
                <w:sz w:val="28"/>
                <w:szCs w:val="28"/>
                <w:lang w:eastAsia="ar-SA"/>
              </w:rPr>
            </w:pPr>
            <w:r w:rsidRPr="007357F3">
              <w:rPr>
                <w:sz w:val="28"/>
                <w:szCs w:val="28"/>
                <w:lang w:eastAsia="ar-SA"/>
              </w:rPr>
              <w:t>базовый</w:t>
            </w:r>
          </w:p>
        </w:tc>
        <w:tc>
          <w:tcPr>
            <w:tcW w:w="1417" w:type="dxa"/>
            <w:vMerge/>
            <w:tcBorders>
              <w:top w:val="single" w:sz="4" w:space="0" w:color="000000"/>
              <w:left w:val="single" w:sz="4" w:space="0" w:color="000000"/>
              <w:bottom w:val="single" w:sz="4" w:space="0" w:color="000000"/>
              <w:right w:val="single" w:sz="4" w:space="0" w:color="000000"/>
            </w:tcBorders>
            <w:vAlign w:val="center"/>
          </w:tcPr>
          <w:p w14:paraId="7DA128D0" w14:textId="77777777" w:rsidR="00E72F82" w:rsidRPr="007357F3" w:rsidRDefault="00E72F82" w:rsidP="00AF7EB6">
            <w:pPr>
              <w:widowControl w:val="0"/>
              <w:suppressAutoHyphens w:val="0"/>
              <w:ind w:firstLine="34"/>
              <w:rPr>
                <w:sz w:val="28"/>
                <w:szCs w:val="28"/>
                <w:lang w:eastAsia="ar-SA"/>
              </w:rPr>
            </w:pPr>
          </w:p>
        </w:tc>
      </w:tr>
      <w:tr w:rsidR="00E72F82" w:rsidRPr="00AF7EB6" w14:paraId="4BA9F857" w14:textId="77777777" w:rsidTr="00AC7FC1">
        <w:tc>
          <w:tcPr>
            <w:tcW w:w="4061" w:type="dxa"/>
            <w:tcBorders>
              <w:top w:val="single" w:sz="4" w:space="0" w:color="000000"/>
              <w:left w:val="single" w:sz="4" w:space="0" w:color="000000"/>
              <w:bottom w:val="single" w:sz="4" w:space="0" w:color="000000"/>
            </w:tcBorders>
          </w:tcPr>
          <w:p w14:paraId="7B835C28" w14:textId="56B24C11" w:rsidR="00E72F82" w:rsidRPr="007357F3" w:rsidRDefault="007357F3" w:rsidP="00AF7EB6">
            <w:pPr>
              <w:widowControl w:val="0"/>
              <w:suppressAutoHyphens w:val="0"/>
              <w:ind w:hanging="17"/>
              <w:jc w:val="left"/>
              <w:rPr>
                <w:sz w:val="28"/>
                <w:szCs w:val="28"/>
                <w:lang w:eastAsia="ar-SA"/>
              </w:rPr>
            </w:pPr>
            <w:r>
              <w:rPr>
                <w:sz w:val="28"/>
                <w:szCs w:val="28"/>
                <w:lang w:eastAsia="ar-SA"/>
              </w:rPr>
              <w:t>Численность т</w:t>
            </w:r>
            <w:r w:rsidR="00E72F82" w:rsidRPr="007357F3">
              <w:rPr>
                <w:sz w:val="28"/>
                <w:szCs w:val="28"/>
                <w:lang w:eastAsia="ar-SA"/>
              </w:rPr>
              <w:t>рудовы</w:t>
            </w:r>
            <w:r>
              <w:rPr>
                <w:sz w:val="28"/>
                <w:szCs w:val="28"/>
                <w:lang w:eastAsia="ar-SA"/>
              </w:rPr>
              <w:t>х</w:t>
            </w:r>
            <w:r w:rsidR="00E72F82" w:rsidRPr="007357F3">
              <w:rPr>
                <w:sz w:val="28"/>
                <w:szCs w:val="28"/>
                <w:lang w:eastAsia="ar-SA"/>
              </w:rPr>
              <w:t xml:space="preserve"> ресурс</w:t>
            </w:r>
            <w:r>
              <w:rPr>
                <w:sz w:val="28"/>
                <w:szCs w:val="28"/>
                <w:lang w:eastAsia="ar-SA"/>
              </w:rPr>
              <w:t>ов</w:t>
            </w:r>
          </w:p>
        </w:tc>
        <w:tc>
          <w:tcPr>
            <w:tcW w:w="1559" w:type="dxa"/>
            <w:tcBorders>
              <w:top w:val="single" w:sz="4" w:space="0" w:color="000000"/>
              <w:left w:val="single" w:sz="4" w:space="0" w:color="000000"/>
              <w:bottom w:val="single" w:sz="4" w:space="0" w:color="000000"/>
            </w:tcBorders>
            <w:vAlign w:val="bottom"/>
          </w:tcPr>
          <w:p w14:paraId="7973743F" w14:textId="77777777" w:rsidR="00E72F82" w:rsidRPr="007357F3" w:rsidRDefault="00E72F82" w:rsidP="00AF7EB6">
            <w:pPr>
              <w:widowControl w:val="0"/>
              <w:suppressAutoHyphens w:val="0"/>
              <w:ind w:hanging="17"/>
              <w:jc w:val="center"/>
              <w:rPr>
                <w:sz w:val="28"/>
                <w:szCs w:val="28"/>
                <w:lang w:eastAsia="ar-SA"/>
              </w:rPr>
            </w:pPr>
            <w:r w:rsidRPr="007357F3">
              <w:rPr>
                <w:sz w:val="28"/>
                <w:szCs w:val="28"/>
                <w:lang w:eastAsia="ar-SA"/>
              </w:rPr>
              <w:t>тыс. человек</w:t>
            </w:r>
          </w:p>
        </w:tc>
        <w:tc>
          <w:tcPr>
            <w:tcW w:w="1418" w:type="dxa"/>
            <w:tcBorders>
              <w:top w:val="single" w:sz="4" w:space="0" w:color="000000"/>
              <w:left w:val="single" w:sz="4" w:space="0" w:color="000000"/>
              <w:bottom w:val="single" w:sz="4" w:space="0" w:color="000000"/>
            </w:tcBorders>
            <w:vAlign w:val="bottom"/>
          </w:tcPr>
          <w:p w14:paraId="5D3F8FB1" w14:textId="27017A97" w:rsidR="00E72F82" w:rsidRPr="007357F3" w:rsidRDefault="007357F3" w:rsidP="00AF7EB6">
            <w:pPr>
              <w:widowControl w:val="0"/>
              <w:suppressAutoHyphens w:val="0"/>
              <w:ind w:firstLine="34"/>
              <w:jc w:val="center"/>
              <w:rPr>
                <w:sz w:val="28"/>
                <w:szCs w:val="28"/>
                <w:lang w:eastAsia="ar-SA"/>
              </w:rPr>
            </w:pPr>
            <w:r>
              <w:rPr>
                <w:sz w:val="28"/>
                <w:szCs w:val="28"/>
                <w:lang w:eastAsia="ar-SA"/>
              </w:rPr>
              <w:t>435,8</w:t>
            </w:r>
          </w:p>
        </w:tc>
        <w:tc>
          <w:tcPr>
            <w:tcW w:w="1276" w:type="dxa"/>
            <w:tcBorders>
              <w:top w:val="single" w:sz="4" w:space="0" w:color="000000"/>
              <w:left w:val="single" w:sz="4" w:space="0" w:color="000000"/>
              <w:bottom w:val="single" w:sz="4" w:space="0" w:color="000000"/>
            </w:tcBorders>
            <w:vAlign w:val="bottom"/>
          </w:tcPr>
          <w:p w14:paraId="6A786E69" w14:textId="03E79FFD" w:rsidR="00E72F82" w:rsidRPr="007357F3" w:rsidRDefault="007357F3" w:rsidP="00AF7EB6">
            <w:pPr>
              <w:widowControl w:val="0"/>
              <w:suppressAutoHyphens w:val="0"/>
              <w:ind w:firstLine="34"/>
              <w:jc w:val="center"/>
              <w:rPr>
                <w:sz w:val="28"/>
                <w:szCs w:val="28"/>
                <w:lang w:eastAsia="ar-SA"/>
              </w:rPr>
            </w:pPr>
            <w:r>
              <w:rPr>
                <w:sz w:val="28"/>
                <w:szCs w:val="28"/>
                <w:lang w:eastAsia="ar-SA"/>
              </w:rPr>
              <w:t>437,0</w:t>
            </w:r>
          </w:p>
        </w:tc>
        <w:tc>
          <w:tcPr>
            <w:tcW w:w="1417" w:type="dxa"/>
            <w:tcBorders>
              <w:top w:val="single" w:sz="4" w:space="0" w:color="000000"/>
              <w:left w:val="single" w:sz="4" w:space="0" w:color="000000"/>
              <w:bottom w:val="single" w:sz="4" w:space="0" w:color="000000"/>
              <w:right w:val="single" w:sz="4" w:space="0" w:color="000000"/>
            </w:tcBorders>
            <w:vAlign w:val="bottom"/>
          </w:tcPr>
          <w:p w14:paraId="2930AEAD" w14:textId="201DEAAA" w:rsidR="00E72F82" w:rsidRPr="007357F3" w:rsidRDefault="007357F3" w:rsidP="00AF7EB6">
            <w:pPr>
              <w:widowControl w:val="0"/>
              <w:suppressAutoHyphens w:val="0"/>
              <w:ind w:firstLine="34"/>
              <w:jc w:val="center"/>
              <w:rPr>
                <w:sz w:val="28"/>
                <w:szCs w:val="28"/>
                <w:lang w:eastAsia="ar-SA"/>
              </w:rPr>
            </w:pPr>
            <w:r>
              <w:rPr>
                <w:sz w:val="28"/>
                <w:szCs w:val="28"/>
                <w:lang w:eastAsia="ar-SA"/>
              </w:rPr>
              <w:t>435,4</w:t>
            </w:r>
          </w:p>
        </w:tc>
      </w:tr>
      <w:tr w:rsidR="007357F3" w:rsidRPr="00AF7EB6" w14:paraId="299C940D" w14:textId="77777777" w:rsidTr="00AC7FC1">
        <w:tc>
          <w:tcPr>
            <w:tcW w:w="4061" w:type="dxa"/>
            <w:tcBorders>
              <w:top w:val="single" w:sz="4" w:space="0" w:color="000000"/>
              <w:left w:val="single" w:sz="4" w:space="0" w:color="000000"/>
              <w:bottom w:val="single" w:sz="4" w:space="0" w:color="000000"/>
            </w:tcBorders>
          </w:tcPr>
          <w:p w14:paraId="7312F306" w14:textId="40C30A79" w:rsidR="007357F3" w:rsidRPr="007357F3" w:rsidRDefault="007357F3" w:rsidP="00AF7EB6">
            <w:pPr>
              <w:widowControl w:val="0"/>
              <w:suppressAutoHyphens w:val="0"/>
              <w:ind w:hanging="17"/>
              <w:jc w:val="left"/>
              <w:rPr>
                <w:sz w:val="28"/>
                <w:szCs w:val="28"/>
                <w:lang w:eastAsia="ar-SA"/>
              </w:rPr>
            </w:pPr>
            <w:r>
              <w:rPr>
                <w:sz w:val="28"/>
                <w:szCs w:val="28"/>
                <w:lang w:eastAsia="ar-SA"/>
              </w:rPr>
              <w:t>в том числе:</w:t>
            </w:r>
          </w:p>
        </w:tc>
        <w:tc>
          <w:tcPr>
            <w:tcW w:w="1559" w:type="dxa"/>
            <w:tcBorders>
              <w:top w:val="single" w:sz="4" w:space="0" w:color="000000"/>
              <w:left w:val="single" w:sz="4" w:space="0" w:color="000000"/>
              <w:bottom w:val="single" w:sz="4" w:space="0" w:color="000000"/>
            </w:tcBorders>
            <w:vAlign w:val="bottom"/>
          </w:tcPr>
          <w:p w14:paraId="390231E1" w14:textId="77777777" w:rsidR="007357F3" w:rsidRPr="007357F3" w:rsidRDefault="007357F3" w:rsidP="00AF7EB6">
            <w:pPr>
              <w:widowControl w:val="0"/>
              <w:suppressAutoHyphens w:val="0"/>
              <w:ind w:hanging="17"/>
              <w:jc w:val="center"/>
              <w:rPr>
                <w:sz w:val="28"/>
                <w:szCs w:val="28"/>
                <w:lang w:eastAsia="ar-SA"/>
              </w:rPr>
            </w:pPr>
          </w:p>
        </w:tc>
        <w:tc>
          <w:tcPr>
            <w:tcW w:w="1418" w:type="dxa"/>
            <w:tcBorders>
              <w:top w:val="single" w:sz="4" w:space="0" w:color="000000"/>
              <w:left w:val="single" w:sz="4" w:space="0" w:color="000000"/>
              <w:bottom w:val="single" w:sz="4" w:space="0" w:color="000000"/>
            </w:tcBorders>
            <w:vAlign w:val="bottom"/>
          </w:tcPr>
          <w:p w14:paraId="24405297" w14:textId="77777777" w:rsidR="007357F3" w:rsidRDefault="007357F3" w:rsidP="00AF7EB6">
            <w:pPr>
              <w:widowControl w:val="0"/>
              <w:suppressAutoHyphens w:val="0"/>
              <w:ind w:firstLine="0"/>
              <w:jc w:val="center"/>
              <w:rPr>
                <w:sz w:val="28"/>
                <w:szCs w:val="28"/>
                <w:lang w:eastAsia="ar-SA"/>
              </w:rPr>
            </w:pPr>
          </w:p>
        </w:tc>
        <w:tc>
          <w:tcPr>
            <w:tcW w:w="1276" w:type="dxa"/>
            <w:tcBorders>
              <w:top w:val="single" w:sz="4" w:space="0" w:color="000000"/>
              <w:left w:val="single" w:sz="4" w:space="0" w:color="000000"/>
              <w:bottom w:val="single" w:sz="4" w:space="0" w:color="000000"/>
            </w:tcBorders>
            <w:vAlign w:val="bottom"/>
          </w:tcPr>
          <w:p w14:paraId="52AD3A21" w14:textId="77777777" w:rsidR="007357F3" w:rsidRDefault="007357F3" w:rsidP="00AF7EB6">
            <w:pPr>
              <w:widowControl w:val="0"/>
              <w:suppressAutoHyphens w:val="0"/>
              <w:ind w:firstLine="0"/>
              <w:jc w:val="center"/>
              <w:rPr>
                <w:sz w:val="28"/>
                <w:szCs w:val="28"/>
                <w:lang w:eastAsia="ar-SA"/>
              </w:rPr>
            </w:pPr>
          </w:p>
        </w:tc>
        <w:tc>
          <w:tcPr>
            <w:tcW w:w="1417" w:type="dxa"/>
            <w:tcBorders>
              <w:top w:val="single" w:sz="4" w:space="0" w:color="000000"/>
              <w:left w:val="single" w:sz="4" w:space="0" w:color="000000"/>
              <w:bottom w:val="single" w:sz="4" w:space="0" w:color="000000"/>
              <w:right w:val="single" w:sz="4" w:space="0" w:color="000000"/>
            </w:tcBorders>
            <w:vAlign w:val="bottom"/>
          </w:tcPr>
          <w:p w14:paraId="5A9BE492" w14:textId="77777777" w:rsidR="007357F3" w:rsidRDefault="007357F3" w:rsidP="00AF7EB6">
            <w:pPr>
              <w:widowControl w:val="0"/>
              <w:suppressAutoHyphens w:val="0"/>
              <w:ind w:firstLine="0"/>
              <w:jc w:val="center"/>
              <w:rPr>
                <w:sz w:val="28"/>
                <w:szCs w:val="28"/>
                <w:lang w:eastAsia="ar-SA"/>
              </w:rPr>
            </w:pPr>
          </w:p>
        </w:tc>
      </w:tr>
      <w:tr w:rsidR="007357F3" w:rsidRPr="00AF7EB6" w14:paraId="336CF70C" w14:textId="77777777" w:rsidTr="009278E9">
        <w:tc>
          <w:tcPr>
            <w:tcW w:w="4061" w:type="dxa"/>
            <w:tcBorders>
              <w:top w:val="single" w:sz="4" w:space="0" w:color="000000"/>
              <w:left w:val="single" w:sz="4" w:space="0" w:color="000000"/>
              <w:bottom w:val="single" w:sz="4" w:space="0" w:color="000000"/>
            </w:tcBorders>
          </w:tcPr>
          <w:p w14:paraId="3D2F79A8" w14:textId="49F0095F" w:rsidR="007357F3" w:rsidRPr="007357F3" w:rsidRDefault="007357F3" w:rsidP="00AF7EB6">
            <w:pPr>
              <w:widowControl w:val="0"/>
              <w:suppressAutoHyphens w:val="0"/>
              <w:ind w:hanging="17"/>
              <w:jc w:val="left"/>
              <w:rPr>
                <w:sz w:val="28"/>
                <w:szCs w:val="28"/>
                <w:lang w:eastAsia="ar-SA"/>
              </w:rPr>
            </w:pPr>
            <w:r>
              <w:rPr>
                <w:sz w:val="28"/>
                <w:szCs w:val="28"/>
                <w:lang w:eastAsia="ar-SA"/>
              </w:rPr>
              <w:t>трудоспособное население в трудоспособном возрасте</w:t>
            </w:r>
          </w:p>
        </w:tc>
        <w:tc>
          <w:tcPr>
            <w:tcW w:w="1559" w:type="dxa"/>
            <w:tcBorders>
              <w:top w:val="single" w:sz="4" w:space="0" w:color="000000"/>
              <w:left w:val="single" w:sz="4" w:space="0" w:color="000000"/>
              <w:bottom w:val="single" w:sz="4" w:space="0" w:color="000000"/>
            </w:tcBorders>
          </w:tcPr>
          <w:p w14:paraId="615B095B" w14:textId="388469A8" w:rsidR="007357F3" w:rsidRPr="007357F3" w:rsidRDefault="007357F3" w:rsidP="00AF7EB6">
            <w:pPr>
              <w:widowControl w:val="0"/>
              <w:suppressAutoHyphens w:val="0"/>
              <w:ind w:hanging="17"/>
              <w:jc w:val="center"/>
              <w:rPr>
                <w:sz w:val="28"/>
                <w:szCs w:val="28"/>
                <w:lang w:eastAsia="ar-SA"/>
              </w:rPr>
            </w:pPr>
            <w:r w:rsidRPr="00B17953">
              <w:rPr>
                <w:sz w:val="28"/>
                <w:szCs w:val="28"/>
                <w:lang w:eastAsia="ar-SA"/>
              </w:rPr>
              <w:t>тыс. человек</w:t>
            </w:r>
          </w:p>
        </w:tc>
        <w:tc>
          <w:tcPr>
            <w:tcW w:w="1418" w:type="dxa"/>
            <w:tcBorders>
              <w:top w:val="single" w:sz="4" w:space="0" w:color="000000"/>
              <w:left w:val="single" w:sz="4" w:space="0" w:color="000000"/>
              <w:bottom w:val="single" w:sz="4" w:space="0" w:color="000000"/>
            </w:tcBorders>
            <w:vAlign w:val="bottom"/>
          </w:tcPr>
          <w:p w14:paraId="7C82D467" w14:textId="1118C8A7" w:rsidR="007357F3" w:rsidRPr="00AF7EB6" w:rsidRDefault="00406981" w:rsidP="00AF7EB6">
            <w:pPr>
              <w:widowControl w:val="0"/>
              <w:suppressAutoHyphens w:val="0"/>
              <w:ind w:firstLine="0"/>
              <w:jc w:val="center"/>
              <w:rPr>
                <w:sz w:val="28"/>
                <w:szCs w:val="28"/>
                <w:lang w:eastAsia="ar-SA"/>
              </w:rPr>
            </w:pPr>
            <w:r>
              <w:rPr>
                <w:sz w:val="28"/>
                <w:szCs w:val="28"/>
                <w:lang w:eastAsia="ar-SA"/>
              </w:rPr>
              <w:t>-</w:t>
            </w:r>
            <w:r w:rsidRPr="00AF7EB6">
              <w:rPr>
                <w:sz w:val="28"/>
                <w:szCs w:val="28"/>
                <w:vertAlign w:val="superscript"/>
                <w:lang w:eastAsia="ar-SA"/>
              </w:rPr>
              <w:t>1</w:t>
            </w:r>
          </w:p>
        </w:tc>
        <w:tc>
          <w:tcPr>
            <w:tcW w:w="1276" w:type="dxa"/>
            <w:tcBorders>
              <w:top w:val="single" w:sz="4" w:space="0" w:color="000000"/>
              <w:left w:val="single" w:sz="4" w:space="0" w:color="000000"/>
              <w:bottom w:val="single" w:sz="4" w:space="0" w:color="000000"/>
            </w:tcBorders>
            <w:vAlign w:val="bottom"/>
          </w:tcPr>
          <w:p w14:paraId="421B6649" w14:textId="7ED67BB1" w:rsidR="007357F3" w:rsidRPr="00AF7EB6" w:rsidRDefault="00406981" w:rsidP="00AF7EB6">
            <w:pPr>
              <w:widowControl w:val="0"/>
              <w:suppressAutoHyphens w:val="0"/>
              <w:ind w:firstLine="0"/>
              <w:jc w:val="center"/>
              <w:rPr>
                <w:sz w:val="28"/>
                <w:szCs w:val="28"/>
                <w:lang w:eastAsia="ar-SA"/>
              </w:rPr>
            </w:pPr>
            <w:r>
              <w:rPr>
                <w:sz w:val="28"/>
                <w:szCs w:val="28"/>
                <w:lang w:eastAsia="ar-SA"/>
              </w:rPr>
              <w:t>-</w:t>
            </w:r>
            <w:r w:rsidRPr="00AF7EB6">
              <w:rPr>
                <w:sz w:val="28"/>
                <w:szCs w:val="28"/>
                <w:vertAlign w:val="superscript"/>
                <w:lang w:eastAsia="ar-SA"/>
              </w:rPr>
              <w:t>1</w:t>
            </w:r>
          </w:p>
        </w:tc>
        <w:tc>
          <w:tcPr>
            <w:tcW w:w="1417" w:type="dxa"/>
            <w:tcBorders>
              <w:top w:val="single" w:sz="4" w:space="0" w:color="000000"/>
              <w:left w:val="single" w:sz="4" w:space="0" w:color="000000"/>
              <w:bottom w:val="single" w:sz="4" w:space="0" w:color="000000"/>
              <w:right w:val="single" w:sz="4" w:space="0" w:color="000000"/>
            </w:tcBorders>
            <w:vAlign w:val="bottom"/>
          </w:tcPr>
          <w:p w14:paraId="302FC388" w14:textId="0C7A5E6A" w:rsidR="007357F3" w:rsidRDefault="00406981" w:rsidP="00AF7EB6">
            <w:pPr>
              <w:widowControl w:val="0"/>
              <w:suppressAutoHyphens w:val="0"/>
              <w:ind w:firstLine="0"/>
              <w:jc w:val="center"/>
              <w:rPr>
                <w:sz w:val="28"/>
                <w:szCs w:val="28"/>
                <w:lang w:eastAsia="ar-SA"/>
              </w:rPr>
            </w:pPr>
            <w:r>
              <w:rPr>
                <w:sz w:val="28"/>
                <w:szCs w:val="28"/>
                <w:lang w:eastAsia="ar-SA"/>
              </w:rPr>
              <w:t>385,4</w:t>
            </w:r>
          </w:p>
        </w:tc>
      </w:tr>
      <w:tr w:rsidR="00AF7EB6" w:rsidRPr="00AF7EB6" w14:paraId="2FDB6087" w14:textId="77777777" w:rsidTr="009278E9">
        <w:tc>
          <w:tcPr>
            <w:tcW w:w="4061" w:type="dxa"/>
            <w:tcBorders>
              <w:top w:val="single" w:sz="4" w:space="0" w:color="000000"/>
              <w:left w:val="single" w:sz="4" w:space="0" w:color="000000"/>
              <w:bottom w:val="single" w:sz="4" w:space="0" w:color="000000"/>
            </w:tcBorders>
          </w:tcPr>
          <w:p w14:paraId="656FF299" w14:textId="01D0D66E" w:rsidR="00AF7EB6" w:rsidRPr="007357F3" w:rsidRDefault="00AF7EB6" w:rsidP="00AF7EB6">
            <w:pPr>
              <w:widowControl w:val="0"/>
              <w:suppressAutoHyphens w:val="0"/>
              <w:ind w:hanging="17"/>
              <w:jc w:val="left"/>
              <w:rPr>
                <w:sz w:val="28"/>
                <w:szCs w:val="28"/>
                <w:lang w:eastAsia="ar-SA"/>
              </w:rPr>
            </w:pPr>
            <w:r>
              <w:rPr>
                <w:sz w:val="28"/>
                <w:szCs w:val="28"/>
                <w:lang w:eastAsia="ar-SA"/>
              </w:rPr>
              <w:t xml:space="preserve">иностранные трудовые мигранты </w:t>
            </w:r>
          </w:p>
        </w:tc>
        <w:tc>
          <w:tcPr>
            <w:tcW w:w="1559" w:type="dxa"/>
            <w:tcBorders>
              <w:top w:val="single" w:sz="4" w:space="0" w:color="000000"/>
              <w:left w:val="single" w:sz="4" w:space="0" w:color="000000"/>
              <w:bottom w:val="single" w:sz="4" w:space="0" w:color="000000"/>
            </w:tcBorders>
          </w:tcPr>
          <w:p w14:paraId="12BAD038" w14:textId="4AD61E62" w:rsidR="00AF7EB6" w:rsidRPr="007357F3" w:rsidRDefault="00AF7EB6" w:rsidP="00AF7EB6">
            <w:pPr>
              <w:widowControl w:val="0"/>
              <w:suppressAutoHyphens w:val="0"/>
              <w:ind w:hanging="17"/>
              <w:jc w:val="center"/>
              <w:rPr>
                <w:sz w:val="28"/>
                <w:szCs w:val="28"/>
                <w:lang w:eastAsia="ar-SA"/>
              </w:rPr>
            </w:pPr>
            <w:r w:rsidRPr="00B17953">
              <w:rPr>
                <w:sz w:val="28"/>
                <w:szCs w:val="28"/>
                <w:lang w:eastAsia="ar-SA"/>
              </w:rPr>
              <w:t>тыс. человек</w:t>
            </w:r>
          </w:p>
        </w:tc>
        <w:tc>
          <w:tcPr>
            <w:tcW w:w="1418" w:type="dxa"/>
            <w:tcBorders>
              <w:top w:val="single" w:sz="4" w:space="0" w:color="000000"/>
              <w:left w:val="single" w:sz="4" w:space="0" w:color="000000"/>
              <w:bottom w:val="single" w:sz="4" w:space="0" w:color="000000"/>
            </w:tcBorders>
            <w:vAlign w:val="bottom"/>
          </w:tcPr>
          <w:p w14:paraId="23D2B8C1" w14:textId="3F41D9B0" w:rsidR="00AF7EB6" w:rsidRDefault="00AF7EB6" w:rsidP="00AF7EB6">
            <w:pPr>
              <w:widowControl w:val="0"/>
              <w:suppressAutoHyphens w:val="0"/>
              <w:ind w:firstLine="0"/>
              <w:jc w:val="center"/>
              <w:rPr>
                <w:sz w:val="28"/>
                <w:szCs w:val="28"/>
                <w:lang w:eastAsia="ar-SA"/>
              </w:rPr>
            </w:pPr>
            <w:r>
              <w:rPr>
                <w:sz w:val="28"/>
                <w:szCs w:val="28"/>
                <w:lang w:eastAsia="ar-SA"/>
              </w:rPr>
              <w:t>-</w:t>
            </w:r>
            <w:r w:rsidRPr="00AF7EB6">
              <w:rPr>
                <w:sz w:val="28"/>
                <w:szCs w:val="28"/>
                <w:vertAlign w:val="superscript"/>
                <w:lang w:eastAsia="ar-SA"/>
              </w:rPr>
              <w:t>1</w:t>
            </w:r>
          </w:p>
        </w:tc>
        <w:tc>
          <w:tcPr>
            <w:tcW w:w="1276" w:type="dxa"/>
            <w:tcBorders>
              <w:top w:val="single" w:sz="4" w:space="0" w:color="000000"/>
              <w:left w:val="single" w:sz="4" w:space="0" w:color="000000"/>
              <w:bottom w:val="single" w:sz="4" w:space="0" w:color="000000"/>
            </w:tcBorders>
            <w:vAlign w:val="bottom"/>
          </w:tcPr>
          <w:p w14:paraId="660697BB" w14:textId="7ABA2F19" w:rsidR="00AF7EB6" w:rsidRDefault="00AF7EB6" w:rsidP="00AF7EB6">
            <w:pPr>
              <w:widowControl w:val="0"/>
              <w:suppressAutoHyphens w:val="0"/>
              <w:ind w:firstLine="0"/>
              <w:jc w:val="center"/>
              <w:rPr>
                <w:sz w:val="28"/>
                <w:szCs w:val="28"/>
                <w:lang w:eastAsia="ar-SA"/>
              </w:rPr>
            </w:pPr>
            <w:r>
              <w:rPr>
                <w:sz w:val="28"/>
                <w:szCs w:val="28"/>
                <w:lang w:eastAsia="ar-SA"/>
              </w:rPr>
              <w:t>-</w:t>
            </w:r>
            <w:r w:rsidRPr="00AF7EB6">
              <w:rPr>
                <w:sz w:val="28"/>
                <w:szCs w:val="28"/>
                <w:vertAlign w:val="superscript"/>
                <w:lang w:eastAsia="ar-SA"/>
              </w:rPr>
              <w:t>1</w:t>
            </w:r>
          </w:p>
        </w:tc>
        <w:tc>
          <w:tcPr>
            <w:tcW w:w="1417" w:type="dxa"/>
            <w:tcBorders>
              <w:top w:val="single" w:sz="4" w:space="0" w:color="000000"/>
              <w:left w:val="single" w:sz="4" w:space="0" w:color="000000"/>
              <w:bottom w:val="single" w:sz="4" w:space="0" w:color="000000"/>
              <w:right w:val="single" w:sz="4" w:space="0" w:color="000000"/>
            </w:tcBorders>
            <w:vAlign w:val="bottom"/>
          </w:tcPr>
          <w:p w14:paraId="25F7D60C" w14:textId="4E96376A" w:rsidR="00AF7EB6" w:rsidRDefault="00AF7EB6" w:rsidP="00AF7EB6">
            <w:pPr>
              <w:widowControl w:val="0"/>
              <w:suppressAutoHyphens w:val="0"/>
              <w:ind w:firstLine="0"/>
              <w:jc w:val="center"/>
              <w:rPr>
                <w:sz w:val="28"/>
                <w:szCs w:val="28"/>
                <w:lang w:eastAsia="ar-SA"/>
              </w:rPr>
            </w:pPr>
            <w:r>
              <w:rPr>
                <w:sz w:val="28"/>
                <w:szCs w:val="28"/>
                <w:lang w:eastAsia="ar-SA"/>
              </w:rPr>
              <w:t>12,8</w:t>
            </w:r>
          </w:p>
        </w:tc>
      </w:tr>
      <w:tr w:rsidR="00AF7EB6" w:rsidRPr="00AF7EB6" w14:paraId="0FAC135C" w14:textId="77777777" w:rsidTr="009278E9">
        <w:tc>
          <w:tcPr>
            <w:tcW w:w="4061" w:type="dxa"/>
            <w:tcBorders>
              <w:top w:val="single" w:sz="4" w:space="0" w:color="000000"/>
              <w:left w:val="single" w:sz="4" w:space="0" w:color="000000"/>
              <w:bottom w:val="single" w:sz="4" w:space="0" w:color="000000"/>
            </w:tcBorders>
          </w:tcPr>
          <w:p w14:paraId="2A493748" w14:textId="526B7E00" w:rsidR="00AF7EB6" w:rsidRPr="007357F3" w:rsidRDefault="00AF7EB6" w:rsidP="00AF7EB6">
            <w:pPr>
              <w:widowControl w:val="0"/>
              <w:suppressAutoHyphens w:val="0"/>
              <w:ind w:hanging="17"/>
              <w:jc w:val="left"/>
              <w:rPr>
                <w:sz w:val="28"/>
                <w:szCs w:val="28"/>
                <w:lang w:eastAsia="ar-SA"/>
              </w:rPr>
            </w:pPr>
            <w:r>
              <w:rPr>
                <w:sz w:val="28"/>
                <w:szCs w:val="28"/>
                <w:lang w:eastAsia="ar-SA"/>
              </w:rPr>
              <w:t>лица старше и моложе трудоспособного возраста, занятые в экономике</w:t>
            </w:r>
          </w:p>
        </w:tc>
        <w:tc>
          <w:tcPr>
            <w:tcW w:w="1559" w:type="dxa"/>
            <w:tcBorders>
              <w:top w:val="single" w:sz="4" w:space="0" w:color="000000"/>
              <w:left w:val="single" w:sz="4" w:space="0" w:color="000000"/>
              <w:bottom w:val="single" w:sz="4" w:space="0" w:color="000000"/>
            </w:tcBorders>
          </w:tcPr>
          <w:p w14:paraId="55DA9F4B" w14:textId="135872F7" w:rsidR="00AF7EB6" w:rsidRPr="007357F3" w:rsidRDefault="00AF7EB6" w:rsidP="00AF7EB6">
            <w:pPr>
              <w:widowControl w:val="0"/>
              <w:suppressAutoHyphens w:val="0"/>
              <w:ind w:hanging="17"/>
              <w:jc w:val="center"/>
              <w:rPr>
                <w:sz w:val="28"/>
                <w:szCs w:val="28"/>
                <w:lang w:eastAsia="ar-SA"/>
              </w:rPr>
            </w:pPr>
            <w:r w:rsidRPr="00B17953">
              <w:rPr>
                <w:sz w:val="28"/>
                <w:szCs w:val="28"/>
                <w:lang w:eastAsia="ar-SA"/>
              </w:rPr>
              <w:t>тыс. человек</w:t>
            </w:r>
          </w:p>
        </w:tc>
        <w:tc>
          <w:tcPr>
            <w:tcW w:w="1418" w:type="dxa"/>
            <w:tcBorders>
              <w:top w:val="single" w:sz="4" w:space="0" w:color="000000"/>
              <w:left w:val="single" w:sz="4" w:space="0" w:color="000000"/>
              <w:bottom w:val="single" w:sz="4" w:space="0" w:color="000000"/>
            </w:tcBorders>
            <w:vAlign w:val="bottom"/>
          </w:tcPr>
          <w:p w14:paraId="3F1DEDCB" w14:textId="4E354E98" w:rsidR="00AF7EB6" w:rsidRDefault="00AF7EB6" w:rsidP="00AF7EB6">
            <w:pPr>
              <w:widowControl w:val="0"/>
              <w:suppressAutoHyphens w:val="0"/>
              <w:ind w:firstLine="0"/>
              <w:jc w:val="center"/>
              <w:rPr>
                <w:sz w:val="28"/>
                <w:szCs w:val="28"/>
                <w:lang w:eastAsia="ar-SA"/>
              </w:rPr>
            </w:pPr>
            <w:r>
              <w:rPr>
                <w:sz w:val="28"/>
                <w:szCs w:val="28"/>
                <w:lang w:eastAsia="ar-SA"/>
              </w:rPr>
              <w:t>-</w:t>
            </w:r>
            <w:r w:rsidRPr="00AF7EB6">
              <w:rPr>
                <w:sz w:val="28"/>
                <w:szCs w:val="28"/>
                <w:vertAlign w:val="superscript"/>
                <w:lang w:eastAsia="ar-SA"/>
              </w:rPr>
              <w:t>1</w:t>
            </w:r>
          </w:p>
        </w:tc>
        <w:tc>
          <w:tcPr>
            <w:tcW w:w="1276" w:type="dxa"/>
            <w:tcBorders>
              <w:top w:val="single" w:sz="4" w:space="0" w:color="000000"/>
              <w:left w:val="single" w:sz="4" w:space="0" w:color="000000"/>
              <w:bottom w:val="single" w:sz="4" w:space="0" w:color="000000"/>
            </w:tcBorders>
            <w:vAlign w:val="bottom"/>
          </w:tcPr>
          <w:p w14:paraId="7A384DA6" w14:textId="35EF2545" w:rsidR="00AF7EB6" w:rsidRDefault="00AF7EB6" w:rsidP="00AF7EB6">
            <w:pPr>
              <w:widowControl w:val="0"/>
              <w:suppressAutoHyphens w:val="0"/>
              <w:ind w:firstLine="0"/>
              <w:jc w:val="center"/>
              <w:rPr>
                <w:sz w:val="28"/>
                <w:szCs w:val="28"/>
                <w:lang w:eastAsia="ar-SA"/>
              </w:rPr>
            </w:pPr>
            <w:r>
              <w:rPr>
                <w:sz w:val="28"/>
                <w:szCs w:val="28"/>
                <w:lang w:eastAsia="ar-SA"/>
              </w:rPr>
              <w:t>-</w:t>
            </w:r>
            <w:r w:rsidRPr="00AF7EB6">
              <w:rPr>
                <w:sz w:val="28"/>
                <w:szCs w:val="28"/>
                <w:vertAlign w:val="superscript"/>
                <w:lang w:eastAsia="ar-SA"/>
              </w:rPr>
              <w:t>1</w:t>
            </w:r>
          </w:p>
        </w:tc>
        <w:tc>
          <w:tcPr>
            <w:tcW w:w="1417" w:type="dxa"/>
            <w:tcBorders>
              <w:top w:val="single" w:sz="4" w:space="0" w:color="000000"/>
              <w:left w:val="single" w:sz="4" w:space="0" w:color="000000"/>
              <w:bottom w:val="single" w:sz="4" w:space="0" w:color="000000"/>
              <w:right w:val="single" w:sz="4" w:space="0" w:color="000000"/>
            </w:tcBorders>
            <w:vAlign w:val="bottom"/>
          </w:tcPr>
          <w:p w14:paraId="5D07CF64" w14:textId="6E8FF464" w:rsidR="00AF7EB6" w:rsidRDefault="00AF7EB6" w:rsidP="00AF7EB6">
            <w:pPr>
              <w:widowControl w:val="0"/>
              <w:suppressAutoHyphens w:val="0"/>
              <w:ind w:firstLine="0"/>
              <w:jc w:val="center"/>
              <w:rPr>
                <w:sz w:val="28"/>
                <w:szCs w:val="28"/>
                <w:lang w:eastAsia="ar-SA"/>
              </w:rPr>
            </w:pPr>
            <w:r>
              <w:rPr>
                <w:sz w:val="28"/>
                <w:szCs w:val="28"/>
                <w:lang w:eastAsia="ar-SA"/>
              </w:rPr>
              <w:t>37,2</w:t>
            </w:r>
          </w:p>
        </w:tc>
      </w:tr>
      <w:tr w:rsidR="007357F3" w:rsidRPr="00AF7EB6" w14:paraId="6BE2D657" w14:textId="77777777" w:rsidTr="009278E9">
        <w:tc>
          <w:tcPr>
            <w:tcW w:w="4061" w:type="dxa"/>
            <w:tcBorders>
              <w:top w:val="single" w:sz="4" w:space="0" w:color="000000"/>
              <w:left w:val="single" w:sz="4" w:space="0" w:color="000000"/>
              <w:bottom w:val="single" w:sz="4" w:space="0" w:color="000000"/>
            </w:tcBorders>
          </w:tcPr>
          <w:p w14:paraId="63D51D7A" w14:textId="720603A1" w:rsidR="007357F3" w:rsidRDefault="007357F3" w:rsidP="00AF7EB6">
            <w:pPr>
              <w:widowControl w:val="0"/>
              <w:suppressAutoHyphens w:val="0"/>
              <w:ind w:hanging="17"/>
              <w:jc w:val="left"/>
              <w:rPr>
                <w:sz w:val="28"/>
                <w:szCs w:val="28"/>
                <w:lang w:eastAsia="ar-SA"/>
              </w:rPr>
            </w:pPr>
            <w:r>
              <w:rPr>
                <w:sz w:val="28"/>
                <w:szCs w:val="28"/>
                <w:lang w:eastAsia="ar-SA"/>
              </w:rPr>
              <w:t>Распределение трудовых ресурсов:</w:t>
            </w:r>
          </w:p>
        </w:tc>
        <w:tc>
          <w:tcPr>
            <w:tcW w:w="1559" w:type="dxa"/>
            <w:tcBorders>
              <w:top w:val="single" w:sz="4" w:space="0" w:color="000000"/>
              <w:left w:val="single" w:sz="4" w:space="0" w:color="000000"/>
              <w:bottom w:val="single" w:sz="4" w:space="0" w:color="000000"/>
            </w:tcBorders>
          </w:tcPr>
          <w:p w14:paraId="01D8B61A" w14:textId="433F2DA5" w:rsidR="007357F3" w:rsidRPr="007357F3" w:rsidRDefault="007357F3" w:rsidP="00AF7EB6">
            <w:pPr>
              <w:widowControl w:val="0"/>
              <w:suppressAutoHyphens w:val="0"/>
              <w:ind w:hanging="17"/>
              <w:jc w:val="center"/>
              <w:rPr>
                <w:sz w:val="28"/>
                <w:szCs w:val="28"/>
                <w:lang w:eastAsia="ar-SA"/>
              </w:rPr>
            </w:pPr>
            <w:r w:rsidRPr="00B17953">
              <w:rPr>
                <w:sz w:val="28"/>
                <w:szCs w:val="28"/>
                <w:lang w:eastAsia="ar-SA"/>
              </w:rPr>
              <w:t>тыс. человек</w:t>
            </w:r>
          </w:p>
        </w:tc>
        <w:tc>
          <w:tcPr>
            <w:tcW w:w="1418" w:type="dxa"/>
            <w:tcBorders>
              <w:top w:val="single" w:sz="4" w:space="0" w:color="000000"/>
              <w:left w:val="single" w:sz="4" w:space="0" w:color="000000"/>
              <w:bottom w:val="single" w:sz="4" w:space="0" w:color="000000"/>
            </w:tcBorders>
            <w:vAlign w:val="bottom"/>
          </w:tcPr>
          <w:p w14:paraId="71CEC2AF" w14:textId="77777777" w:rsidR="007357F3" w:rsidRDefault="007357F3" w:rsidP="00AF7EB6">
            <w:pPr>
              <w:widowControl w:val="0"/>
              <w:suppressAutoHyphens w:val="0"/>
              <w:ind w:firstLine="0"/>
              <w:jc w:val="center"/>
              <w:rPr>
                <w:sz w:val="28"/>
                <w:szCs w:val="28"/>
                <w:lang w:eastAsia="ar-SA"/>
              </w:rPr>
            </w:pPr>
          </w:p>
        </w:tc>
        <w:tc>
          <w:tcPr>
            <w:tcW w:w="1276" w:type="dxa"/>
            <w:tcBorders>
              <w:top w:val="single" w:sz="4" w:space="0" w:color="000000"/>
              <w:left w:val="single" w:sz="4" w:space="0" w:color="000000"/>
              <w:bottom w:val="single" w:sz="4" w:space="0" w:color="000000"/>
            </w:tcBorders>
            <w:vAlign w:val="bottom"/>
          </w:tcPr>
          <w:p w14:paraId="240F991B" w14:textId="77777777" w:rsidR="007357F3" w:rsidRDefault="007357F3" w:rsidP="00AF7EB6">
            <w:pPr>
              <w:widowControl w:val="0"/>
              <w:suppressAutoHyphens w:val="0"/>
              <w:ind w:firstLine="0"/>
              <w:jc w:val="center"/>
              <w:rPr>
                <w:sz w:val="28"/>
                <w:szCs w:val="28"/>
                <w:lang w:eastAsia="ar-SA"/>
              </w:rPr>
            </w:pPr>
          </w:p>
        </w:tc>
        <w:tc>
          <w:tcPr>
            <w:tcW w:w="1417" w:type="dxa"/>
            <w:tcBorders>
              <w:top w:val="single" w:sz="4" w:space="0" w:color="000000"/>
              <w:left w:val="single" w:sz="4" w:space="0" w:color="000000"/>
              <w:bottom w:val="single" w:sz="4" w:space="0" w:color="000000"/>
              <w:right w:val="single" w:sz="4" w:space="0" w:color="000000"/>
            </w:tcBorders>
            <w:vAlign w:val="bottom"/>
          </w:tcPr>
          <w:p w14:paraId="05717003" w14:textId="77777777" w:rsidR="007357F3" w:rsidRDefault="007357F3" w:rsidP="00AF7EB6">
            <w:pPr>
              <w:widowControl w:val="0"/>
              <w:suppressAutoHyphens w:val="0"/>
              <w:ind w:firstLine="0"/>
              <w:jc w:val="center"/>
              <w:rPr>
                <w:sz w:val="28"/>
                <w:szCs w:val="28"/>
                <w:lang w:eastAsia="ar-SA"/>
              </w:rPr>
            </w:pPr>
          </w:p>
        </w:tc>
      </w:tr>
      <w:tr w:rsidR="007357F3" w:rsidRPr="00AF7EB6" w14:paraId="11313685" w14:textId="77777777" w:rsidTr="00AC7FC1">
        <w:tc>
          <w:tcPr>
            <w:tcW w:w="4061" w:type="dxa"/>
            <w:tcBorders>
              <w:top w:val="single" w:sz="4" w:space="0" w:color="000000"/>
              <w:left w:val="single" w:sz="4" w:space="0" w:color="000000"/>
              <w:bottom w:val="single" w:sz="4" w:space="0" w:color="000000"/>
            </w:tcBorders>
          </w:tcPr>
          <w:p w14:paraId="1ACB2D55" w14:textId="3A1C2F7E" w:rsidR="007357F3" w:rsidRDefault="007357F3" w:rsidP="00AF7EB6">
            <w:pPr>
              <w:widowControl w:val="0"/>
              <w:suppressAutoHyphens w:val="0"/>
              <w:ind w:hanging="17"/>
              <w:jc w:val="left"/>
              <w:rPr>
                <w:sz w:val="28"/>
                <w:szCs w:val="28"/>
                <w:lang w:eastAsia="ar-SA"/>
              </w:rPr>
            </w:pPr>
            <w:r>
              <w:rPr>
                <w:sz w:val="28"/>
                <w:szCs w:val="28"/>
                <w:lang w:eastAsia="ar-SA"/>
              </w:rPr>
              <w:t>с</w:t>
            </w:r>
            <w:r w:rsidRPr="007357F3">
              <w:rPr>
                <w:sz w:val="28"/>
                <w:szCs w:val="28"/>
                <w:lang w:eastAsia="ar-SA"/>
              </w:rPr>
              <w:t>реднегодовая численность занятых в экономике</w:t>
            </w:r>
          </w:p>
        </w:tc>
        <w:tc>
          <w:tcPr>
            <w:tcW w:w="1559" w:type="dxa"/>
            <w:tcBorders>
              <w:top w:val="single" w:sz="4" w:space="0" w:color="000000"/>
              <w:left w:val="single" w:sz="4" w:space="0" w:color="000000"/>
              <w:bottom w:val="single" w:sz="4" w:space="0" w:color="000000"/>
            </w:tcBorders>
            <w:vAlign w:val="bottom"/>
          </w:tcPr>
          <w:p w14:paraId="7F96C2FB" w14:textId="592DDDAD" w:rsidR="007357F3" w:rsidRPr="007357F3" w:rsidRDefault="007357F3" w:rsidP="00AF7EB6">
            <w:pPr>
              <w:widowControl w:val="0"/>
              <w:suppressAutoHyphens w:val="0"/>
              <w:ind w:hanging="17"/>
              <w:jc w:val="center"/>
              <w:rPr>
                <w:sz w:val="28"/>
                <w:szCs w:val="28"/>
                <w:lang w:eastAsia="ar-SA"/>
              </w:rPr>
            </w:pPr>
            <w:r w:rsidRPr="007357F3">
              <w:rPr>
                <w:sz w:val="28"/>
                <w:szCs w:val="28"/>
                <w:lang w:eastAsia="ar-SA"/>
              </w:rPr>
              <w:t>тыс. человек</w:t>
            </w:r>
          </w:p>
        </w:tc>
        <w:tc>
          <w:tcPr>
            <w:tcW w:w="1418" w:type="dxa"/>
            <w:tcBorders>
              <w:top w:val="single" w:sz="4" w:space="0" w:color="000000"/>
              <w:left w:val="single" w:sz="4" w:space="0" w:color="000000"/>
              <w:bottom w:val="single" w:sz="4" w:space="0" w:color="000000"/>
            </w:tcBorders>
            <w:vAlign w:val="bottom"/>
          </w:tcPr>
          <w:p w14:paraId="55C324B9" w14:textId="17F31028" w:rsidR="007357F3" w:rsidRDefault="00406981" w:rsidP="00AF7EB6">
            <w:pPr>
              <w:widowControl w:val="0"/>
              <w:suppressAutoHyphens w:val="0"/>
              <w:ind w:firstLine="0"/>
              <w:jc w:val="center"/>
              <w:rPr>
                <w:sz w:val="28"/>
                <w:szCs w:val="28"/>
                <w:lang w:eastAsia="ar-SA"/>
              </w:rPr>
            </w:pPr>
            <w:r>
              <w:rPr>
                <w:sz w:val="28"/>
                <w:szCs w:val="28"/>
                <w:lang w:eastAsia="ar-SA"/>
              </w:rPr>
              <w:t>352,5</w:t>
            </w:r>
          </w:p>
        </w:tc>
        <w:tc>
          <w:tcPr>
            <w:tcW w:w="1276" w:type="dxa"/>
            <w:tcBorders>
              <w:top w:val="single" w:sz="4" w:space="0" w:color="000000"/>
              <w:left w:val="single" w:sz="4" w:space="0" w:color="000000"/>
              <w:bottom w:val="single" w:sz="4" w:space="0" w:color="000000"/>
            </w:tcBorders>
            <w:vAlign w:val="bottom"/>
          </w:tcPr>
          <w:p w14:paraId="3A64ABB1" w14:textId="27BA81A3" w:rsidR="007357F3" w:rsidRDefault="00406981" w:rsidP="00AF7EB6">
            <w:pPr>
              <w:widowControl w:val="0"/>
              <w:suppressAutoHyphens w:val="0"/>
              <w:ind w:firstLine="0"/>
              <w:jc w:val="center"/>
              <w:rPr>
                <w:sz w:val="28"/>
                <w:szCs w:val="28"/>
                <w:lang w:eastAsia="ar-SA"/>
              </w:rPr>
            </w:pPr>
            <w:r>
              <w:rPr>
                <w:sz w:val="28"/>
                <w:szCs w:val="28"/>
                <w:lang w:eastAsia="ar-SA"/>
              </w:rPr>
              <w:t>354,3</w:t>
            </w:r>
          </w:p>
        </w:tc>
        <w:tc>
          <w:tcPr>
            <w:tcW w:w="1417" w:type="dxa"/>
            <w:tcBorders>
              <w:top w:val="single" w:sz="4" w:space="0" w:color="000000"/>
              <w:left w:val="single" w:sz="4" w:space="0" w:color="000000"/>
              <w:bottom w:val="single" w:sz="4" w:space="0" w:color="000000"/>
              <w:right w:val="single" w:sz="4" w:space="0" w:color="000000"/>
            </w:tcBorders>
            <w:vAlign w:val="bottom"/>
          </w:tcPr>
          <w:p w14:paraId="431B8103" w14:textId="4C34F6C4" w:rsidR="007357F3" w:rsidRDefault="007357F3" w:rsidP="00AF7EB6">
            <w:pPr>
              <w:widowControl w:val="0"/>
              <w:suppressAutoHyphens w:val="0"/>
              <w:ind w:firstLine="0"/>
              <w:jc w:val="center"/>
              <w:rPr>
                <w:sz w:val="28"/>
                <w:szCs w:val="28"/>
                <w:lang w:eastAsia="ar-SA"/>
              </w:rPr>
            </w:pPr>
            <w:r>
              <w:rPr>
                <w:sz w:val="28"/>
                <w:szCs w:val="28"/>
                <w:lang w:eastAsia="ar-SA"/>
              </w:rPr>
              <w:t>355,0</w:t>
            </w:r>
          </w:p>
        </w:tc>
      </w:tr>
      <w:tr w:rsidR="00AF7EB6" w:rsidRPr="00AF7EB6" w14:paraId="1127E0CF" w14:textId="77777777" w:rsidTr="00AC7FC1">
        <w:tc>
          <w:tcPr>
            <w:tcW w:w="4061" w:type="dxa"/>
            <w:tcBorders>
              <w:top w:val="single" w:sz="4" w:space="0" w:color="000000"/>
              <w:left w:val="single" w:sz="4" w:space="0" w:color="000000"/>
              <w:bottom w:val="single" w:sz="4" w:space="0" w:color="000000"/>
            </w:tcBorders>
          </w:tcPr>
          <w:p w14:paraId="4084A041" w14:textId="289B104C" w:rsidR="00AF7EB6" w:rsidRDefault="00AF7EB6" w:rsidP="00AF7EB6">
            <w:pPr>
              <w:widowControl w:val="0"/>
              <w:suppressAutoHyphens w:val="0"/>
              <w:ind w:hanging="17"/>
              <w:jc w:val="left"/>
              <w:rPr>
                <w:sz w:val="28"/>
                <w:szCs w:val="28"/>
                <w:lang w:eastAsia="ar-SA"/>
              </w:rPr>
            </w:pPr>
            <w:r>
              <w:rPr>
                <w:sz w:val="28"/>
                <w:szCs w:val="28"/>
                <w:lang w:eastAsia="ar-SA"/>
              </w:rPr>
              <w:t>учащиеся в трудоспособном возрасте, обучающиеся с отрывом производства</w:t>
            </w:r>
          </w:p>
        </w:tc>
        <w:tc>
          <w:tcPr>
            <w:tcW w:w="1559" w:type="dxa"/>
            <w:tcBorders>
              <w:top w:val="single" w:sz="4" w:space="0" w:color="000000"/>
              <w:left w:val="single" w:sz="4" w:space="0" w:color="000000"/>
              <w:bottom w:val="single" w:sz="4" w:space="0" w:color="000000"/>
            </w:tcBorders>
            <w:vAlign w:val="bottom"/>
          </w:tcPr>
          <w:p w14:paraId="3B04B581" w14:textId="558A48FA" w:rsidR="00AF7EB6" w:rsidRPr="007357F3" w:rsidRDefault="00AF7EB6" w:rsidP="00AF7EB6">
            <w:pPr>
              <w:widowControl w:val="0"/>
              <w:suppressAutoHyphens w:val="0"/>
              <w:ind w:hanging="17"/>
              <w:jc w:val="center"/>
              <w:rPr>
                <w:sz w:val="28"/>
                <w:szCs w:val="28"/>
                <w:lang w:eastAsia="ar-SA"/>
              </w:rPr>
            </w:pPr>
            <w:r w:rsidRPr="007357F3">
              <w:rPr>
                <w:sz w:val="28"/>
                <w:szCs w:val="28"/>
                <w:lang w:eastAsia="ar-SA"/>
              </w:rPr>
              <w:t>тыс. человек</w:t>
            </w:r>
          </w:p>
        </w:tc>
        <w:tc>
          <w:tcPr>
            <w:tcW w:w="1418" w:type="dxa"/>
            <w:tcBorders>
              <w:top w:val="single" w:sz="4" w:space="0" w:color="000000"/>
              <w:left w:val="single" w:sz="4" w:space="0" w:color="000000"/>
              <w:bottom w:val="single" w:sz="4" w:space="0" w:color="000000"/>
            </w:tcBorders>
            <w:vAlign w:val="bottom"/>
          </w:tcPr>
          <w:p w14:paraId="3EB3F22D" w14:textId="1B0B2278" w:rsidR="00AF7EB6" w:rsidRDefault="00AF7EB6" w:rsidP="00AF7EB6">
            <w:pPr>
              <w:widowControl w:val="0"/>
              <w:suppressAutoHyphens w:val="0"/>
              <w:ind w:firstLine="0"/>
              <w:jc w:val="center"/>
              <w:rPr>
                <w:sz w:val="28"/>
                <w:szCs w:val="28"/>
                <w:lang w:eastAsia="ar-SA"/>
              </w:rPr>
            </w:pPr>
            <w:r>
              <w:rPr>
                <w:sz w:val="28"/>
                <w:szCs w:val="28"/>
                <w:lang w:eastAsia="ar-SA"/>
              </w:rPr>
              <w:t>-</w:t>
            </w:r>
            <w:r w:rsidRPr="00AF7EB6">
              <w:rPr>
                <w:sz w:val="28"/>
                <w:szCs w:val="28"/>
                <w:vertAlign w:val="superscript"/>
                <w:lang w:eastAsia="ar-SA"/>
              </w:rPr>
              <w:t>1</w:t>
            </w:r>
          </w:p>
        </w:tc>
        <w:tc>
          <w:tcPr>
            <w:tcW w:w="1276" w:type="dxa"/>
            <w:tcBorders>
              <w:top w:val="single" w:sz="4" w:space="0" w:color="000000"/>
              <w:left w:val="single" w:sz="4" w:space="0" w:color="000000"/>
              <w:bottom w:val="single" w:sz="4" w:space="0" w:color="000000"/>
            </w:tcBorders>
            <w:vAlign w:val="bottom"/>
          </w:tcPr>
          <w:p w14:paraId="185E79CC" w14:textId="5881E11E" w:rsidR="00AF7EB6" w:rsidRDefault="00AF7EB6" w:rsidP="00AF7EB6">
            <w:pPr>
              <w:widowControl w:val="0"/>
              <w:suppressAutoHyphens w:val="0"/>
              <w:ind w:firstLine="0"/>
              <w:jc w:val="center"/>
              <w:rPr>
                <w:sz w:val="28"/>
                <w:szCs w:val="28"/>
                <w:lang w:eastAsia="ar-SA"/>
              </w:rPr>
            </w:pPr>
            <w:r>
              <w:rPr>
                <w:sz w:val="28"/>
                <w:szCs w:val="28"/>
                <w:lang w:eastAsia="ar-SA"/>
              </w:rPr>
              <w:t>-</w:t>
            </w:r>
            <w:r w:rsidRPr="00AF7EB6">
              <w:rPr>
                <w:sz w:val="28"/>
                <w:szCs w:val="28"/>
                <w:vertAlign w:val="superscript"/>
                <w:lang w:eastAsia="ar-SA"/>
              </w:rPr>
              <w:t>1</w:t>
            </w:r>
          </w:p>
        </w:tc>
        <w:tc>
          <w:tcPr>
            <w:tcW w:w="1417" w:type="dxa"/>
            <w:tcBorders>
              <w:top w:val="single" w:sz="4" w:space="0" w:color="000000"/>
              <w:left w:val="single" w:sz="4" w:space="0" w:color="000000"/>
              <w:bottom w:val="single" w:sz="4" w:space="0" w:color="000000"/>
              <w:right w:val="single" w:sz="4" w:space="0" w:color="000000"/>
            </w:tcBorders>
            <w:vAlign w:val="bottom"/>
          </w:tcPr>
          <w:p w14:paraId="7B734B97" w14:textId="5D424E7C" w:rsidR="00AF7EB6" w:rsidRDefault="00AF7EB6" w:rsidP="00AF7EB6">
            <w:pPr>
              <w:widowControl w:val="0"/>
              <w:suppressAutoHyphens w:val="0"/>
              <w:ind w:firstLine="0"/>
              <w:jc w:val="center"/>
              <w:rPr>
                <w:sz w:val="28"/>
                <w:szCs w:val="28"/>
                <w:lang w:eastAsia="ar-SA"/>
              </w:rPr>
            </w:pPr>
            <w:r>
              <w:rPr>
                <w:sz w:val="28"/>
                <w:szCs w:val="28"/>
                <w:lang w:eastAsia="ar-SA"/>
              </w:rPr>
              <w:t>25,5</w:t>
            </w:r>
          </w:p>
        </w:tc>
      </w:tr>
      <w:tr w:rsidR="007357F3" w:rsidRPr="00AF7EB6" w14:paraId="357CC6A4" w14:textId="77777777" w:rsidTr="009278E9">
        <w:tc>
          <w:tcPr>
            <w:tcW w:w="4061" w:type="dxa"/>
            <w:tcBorders>
              <w:top w:val="single" w:sz="4" w:space="0" w:color="000000"/>
              <w:left w:val="single" w:sz="4" w:space="0" w:color="000000"/>
              <w:bottom w:val="single" w:sz="4" w:space="0" w:color="000000"/>
            </w:tcBorders>
          </w:tcPr>
          <w:p w14:paraId="01F87A50" w14:textId="17CE49E2" w:rsidR="007357F3" w:rsidRDefault="007357F3" w:rsidP="00AF7EB6">
            <w:pPr>
              <w:widowControl w:val="0"/>
              <w:suppressAutoHyphens w:val="0"/>
              <w:ind w:hanging="17"/>
              <w:jc w:val="left"/>
              <w:rPr>
                <w:sz w:val="28"/>
                <w:szCs w:val="28"/>
                <w:lang w:eastAsia="ar-SA"/>
              </w:rPr>
            </w:pPr>
            <w:r>
              <w:rPr>
                <w:sz w:val="28"/>
                <w:szCs w:val="28"/>
                <w:lang w:eastAsia="ar-SA"/>
              </w:rPr>
              <w:t>численность безработных, зарегистрированных в службе занятости населения</w:t>
            </w:r>
          </w:p>
        </w:tc>
        <w:tc>
          <w:tcPr>
            <w:tcW w:w="1559" w:type="dxa"/>
            <w:tcBorders>
              <w:top w:val="single" w:sz="4" w:space="0" w:color="000000"/>
              <w:left w:val="single" w:sz="4" w:space="0" w:color="000000"/>
              <w:bottom w:val="single" w:sz="4" w:space="0" w:color="000000"/>
            </w:tcBorders>
          </w:tcPr>
          <w:p w14:paraId="3478F4E7" w14:textId="1A73F66F" w:rsidR="007357F3" w:rsidRPr="007357F3" w:rsidRDefault="007357F3" w:rsidP="00AF7EB6">
            <w:pPr>
              <w:widowControl w:val="0"/>
              <w:suppressAutoHyphens w:val="0"/>
              <w:ind w:hanging="17"/>
              <w:jc w:val="center"/>
              <w:rPr>
                <w:sz w:val="28"/>
                <w:szCs w:val="28"/>
                <w:lang w:eastAsia="ar-SA"/>
              </w:rPr>
            </w:pPr>
            <w:r w:rsidRPr="008222AB">
              <w:rPr>
                <w:sz w:val="28"/>
                <w:szCs w:val="28"/>
                <w:lang w:eastAsia="ar-SA"/>
              </w:rPr>
              <w:t>тыс. человек</w:t>
            </w:r>
          </w:p>
        </w:tc>
        <w:tc>
          <w:tcPr>
            <w:tcW w:w="1418" w:type="dxa"/>
            <w:tcBorders>
              <w:top w:val="single" w:sz="4" w:space="0" w:color="000000"/>
              <w:left w:val="single" w:sz="4" w:space="0" w:color="000000"/>
              <w:bottom w:val="single" w:sz="4" w:space="0" w:color="000000"/>
            </w:tcBorders>
            <w:vAlign w:val="bottom"/>
          </w:tcPr>
          <w:p w14:paraId="1F581159" w14:textId="79A06E25" w:rsidR="007357F3" w:rsidRDefault="00406981" w:rsidP="00AF7EB6">
            <w:pPr>
              <w:widowControl w:val="0"/>
              <w:suppressAutoHyphens w:val="0"/>
              <w:ind w:firstLine="0"/>
              <w:jc w:val="center"/>
              <w:rPr>
                <w:sz w:val="28"/>
                <w:szCs w:val="28"/>
                <w:lang w:eastAsia="ar-SA"/>
              </w:rPr>
            </w:pPr>
            <w:r>
              <w:rPr>
                <w:sz w:val="28"/>
                <w:szCs w:val="28"/>
                <w:lang w:eastAsia="ar-SA"/>
              </w:rPr>
              <w:t>17,6</w:t>
            </w:r>
          </w:p>
        </w:tc>
        <w:tc>
          <w:tcPr>
            <w:tcW w:w="1276" w:type="dxa"/>
            <w:tcBorders>
              <w:top w:val="single" w:sz="4" w:space="0" w:color="000000"/>
              <w:left w:val="single" w:sz="4" w:space="0" w:color="000000"/>
              <w:bottom w:val="single" w:sz="4" w:space="0" w:color="000000"/>
            </w:tcBorders>
            <w:vAlign w:val="bottom"/>
          </w:tcPr>
          <w:p w14:paraId="109E3C22" w14:textId="1B0DD8A0" w:rsidR="007357F3" w:rsidRDefault="00406981" w:rsidP="00AF7EB6">
            <w:pPr>
              <w:widowControl w:val="0"/>
              <w:suppressAutoHyphens w:val="0"/>
              <w:ind w:firstLine="0"/>
              <w:jc w:val="center"/>
              <w:rPr>
                <w:sz w:val="28"/>
                <w:szCs w:val="28"/>
                <w:lang w:eastAsia="ar-SA"/>
              </w:rPr>
            </w:pPr>
            <w:r>
              <w:rPr>
                <w:sz w:val="28"/>
                <w:szCs w:val="28"/>
                <w:lang w:eastAsia="ar-SA"/>
              </w:rPr>
              <w:t>15,2</w:t>
            </w:r>
          </w:p>
        </w:tc>
        <w:tc>
          <w:tcPr>
            <w:tcW w:w="1417" w:type="dxa"/>
            <w:tcBorders>
              <w:top w:val="single" w:sz="4" w:space="0" w:color="000000"/>
              <w:left w:val="single" w:sz="4" w:space="0" w:color="000000"/>
              <w:bottom w:val="single" w:sz="4" w:space="0" w:color="000000"/>
              <w:right w:val="single" w:sz="4" w:space="0" w:color="000000"/>
            </w:tcBorders>
            <w:vAlign w:val="bottom"/>
          </w:tcPr>
          <w:p w14:paraId="21758BB1" w14:textId="2276D022" w:rsidR="007357F3" w:rsidRDefault="00406981" w:rsidP="00AF7EB6">
            <w:pPr>
              <w:widowControl w:val="0"/>
              <w:suppressAutoHyphens w:val="0"/>
              <w:ind w:firstLine="0"/>
              <w:jc w:val="center"/>
              <w:rPr>
                <w:sz w:val="28"/>
                <w:szCs w:val="28"/>
                <w:lang w:eastAsia="ar-SA"/>
              </w:rPr>
            </w:pPr>
            <w:r>
              <w:rPr>
                <w:sz w:val="28"/>
                <w:szCs w:val="28"/>
                <w:lang w:eastAsia="ar-SA"/>
              </w:rPr>
              <w:t>6,9</w:t>
            </w:r>
          </w:p>
        </w:tc>
      </w:tr>
      <w:tr w:rsidR="00AF7EB6" w:rsidRPr="00AF7EB6" w14:paraId="51782C79" w14:textId="77777777" w:rsidTr="009278E9">
        <w:trPr>
          <w:trHeight w:val="311"/>
        </w:trPr>
        <w:tc>
          <w:tcPr>
            <w:tcW w:w="4061" w:type="dxa"/>
            <w:tcBorders>
              <w:top w:val="single" w:sz="4" w:space="0" w:color="000000"/>
              <w:left w:val="single" w:sz="4" w:space="0" w:color="000000"/>
              <w:bottom w:val="single" w:sz="4" w:space="0" w:color="000000"/>
            </w:tcBorders>
          </w:tcPr>
          <w:p w14:paraId="52A9051C" w14:textId="40D4A961" w:rsidR="00AF7EB6" w:rsidRPr="007357F3" w:rsidRDefault="00AF7EB6" w:rsidP="00AF7EB6">
            <w:pPr>
              <w:widowControl w:val="0"/>
              <w:suppressAutoHyphens w:val="0"/>
              <w:ind w:hanging="17"/>
              <w:jc w:val="left"/>
              <w:rPr>
                <w:sz w:val="28"/>
                <w:szCs w:val="28"/>
                <w:lang w:eastAsia="ar-SA"/>
              </w:rPr>
            </w:pPr>
            <w:r>
              <w:rPr>
                <w:sz w:val="28"/>
                <w:szCs w:val="28"/>
                <w:lang w:eastAsia="ar-SA"/>
              </w:rPr>
              <w:t>прочие категории лиц в трудоспособном возрасте, не занятые трудовой деятельностью и учебой</w:t>
            </w:r>
          </w:p>
        </w:tc>
        <w:tc>
          <w:tcPr>
            <w:tcW w:w="1559" w:type="dxa"/>
            <w:tcBorders>
              <w:top w:val="single" w:sz="4" w:space="0" w:color="000000"/>
              <w:left w:val="single" w:sz="4" w:space="0" w:color="000000"/>
              <w:bottom w:val="single" w:sz="4" w:space="0" w:color="000000"/>
            </w:tcBorders>
          </w:tcPr>
          <w:p w14:paraId="3935E567" w14:textId="6DC1CD33" w:rsidR="00AF7EB6" w:rsidRPr="007357F3" w:rsidRDefault="00AF7EB6" w:rsidP="00AF7EB6">
            <w:pPr>
              <w:widowControl w:val="0"/>
              <w:suppressAutoHyphens w:val="0"/>
              <w:ind w:hanging="17"/>
              <w:jc w:val="center"/>
              <w:rPr>
                <w:sz w:val="28"/>
                <w:szCs w:val="28"/>
                <w:lang w:eastAsia="ar-SA"/>
              </w:rPr>
            </w:pPr>
            <w:r w:rsidRPr="008222AB">
              <w:rPr>
                <w:sz w:val="28"/>
                <w:szCs w:val="28"/>
                <w:lang w:eastAsia="ar-SA"/>
              </w:rPr>
              <w:t>тыс. человек</w:t>
            </w:r>
          </w:p>
        </w:tc>
        <w:tc>
          <w:tcPr>
            <w:tcW w:w="1418" w:type="dxa"/>
            <w:tcBorders>
              <w:top w:val="single" w:sz="4" w:space="0" w:color="000000"/>
              <w:left w:val="single" w:sz="4" w:space="0" w:color="000000"/>
              <w:bottom w:val="single" w:sz="4" w:space="0" w:color="000000"/>
            </w:tcBorders>
            <w:vAlign w:val="bottom"/>
          </w:tcPr>
          <w:p w14:paraId="63AE7F46" w14:textId="43C788D3" w:rsidR="00AF7EB6" w:rsidRPr="007357F3" w:rsidRDefault="00AF7EB6" w:rsidP="00AF7EB6">
            <w:pPr>
              <w:widowControl w:val="0"/>
              <w:suppressAutoHyphens w:val="0"/>
              <w:ind w:firstLine="0"/>
              <w:jc w:val="center"/>
              <w:rPr>
                <w:sz w:val="28"/>
                <w:szCs w:val="28"/>
                <w:lang w:eastAsia="ar-SA"/>
              </w:rPr>
            </w:pPr>
            <w:r>
              <w:rPr>
                <w:sz w:val="28"/>
                <w:szCs w:val="28"/>
                <w:lang w:eastAsia="ar-SA"/>
              </w:rPr>
              <w:t>-</w:t>
            </w:r>
            <w:r w:rsidRPr="00AF7EB6">
              <w:rPr>
                <w:sz w:val="28"/>
                <w:szCs w:val="28"/>
                <w:vertAlign w:val="superscript"/>
                <w:lang w:eastAsia="ar-SA"/>
              </w:rPr>
              <w:t>1</w:t>
            </w:r>
          </w:p>
        </w:tc>
        <w:tc>
          <w:tcPr>
            <w:tcW w:w="1276" w:type="dxa"/>
            <w:tcBorders>
              <w:top w:val="single" w:sz="4" w:space="0" w:color="000000"/>
              <w:left w:val="single" w:sz="4" w:space="0" w:color="000000"/>
              <w:bottom w:val="single" w:sz="4" w:space="0" w:color="000000"/>
            </w:tcBorders>
            <w:vAlign w:val="bottom"/>
          </w:tcPr>
          <w:p w14:paraId="38559EFC" w14:textId="14EF3F04" w:rsidR="00AF7EB6" w:rsidRPr="007357F3" w:rsidRDefault="00AF7EB6" w:rsidP="00AF7EB6">
            <w:pPr>
              <w:widowControl w:val="0"/>
              <w:suppressAutoHyphens w:val="0"/>
              <w:ind w:firstLine="0"/>
              <w:jc w:val="center"/>
              <w:rPr>
                <w:sz w:val="28"/>
                <w:szCs w:val="28"/>
                <w:lang w:eastAsia="ar-SA"/>
              </w:rPr>
            </w:pPr>
            <w:r>
              <w:rPr>
                <w:sz w:val="28"/>
                <w:szCs w:val="28"/>
                <w:lang w:eastAsia="ar-SA"/>
              </w:rPr>
              <w:t>-</w:t>
            </w:r>
            <w:r w:rsidRPr="00AF7EB6">
              <w:rPr>
                <w:sz w:val="28"/>
                <w:szCs w:val="28"/>
                <w:vertAlign w:val="superscript"/>
                <w:lang w:eastAsia="ar-SA"/>
              </w:rPr>
              <w:t>1</w:t>
            </w:r>
          </w:p>
        </w:tc>
        <w:tc>
          <w:tcPr>
            <w:tcW w:w="1417" w:type="dxa"/>
            <w:tcBorders>
              <w:top w:val="single" w:sz="4" w:space="0" w:color="000000"/>
              <w:left w:val="single" w:sz="4" w:space="0" w:color="000000"/>
              <w:bottom w:val="single" w:sz="4" w:space="0" w:color="000000"/>
              <w:right w:val="single" w:sz="4" w:space="0" w:color="000000"/>
            </w:tcBorders>
            <w:vAlign w:val="bottom"/>
          </w:tcPr>
          <w:p w14:paraId="47C0FB5E" w14:textId="648AA1A9" w:rsidR="00AF7EB6" w:rsidRPr="007357F3" w:rsidRDefault="00AF7EB6" w:rsidP="00AF7EB6">
            <w:pPr>
              <w:widowControl w:val="0"/>
              <w:suppressAutoHyphens w:val="0"/>
              <w:ind w:firstLine="0"/>
              <w:jc w:val="center"/>
              <w:rPr>
                <w:sz w:val="28"/>
                <w:szCs w:val="28"/>
                <w:lang w:eastAsia="ar-SA"/>
              </w:rPr>
            </w:pPr>
            <w:r>
              <w:rPr>
                <w:sz w:val="28"/>
                <w:szCs w:val="28"/>
                <w:lang w:eastAsia="ar-SA"/>
              </w:rPr>
              <w:t>48,0</w:t>
            </w:r>
          </w:p>
        </w:tc>
      </w:tr>
      <w:tr w:rsidR="00406981" w:rsidRPr="00AF7EB6" w14:paraId="79C69A9F" w14:textId="77777777" w:rsidTr="00AC7FC1">
        <w:tc>
          <w:tcPr>
            <w:tcW w:w="4061" w:type="dxa"/>
            <w:tcBorders>
              <w:top w:val="single" w:sz="4" w:space="0" w:color="000000"/>
              <w:left w:val="single" w:sz="4" w:space="0" w:color="000000"/>
              <w:bottom w:val="single" w:sz="4" w:space="0" w:color="000000"/>
            </w:tcBorders>
          </w:tcPr>
          <w:p w14:paraId="0D1D86A5" w14:textId="77777777" w:rsidR="00406981" w:rsidRDefault="00406981" w:rsidP="00AF7EB6">
            <w:pPr>
              <w:widowControl w:val="0"/>
              <w:suppressAutoHyphens w:val="0"/>
              <w:ind w:hanging="17"/>
              <w:jc w:val="left"/>
              <w:rPr>
                <w:sz w:val="28"/>
                <w:szCs w:val="28"/>
                <w:lang w:eastAsia="ar-SA"/>
              </w:rPr>
            </w:pPr>
            <w:r w:rsidRPr="007357F3">
              <w:rPr>
                <w:sz w:val="28"/>
                <w:szCs w:val="28"/>
                <w:lang w:eastAsia="ar-SA"/>
              </w:rPr>
              <w:t>Уровень официальной безработицы относительно населения в трудоспособном возрасте (среднегодовой)</w:t>
            </w:r>
          </w:p>
          <w:p w14:paraId="0A4F0A4F" w14:textId="52107182" w:rsidR="00282B08" w:rsidRPr="007357F3" w:rsidRDefault="00282B08" w:rsidP="00AF7EB6">
            <w:pPr>
              <w:widowControl w:val="0"/>
              <w:suppressAutoHyphens w:val="0"/>
              <w:ind w:hanging="17"/>
              <w:jc w:val="left"/>
              <w:rPr>
                <w:sz w:val="28"/>
                <w:szCs w:val="28"/>
                <w:lang w:eastAsia="ar-SA"/>
              </w:rPr>
            </w:pPr>
          </w:p>
        </w:tc>
        <w:tc>
          <w:tcPr>
            <w:tcW w:w="1559" w:type="dxa"/>
            <w:tcBorders>
              <w:top w:val="single" w:sz="4" w:space="0" w:color="000000"/>
              <w:left w:val="single" w:sz="4" w:space="0" w:color="000000"/>
              <w:bottom w:val="single" w:sz="4" w:space="0" w:color="000000"/>
            </w:tcBorders>
            <w:vAlign w:val="bottom"/>
          </w:tcPr>
          <w:p w14:paraId="154B1ED7" w14:textId="77777777" w:rsidR="00406981" w:rsidRPr="007357F3" w:rsidRDefault="00406981" w:rsidP="00AF7EB6">
            <w:pPr>
              <w:widowControl w:val="0"/>
              <w:suppressAutoHyphens w:val="0"/>
              <w:ind w:hanging="17"/>
              <w:jc w:val="center"/>
              <w:rPr>
                <w:sz w:val="28"/>
                <w:szCs w:val="28"/>
                <w:lang w:eastAsia="ar-SA"/>
              </w:rPr>
            </w:pPr>
            <w:r w:rsidRPr="007357F3">
              <w:rPr>
                <w:sz w:val="28"/>
                <w:szCs w:val="28"/>
                <w:lang w:eastAsia="ar-SA"/>
              </w:rPr>
              <w:t>%</w:t>
            </w:r>
          </w:p>
        </w:tc>
        <w:tc>
          <w:tcPr>
            <w:tcW w:w="1418" w:type="dxa"/>
            <w:tcBorders>
              <w:top w:val="single" w:sz="4" w:space="0" w:color="000000"/>
              <w:left w:val="single" w:sz="4" w:space="0" w:color="000000"/>
              <w:bottom w:val="single" w:sz="4" w:space="0" w:color="000000"/>
            </w:tcBorders>
            <w:vAlign w:val="bottom"/>
          </w:tcPr>
          <w:p w14:paraId="7DEAE309" w14:textId="1CEF3724" w:rsidR="00406981" w:rsidRPr="007357F3" w:rsidRDefault="00406981" w:rsidP="00AF7EB6">
            <w:pPr>
              <w:widowControl w:val="0"/>
              <w:suppressAutoHyphens w:val="0"/>
              <w:ind w:firstLine="0"/>
              <w:jc w:val="center"/>
              <w:rPr>
                <w:sz w:val="28"/>
                <w:szCs w:val="28"/>
                <w:lang w:eastAsia="ar-SA"/>
              </w:rPr>
            </w:pPr>
            <w:r>
              <w:rPr>
                <w:sz w:val="28"/>
                <w:szCs w:val="28"/>
                <w:lang w:eastAsia="ar-SA"/>
              </w:rPr>
              <w:t>4,44</w:t>
            </w:r>
          </w:p>
        </w:tc>
        <w:tc>
          <w:tcPr>
            <w:tcW w:w="1276" w:type="dxa"/>
            <w:tcBorders>
              <w:top w:val="single" w:sz="4" w:space="0" w:color="000000"/>
              <w:left w:val="single" w:sz="4" w:space="0" w:color="000000"/>
              <w:bottom w:val="single" w:sz="4" w:space="0" w:color="000000"/>
            </w:tcBorders>
            <w:vAlign w:val="bottom"/>
          </w:tcPr>
          <w:p w14:paraId="3714D4AB" w14:textId="5070C0A8" w:rsidR="00406981" w:rsidRPr="007357F3" w:rsidRDefault="00406981" w:rsidP="00AF7EB6">
            <w:pPr>
              <w:widowControl w:val="0"/>
              <w:suppressAutoHyphens w:val="0"/>
              <w:ind w:firstLine="0"/>
              <w:jc w:val="center"/>
              <w:rPr>
                <w:sz w:val="28"/>
                <w:szCs w:val="28"/>
                <w:lang w:eastAsia="ar-SA"/>
              </w:rPr>
            </w:pPr>
            <w:r>
              <w:rPr>
                <w:sz w:val="28"/>
                <w:szCs w:val="28"/>
                <w:lang w:eastAsia="ar-SA"/>
              </w:rPr>
              <w:t>3,82</w:t>
            </w:r>
          </w:p>
        </w:tc>
        <w:tc>
          <w:tcPr>
            <w:tcW w:w="1417" w:type="dxa"/>
            <w:tcBorders>
              <w:top w:val="single" w:sz="4" w:space="0" w:color="000000"/>
              <w:left w:val="single" w:sz="4" w:space="0" w:color="000000"/>
              <w:bottom w:val="single" w:sz="4" w:space="0" w:color="000000"/>
              <w:right w:val="single" w:sz="4" w:space="0" w:color="000000"/>
            </w:tcBorders>
            <w:vAlign w:val="bottom"/>
          </w:tcPr>
          <w:p w14:paraId="352F7C76" w14:textId="504C5897" w:rsidR="00406981" w:rsidRPr="007357F3" w:rsidRDefault="00406981" w:rsidP="00AF7EB6">
            <w:pPr>
              <w:widowControl w:val="0"/>
              <w:suppressAutoHyphens w:val="0"/>
              <w:ind w:firstLine="0"/>
              <w:jc w:val="center"/>
              <w:rPr>
                <w:sz w:val="28"/>
                <w:szCs w:val="28"/>
                <w:lang w:eastAsia="ar-SA"/>
              </w:rPr>
            </w:pPr>
            <w:r>
              <w:rPr>
                <w:sz w:val="28"/>
                <w:szCs w:val="28"/>
                <w:lang w:eastAsia="ar-SA"/>
              </w:rPr>
              <w:t>1,73</w:t>
            </w:r>
          </w:p>
        </w:tc>
      </w:tr>
      <w:tr w:rsidR="00AF7EB6" w:rsidRPr="00AF7EB6" w14:paraId="110C3EB7" w14:textId="77777777" w:rsidTr="00AC7FC1">
        <w:tc>
          <w:tcPr>
            <w:tcW w:w="4061" w:type="dxa"/>
            <w:tcBorders>
              <w:top w:val="single" w:sz="4" w:space="0" w:color="000000"/>
              <w:left w:val="single" w:sz="4" w:space="0" w:color="000000"/>
              <w:bottom w:val="single" w:sz="4" w:space="0" w:color="000000"/>
            </w:tcBorders>
          </w:tcPr>
          <w:p w14:paraId="61C3DAE3" w14:textId="13DA0BF1" w:rsidR="00AF7EB6" w:rsidRPr="007357F3" w:rsidRDefault="00AF7EB6" w:rsidP="00AF7EB6">
            <w:pPr>
              <w:widowControl w:val="0"/>
              <w:suppressAutoHyphens w:val="0"/>
              <w:ind w:hanging="17"/>
              <w:jc w:val="left"/>
              <w:rPr>
                <w:sz w:val="28"/>
                <w:szCs w:val="28"/>
                <w:lang w:eastAsia="ar-SA"/>
              </w:rPr>
            </w:pPr>
            <w:r>
              <w:rPr>
                <w:sz w:val="28"/>
                <w:szCs w:val="28"/>
                <w:lang w:eastAsia="ar-SA"/>
              </w:rPr>
              <w:lastRenderedPageBreak/>
              <w:t>Среднесписочная численность работников организаций, не относящихся к субъектам малого предпринимательства (без внешних совместителей)</w:t>
            </w:r>
          </w:p>
        </w:tc>
        <w:tc>
          <w:tcPr>
            <w:tcW w:w="1559" w:type="dxa"/>
            <w:tcBorders>
              <w:top w:val="single" w:sz="4" w:space="0" w:color="000000"/>
              <w:left w:val="single" w:sz="4" w:space="0" w:color="000000"/>
              <w:bottom w:val="single" w:sz="4" w:space="0" w:color="000000"/>
            </w:tcBorders>
            <w:vAlign w:val="bottom"/>
          </w:tcPr>
          <w:p w14:paraId="31B1237D" w14:textId="6E351457" w:rsidR="00AF7EB6" w:rsidRPr="007357F3" w:rsidRDefault="00AF7EB6" w:rsidP="00AF7EB6">
            <w:pPr>
              <w:widowControl w:val="0"/>
              <w:suppressAutoHyphens w:val="0"/>
              <w:ind w:hanging="17"/>
              <w:jc w:val="center"/>
              <w:rPr>
                <w:sz w:val="28"/>
                <w:szCs w:val="28"/>
                <w:lang w:eastAsia="ar-SA"/>
              </w:rPr>
            </w:pPr>
            <w:r w:rsidRPr="008222AB">
              <w:rPr>
                <w:sz w:val="28"/>
                <w:szCs w:val="28"/>
                <w:lang w:eastAsia="ar-SA"/>
              </w:rPr>
              <w:t>тыс. человек</w:t>
            </w:r>
          </w:p>
        </w:tc>
        <w:tc>
          <w:tcPr>
            <w:tcW w:w="1418" w:type="dxa"/>
            <w:tcBorders>
              <w:top w:val="single" w:sz="4" w:space="0" w:color="000000"/>
              <w:left w:val="single" w:sz="4" w:space="0" w:color="000000"/>
              <w:bottom w:val="single" w:sz="4" w:space="0" w:color="000000"/>
            </w:tcBorders>
            <w:vAlign w:val="bottom"/>
          </w:tcPr>
          <w:p w14:paraId="73AB30E6" w14:textId="439F1ADB" w:rsidR="00AF7EB6" w:rsidRPr="007357F3" w:rsidRDefault="00AF7EB6" w:rsidP="00AF7EB6">
            <w:pPr>
              <w:widowControl w:val="0"/>
              <w:suppressAutoHyphens w:val="0"/>
              <w:ind w:firstLine="0"/>
              <w:jc w:val="center"/>
              <w:rPr>
                <w:sz w:val="28"/>
                <w:szCs w:val="28"/>
                <w:lang w:eastAsia="ar-SA"/>
              </w:rPr>
            </w:pPr>
            <w:r>
              <w:rPr>
                <w:sz w:val="28"/>
                <w:szCs w:val="28"/>
                <w:lang w:eastAsia="ar-SA"/>
              </w:rPr>
              <w:t>-</w:t>
            </w:r>
            <w:r w:rsidRPr="00AF7EB6">
              <w:rPr>
                <w:sz w:val="28"/>
                <w:szCs w:val="28"/>
                <w:vertAlign w:val="superscript"/>
                <w:lang w:eastAsia="ar-SA"/>
              </w:rPr>
              <w:t>1</w:t>
            </w:r>
          </w:p>
        </w:tc>
        <w:tc>
          <w:tcPr>
            <w:tcW w:w="1276" w:type="dxa"/>
            <w:tcBorders>
              <w:top w:val="single" w:sz="4" w:space="0" w:color="000000"/>
              <w:left w:val="single" w:sz="4" w:space="0" w:color="000000"/>
              <w:bottom w:val="single" w:sz="4" w:space="0" w:color="000000"/>
            </w:tcBorders>
            <w:vAlign w:val="bottom"/>
          </w:tcPr>
          <w:p w14:paraId="097FD421" w14:textId="35720C64" w:rsidR="00AF7EB6" w:rsidRPr="007357F3" w:rsidRDefault="00AF7EB6" w:rsidP="00AF7EB6">
            <w:pPr>
              <w:widowControl w:val="0"/>
              <w:suppressAutoHyphens w:val="0"/>
              <w:ind w:firstLine="0"/>
              <w:jc w:val="center"/>
              <w:rPr>
                <w:sz w:val="28"/>
                <w:szCs w:val="28"/>
                <w:lang w:eastAsia="ar-SA"/>
              </w:rPr>
            </w:pPr>
            <w:r>
              <w:rPr>
                <w:sz w:val="28"/>
                <w:szCs w:val="28"/>
                <w:lang w:eastAsia="ar-SA"/>
              </w:rPr>
              <w:t>-</w:t>
            </w:r>
            <w:r w:rsidRPr="00AF7EB6">
              <w:rPr>
                <w:sz w:val="28"/>
                <w:szCs w:val="28"/>
                <w:vertAlign w:val="superscript"/>
                <w:lang w:eastAsia="ar-SA"/>
              </w:rPr>
              <w:t>1</w:t>
            </w:r>
          </w:p>
        </w:tc>
        <w:tc>
          <w:tcPr>
            <w:tcW w:w="1417" w:type="dxa"/>
            <w:tcBorders>
              <w:top w:val="single" w:sz="4" w:space="0" w:color="000000"/>
              <w:left w:val="single" w:sz="4" w:space="0" w:color="000000"/>
              <w:bottom w:val="single" w:sz="4" w:space="0" w:color="000000"/>
              <w:right w:val="single" w:sz="4" w:space="0" w:color="000000"/>
            </w:tcBorders>
            <w:vAlign w:val="bottom"/>
          </w:tcPr>
          <w:p w14:paraId="07F9B11C" w14:textId="6B18ADF5" w:rsidR="00AF7EB6" w:rsidRDefault="00AF7EB6" w:rsidP="00AF7EB6">
            <w:pPr>
              <w:widowControl w:val="0"/>
              <w:suppressAutoHyphens w:val="0"/>
              <w:ind w:firstLine="0"/>
              <w:jc w:val="center"/>
              <w:rPr>
                <w:sz w:val="28"/>
                <w:szCs w:val="28"/>
                <w:lang w:eastAsia="ar-SA"/>
              </w:rPr>
            </w:pPr>
            <w:r>
              <w:rPr>
                <w:sz w:val="28"/>
                <w:szCs w:val="28"/>
                <w:lang w:eastAsia="ar-SA"/>
              </w:rPr>
              <w:t>150,5</w:t>
            </w:r>
          </w:p>
        </w:tc>
      </w:tr>
    </w:tbl>
    <w:p w14:paraId="0D00EA81" w14:textId="10C9F1E2" w:rsidR="00406981" w:rsidRPr="00762A53" w:rsidRDefault="000105F2" w:rsidP="00AF7EB6">
      <w:pPr>
        <w:widowControl w:val="0"/>
        <w:suppressAutoHyphens w:val="0"/>
        <w:spacing w:line="276" w:lineRule="auto"/>
        <w:rPr>
          <w:sz w:val="22"/>
          <w:szCs w:val="22"/>
          <w:lang w:eastAsia="ar-SA"/>
        </w:rPr>
      </w:pPr>
      <w:r w:rsidRPr="00762A53">
        <w:rPr>
          <w:sz w:val="22"/>
          <w:szCs w:val="22"/>
          <w:vertAlign w:val="superscript"/>
          <w:lang w:eastAsia="ar-SA"/>
        </w:rPr>
        <w:t>1</w:t>
      </w:r>
      <w:r w:rsidR="00406981" w:rsidRPr="00762A53">
        <w:rPr>
          <w:sz w:val="22"/>
          <w:szCs w:val="22"/>
          <w:lang w:eastAsia="ar-SA"/>
        </w:rPr>
        <w:t xml:space="preserve">- </w:t>
      </w:r>
      <w:r w:rsidR="009057BA">
        <w:rPr>
          <w:sz w:val="22"/>
          <w:szCs w:val="22"/>
          <w:lang w:eastAsia="ar-SA"/>
        </w:rPr>
        <w:t>включено</w:t>
      </w:r>
      <w:r w:rsidR="00406981" w:rsidRPr="00762A53">
        <w:rPr>
          <w:sz w:val="22"/>
          <w:szCs w:val="22"/>
          <w:lang w:eastAsia="ar-SA"/>
        </w:rPr>
        <w:t xml:space="preserve"> в соответствии с постановлением администрации городского округа Тольятти от 19.08.2021 № 2847-п/1 «О внесении изменений в постановление мэрии городского округа Тольятти от 24.08.2015 № 2742-п/1 «Об утверждении Порядка разработки прогноза социально-экономического развития городского округа Тольятти на очередной финансовый год и на плановый период».</w:t>
      </w:r>
    </w:p>
    <w:p w14:paraId="2DCAEDA9" w14:textId="77777777" w:rsidR="00385123" w:rsidRDefault="00385123" w:rsidP="00AF7EB6">
      <w:pPr>
        <w:widowControl w:val="0"/>
        <w:suppressAutoHyphens w:val="0"/>
        <w:spacing w:line="276" w:lineRule="auto"/>
        <w:rPr>
          <w:sz w:val="28"/>
          <w:szCs w:val="28"/>
          <w:lang w:eastAsia="ar-SA"/>
        </w:rPr>
      </w:pPr>
    </w:p>
    <w:p w14:paraId="325FFCA5" w14:textId="6412516F" w:rsidR="00915495" w:rsidRPr="00C266F7" w:rsidRDefault="00406981" w:rsidP="00AF7EB6">
      <w:pPr>
        <w:widowControl w:val="0"/>
        <w:suppressAutoHyphens w:val="0"/>
        <w:spacing w:line="276" w:lineRule="auto"/>
        <w:rPr>
          <w:sz w:val="28"/>
          <w:szCs w:val="28"/>
          <w:lang w:eastAsia="ar-SA"/>
        </w:rPr>
      </w:pPr>
      <w:r w:rsidRPr="00C266F7">
        <w:rPr>
          <w:sz w:val="28"/>
          <w:szCs w:val="28"/>
          <w:lang w:eastAsia="ar-SA"/>
        </w:rPr>
        <w:t>О</w:t>
      </w:r>
      <w:r w:rsidR="00915495" w:rsidRPr="00C266F7">
        <w:rPr>
          <w:sz w:val="28"/>
          <w:szCs w:val="28"/>
          <w:lang w:eastAsia="ar-SA"/>
        </w:rPr>
        <w:t xml:space="preserve">ценка численности трудовых ресурсов </w:t>
      </w:r>
      <w:r w:rsidRPr="00C266F7">
        <w:rPr>
          <w:sz w:val="28"/>
          <w:szCs w:val="28"/>
          <w:lang w:eastAsia="ar-SA"/>
        </w:rPr>
        <w:t xml:space="preserve">и занятых в экономике граждан </w:t>
      </w:r>
      <w:r w:rsidR="00915495" w:rsidRPr="00C266F7">
        <w:rPr>
          <w:sz w:val="28"/>
          <w:szCs w:val="28"/>
          <w:lang w:eastAsia="ar-SA"/>
        </w:rPr>
        <w:t>на 202</w:t>
      </w:r>
      <w:r w:rsidRPr="00C266F7">
        <w:rPr>
          <w:sz w:val="28"/>
          <w:szCs w:val="28"/>
          <w:lang w:eastAsia="ar-SA"/>
        </w:rPr>
        <w:t>1</w:t>
      </w:r>
      <w:r w:rsidR="00915495" w:rsidRPr="00C266F7">
        <w:rPr>
          <w:sz w:val="28"/>
          <w:szCs w:val="28"/>
          <w:lang w:eastAsia="ar-SA"/>
        </w:rPr>
        <w:t xml:space="preserve"> год </w:t>
      </w:r>
      <w:r w:rsidRPr="00C266F7">
        <w:rPr>
          <w:sz w:val="28"/>
          <w:szCs w:val="28"/>
          <w:lang w:eastAsia="ar-SA"/>
        </w:rPr>
        <w:t>скорректирована незначительно относительно прогнозных данных на 2021 год, рассчитанных в 2020 году</w:t>
      </w:r>
      <w:r w:rsidR="00B12364" w:rsidRPr="00C266F7">
        <w:rPr>
          <w:sz w:val="28"/>
          <w:szCs w:val="28"/>
          <w:lang w:eastAsia="ar-SA"/>
        </w:rPr>
        <w:t xml:space="preserve"> (</w:t>
      </w:r>
      <w:r w:rsidR="00AF7EB6" w:rsidRPr="00C266F7">
        <w:rPr>
          <w:sz w:val="28"/>
          <w:szCs w:val="28"/>
          <w:lang w:eastAsia="ar-SA"/>
        </w:rPr>
        <w:t xml:space="preserve">по трудовым ресурсам </w:t>
      </w:r>
      <w:r w:rsidR="00AF7EB6">
        <w:rPr>
          <w:sz w:val="28"/>
          <w:szCs w:val="28"/>
          <w:lang w:eastAsia="ar-SA"/>
        </w:rPr>
        <w:t xml:space="preserve">- </w:t>
      </w:r>
      <w:r w:rsidR="00B12364" w:rsidRPr="00C266F7">
        <w:rPr>
          <w:sz w:val="28"/>
          <w:szCs w:val="28"/>
          <w:lang w:eastAsia="ar-SA"/>
        </w:rPr>
        <w:t>на 400 человек относительно первого варианта прогноза</w:t>
      </w:r>
      <w:r w:rsidR="00AF7EB6">
        <w:rPr>
          <w:sz w:val="28"/>
          <w:szCs w:val="28"/>
          <w:lang w:eastAsia="ar-SA"/>
        </w:rPr>
        <w:t xml:space="preserve">, </w:t>
      </w:r>
      <w:r w:rsidR="00B12364" w:rsidRPr="00C266F7">
        <w:rPr>
          <w:sz w:val="28"/>
          <w:szCs w:val="28"/>
          <w:lang w:eastAsia="ar-SA"/>
        </w:rPr>
        <w:t xml:space="preserve"> </w:t>
      </w:r>
      <w:r w:rsidR="00EF4863" w:rsidRPr="00C266F7">
        <w:rPr>
          <w:sz w:val="28"/>
          <w:szCs w:val="28"/>
          <w:lang w:eastAsia="ar-SA"/>
        </w:rPr>
        <w:t>по занятым в экономике</w:t>
      </w:r>
      <w:r w:rsidR="00EF4863">
        <w:rPr>
          <w:sz w:val="28"/>
          <w:szCs w:val="28"/>
          <w:lang w:eastAsia="ar-SA"/>
        </w:rPr>
        <w:t xml:space="preserve"> -</w:t>
      </w:r>
      <w:r w:rsidR="00B12364" w:rsidRPr="00C266F7">
        <w:rPr>
          <w:sz w:val="28"/>
          <w:szCs w:val="28"/>
          <w:lang w:eastAsia="ar-SA"/>
        </w:rPr>
        <w:t xml:space="preserve"> на 700 человек относительно второго варианта прогноза)</w:t>
      </w:r>
      <w:r w:rsidRPr="00C266F7">
        <w:rPr>
          <w:sz w:val="28"/>
          <w:szCs w:val="28"/>
          <w:lang w:eastAsia="ar-SA"/>
        </w:rPr>
        <w:t>.</w:t>
      </w:r>
    </w:p>
    <w:p w14:paraId="7DAA29F5" w14:textId="2E5115BD" w:rsidR="00C266F7" w:rsidRDefault="00692E3A" w:rsidP="00AF7EB6">
      <w:pPr>
        <w:widowControl w:val="0"/>
        <w:suppressAutoHyphens w:val="0"/>
        <w:spacing w:line="276" w:lineRule="auto"/>
        <w:rPr>
          <w:sz w:val="28"/>
          <w:szCs w:val="28"/>
          <w:lang w:eastAsia="ar-SA"/>
        </w:rPr>
      </w:pPr>
      <w:r w:rsidRPr="00C266F7">
        <w:rPr>
          <w:sz w:val="28"/>
          <w:szCs w:val="28"/>
          <w:lang w:eastAsia="ar-SA"/>
        </w:rPr>
        <w:t>Оценочные значения п</w:t>
      </w:r>
      <w:r w:rsidR="00406981" w:rsidRPr="00C266F7">
        <w:rPr>
          <w:sz w:val="28"/>
          <w:szCs w:val="28"/>
          <w:lang w:eastAsia="ar-SA"/>
        </w:rPr>
        <w:t>оказател</w:t>
      </w:r>
      <w:r w:rsidRPr="00C266F7">
        <w:rPr>
          <w:sz w:val="28"/>
          <w:szCs w:val="28"/>
          <w:lang w:eastAsia="ar-SA"/>
        </w:rPr>
        <w:t>ей</w:t>
      </w:r>
      <w:r w:rsidR="00406981" w:rsidRPr="00C266F7">
        <w:rPr>
          <w:sz w:val="28"/>
          <w:szCs w:val="28"/>
          <w:lang w:eastAsia="ar-SA"/>
        </w:rPr>
        <w:t xml:space="preserve"> </w:t>
      </w:r>
      <w:r w:rsidR="00B12364" w:rsidRPr="00C266F7">
        <w:rPr>
          <w:sz w:val="28"/>
          <w:szCs w:val="28"/>
          <w:lang w:eastAsia="ar-SA"/>
        </w:rPr>
        <w:t>безработицы на 2021 год,</w:t>
      </w:r>
      <w:r w:rsidR="00E72F82" w:rsidRPr="00C266F7">
        <w:rPr>
          <w:sz w:val="28"/>
          <w:szCs w:val="28"/>
          <w:lang w:eastAsia="ar-SA"/>
        </w:rPr>
        <w:t xml:space="preserve"> </w:t>
      </w:r>
      <w:r w:rsidR="00B12364" w:rsidRPr="00C266F7">
        <w:rPr>
          <w:sz w:val="28"/>
          <w:szCs w:val="28"/>
          <w:lang w:eastAsia="ar-SA"/>
        </w:rPr>
        <w:t xml:space="preserve">напротив, существенно снижены Центром занятости </w:t>
      </w:r>
      <w:r w:rsidR="00EF4863">
        <w:rPr>
          <w:sz w:val="28"/>
          <w:szCs w:val="28"/>
          <w:lang w:eastAsia="ar-SA"/>
        </w:rPr>
        <w:t>на основании сложившихся фактических значений</w:t>
      </w:r>
      <w:r w:rsidR="00E72F82" w:rsidRPr="00C266F7">
        <w:rPr>
          <w:sz w:val="28"/>
          <w:szCs w:val="28"/>
          <w:lang w:eastAsia="ar-SA"/>
        </w:rPr>
        <w:t>.</w:t>
      </w:r>
      <w:r w:rsidRPr="00C266F7">
        <w:rPr>
          <w:sz w:val="28"/>
          <w:szCs w:val="28"/>
          <w:lang w:eastAsia="ar-SA"/>
        </w:rPr>
        <w:t xml:space="preserve"> </w:t>
      </w:r>
    </w:p>
    <w:p w14:paraId="5EFE1743" w14:textId="7A171069" w:rsidR="00E72F82" w:rsidRPr="00C266F7" w:rsidRDefault="00692E3A" w:rsidP="00AF7EB6">
      <w:pPr>
        <w:widowControl w:val="0"/>
        <w:suppressAutoHyphens w:val="0"/>
        <w:spacing w:line="276" w:lineRule="auto"/>
        <w:rPr>
          <w:sz w:val="28"/>
          <w:szCs w:val="28"/>
          <w:lang w:eastAsia="ar-SA"/>
        </w:rPr>
      </w:pPr>
      <w:r w:rsidRPr="00C266F7">
        <w:rPr>
          <w:sz w:val="28"/>
          <w:szCs w:val="28"/>
          <w:lang w:eastAsia="ar-SA"/>
        </w:rPr>
        <w:t xml:space="preserve">Так, </w:t>
      </w:r>
      <w:r w:rsidR="007F2A19">
        <w:rPr>
          <w:sz w:val="28"/>
          <w:szCs w:val="28"/>
          <w:lang w:eastAsia="ar-SA"/>
        </w:rPr>
        <w:t>в 2020 году</w:t>
      </w:r>
      <w:r w:rsidRPr="00C266F7">
        <w:rPr>
          <w:sz w:val="28"/>
          <w:szCs w:val="28"/>
          <w:lang w:eastAsia="ar-SA"/>
        </w:rPr>
        <w:t xml:space="preserve"> ожидалось, что количество безработных граждан </w:t>
      </w:r>
      <w:r w:rsidR="007F2A19">
        <w:rPr>
          <w:sz w:val="28"/>
          <w:szCs w:val="28"/>
          <w:lang w:eastAsia="ar-SA"/>
        </w:rPr>
        <w:t>к</w:t>
      </w:r>
      <w:r w:rsidRPr="00C266F7">
        <w:rPr>
          <w:sz w:val="28"/>
          <w:szCs w:val="28"/>
          <w:lang w:eastAsia="ar-SA"/>
        </w:rPr>
        <w:t xml:space="preserve"> конц</w:t>
      </w:r>
      <w:r w:rsidR="007F2A19">
        <w:rPr>
          <w:sz w:val="28"/>
          <w:szCs w:val="28"/>
          <w:lang w:eastAsia="ar-SA"/>
        </w:rPr>
        <w:t>у</w:t>
      </w:r>
      <w:r w:rsidRPr="00C266F7">
        <w:rPr>
          <w:sz w:val="28"/>
          <w:szCs w:val="28"/>
          <w:lang w:eastAsia="ar-SA"/>
        </w:rPr>
        <w:t xml:space="preserve"> 2020 года достигнет 19,5 тыс. человек (по факту сложилось </w:t>
      </w:r>
      <w:r w:rsidR="00C266F7">
        <w:rPr>
          <w:sz w:val="28"/>
          <w:szCs w:val="28"/>
          <w:lang w:eastAsia="ar-SA"/>
        </w:rPr>
        <w:t xml:space="preserve">на уровне </w:t>
      </w:r>
      <w:r w:rsidRPr="00C266F7">
        <w:rPr>
          <w:sz w:val="28"/>
          <w:szCs w:val="28"/>
          <w:lang w:eastAsia="ar-SA"/>
        </w:rPr>
        <w:t>13,</w:t>
      </w:r>
      <w:r w:rsidR="00C266F7">
        <w:rPr>
          <w:sz w:val="28"/>
          <w:szCs w:val="28"/>
          <w:lang w:eastAsia="ar-SA"/>
        </w:rPr>
        <w:t>5</w:t>
      </w:r>
      <w:r w:rsidRPr="00C266F7">
        <w:rPr>
          <w:sz w:val="28"/>
          <w:szCs w:val="28"/>
          <w:lang w:eastAsia="ar-SA"/>
        </w:rPr>
        <w:t xml:space="preserve"> тыс. человек), а в 2021 году количество безработных граждан </w:t>
      </w:r>
      <w:r w:rsidR="00C266F7">
        <w:rPr>
          <w:sz w:val="28"/>
          <w:szCs w:val="28"/>
          <w:lang w:eastAsia="ar-SA"/>
        </w:rPr>
        <w:t xml:space="preserve">по прогнозу </w:t>
      </w:r>
      <w:r w:rsidRPr="00C266F7">
        <w:rPr>
          <w:sz w:val="28"/>
          <w:szCs w:val="28"/>
          <w:lang w:eastAsia="ar-SA"/>
        </w:rPr>
        <w:t>сократится вдвое</w:t>
      </w:r>
      <w:r w:rsidR="00C266F7">
        <w:rPr>
          <w:sz w:val="28"/>
          <w:szCs w:val="28"/>
          <w:lang w:eastAsia="ar-SA"/>
        </w:rPr>
        <w:t xml:space="preserve"> и</w:t>
      </w:r>
      <w:r w:rsidRPr="00C266F7">
        <w:rPr>
          <w:sz w:val="28"/>
          <w:szCs w:val="28"/>
          <w:lang w:eastAsia="ar-SA"/>
        </w:rPr>
        <w:t xml:space="preserve"> в среднегодовом значении составит 15,2 тыс. человек по базовому варианту и 17,6 тыс. человек по консервативному варианту прогноза</w:t>
      </w:r>
      <w:r w:rsidR="00C266F7">
        <w:rPr>
          <w:sz w:val="28"/>
          <w:szCs w:val="28"/>
          <w:lang w:eastAsia="ar-SA"/>
        </w:rPr>
        <w:t>. Высокий уровень безработицы</w:t>
      </w:r>
      <w:r w:rsidR="00A60327">
        <w:rPr>
          <w:sz w:val="28"/>
          <w:szCs w:val="28"/>
          <w:lang w:eastAsia="ar-SA"/>
        </w:rPr>
        <w:t xml:space="preserve"> прогнозировался</w:t>
      </w:r>
      <w:r w:rsidRPr="00C266F7">
        <w:rPr>
          <w:sz w:val="28"/>
          <w:szCs w:val="28"/>
          <w:lang w:eastAsia="ar-SA"/>
        </w:rPr>
        <w:t xml:space="preserve"> </w:t>
      </w:r>
      <w:r w:rsidR="009057BA">
        <w:rPr>
          <w:sz w:val="28"/>
          <w:szCs w:val="28"/>
          <w:lang w:eastAsia="ar-SA"/>
        </w:rPr>
        <w:t>в условиях</w:t>
      </w:r>
      <w:r w:rsidR="00A60327">
        <w:rPr>
          <w:sz w:val="28"/>
          <w:szCs w:val="28"/>
          <w:lang w:eastAsia="ar-SA"/>
        </w:rPr>
        <w:t xml:space="preserve"> </w:t>
      </w:r>
      <w:r w:rsidR="009057BA">
        <w:rPr>
          <w:sz w:val="28"/>
          <w:szCs w:val="28"/>
          <w:lang w:eastAsia="ar-SA"/>
        </w:rPr>
        <w:t xml:space="preserve">неопределенности в результате </w:t>
      </w:r>
      <w:r w:rsidR="00A60327">
        <w:rPr>
          <w:sz w:val="28"/>
          <w:szCs w:val="28"/>
          <w:lang w:eastAsia="ar-SA"/>
        </w:rPr>
        <w:t xml:space="preserve">влияния негативных факторов, сложившихся из-за пандемии, а также  </w:t>
      </w:r>
      <w:r w:rsidRPr="00C266F7">
        <w:rPr>
          <w:sz w:val="28"/>
          <w:szCs w:val="28"/>
          <w:lang w:eastAsia="ar-SA"/>
        </w:rPr>
        <w:t xml:space="preserve">в связи с </w:t>
      </w:r>
      <w:r w:rsidR="00A60327">
        <w:rPr>
          <w:sz w:val="28"/>
          <w:szCs w:val="28"/>
          <w:lang w:eastAsia="ar-SA"/>
        </w:rPr>
        <w:t xml:space="preserve">ожидаемым </w:t>
      </w:r>
      <w:r w:rsidRPr="00C266F7">
        <w:rPr>
          <w:sz w:val="28"/>
          <w:szCs w:val="28"/>
          <w:lang w:eastAsia="ar-SA"/>
        </w:rPr>
        <w:t>продлением мер социальной поддержки безработных граждан (</w:t>
      </w:r>
      <w:r w:rsidR="00C266F7">
        <w:rPr>
          <w:sz w:val="28"/>
          <w:szCs w:val="28"/>
          <w:lang w:eastAsia="ar-SA"/>
        </w:rPr>
        <w:t>выплата пособия по безработице в максимальном размере)</w:t>
      </w:r>
      <w:r w:rsidRPr="00C266F7">
        <w:rPr>
          <w:sz w:val="28"/>
          <w:szCs w:val="28"/>
          <w:lang w:eastAsia="ar-SA"/>
        </w:rPr>
        <w:t>.</w:t>
      </w:r>
    </w:p>
    <w:p w14:paraId="2F63E61D" w14:textId="2B063D45" w:rsidR="00A50BA4" w:rsidRPr="00815CAB" w:rsidRDefault="00815CAB" w:rsidP="00385123">
      <w:pPr>
        <w:pStyle w:val="3"/>
        <w:spacing w:before="120"/>
        <w:rPr>
          <w:sz w:val="28"/>
          <w:szCs w:val="28"/>
        </w:rPr>
      </w:pPr>
      <w:r w:rsidRPr="00815CAB">
        <w:rPr>
          <w:sz w:val="28"/>
          <w:szCs w:val="28"/>
        </w:rPr>
        <w:t xml:space="preserve">  </w:t>
      </w:r>
      <w:r w:rsidR="00A50BA4" w:rsidRPr="00815CAB">
        <w:rPr>
          <w:sz w:val="28"/>
          <w:szCs w:val="28"/>
        </w:rPr>
        <w:t>Заработная плата</w:t>
      </w:r>
      <w:bookmarkStart w:id="6" w:name="зарплата"/>
      <w:bookmarkEnd w:id="6"/>
    </w:p>
    <w:p w14:paraId="4422DAFD" w14:textId="2138E62B" w:rsidR="004330E4" w:rsidRDefault="004330E4" w:rsidP="00385123">
      <w:pPr>
        <w:suppressAutoHyphens w:val="0"/>
        <w:spacing w:before="120" w:line="276" w:lineRule="auto"/>
        <w:rPr>
          <w:sz w:val="28"/>
          <w:szCs w:val="28"/>
          <w:lang w:eastAsia="ar-SA"/>
        </w:rPr>
      </w:pPr>
      <w:r w:rsidRPr="004330E4">
        <w:rPr>
          <w:sz w:val="28"/>
          <w:szCs w:val="28"/>
          <w:lang w:eastAsia="ar-SA"/>
        </w:rPr>
        <w:t>В соответствии с законодательством Российской Федерации расчет показателя «Доходы населения» и большинства его составляющих осуществляется Федеральной службой государственной статистики (Росстат</w:t>
      </w:r>
      <w:r>
        <w:rPr>
          <w:sz w:val="28"/>
          <w:szCs w:val="28"/>
          <w:lang w:eastAsia="ar-SA"/>
        </w:rPr>
        <w:t xml:space="preserve">, </w:t>
      </w:r>
      <w:proofErr w:type="spellStart"/>
      <w:r>
        <w:rPr>
          <w:sz w:val="28"/>
          <w:szCs w:val="28"/>
          <w:lang w:eastAsia="ar-SA"/>
        </w:rPr>
        <w:t>Самарастат</w:t>
      </w:r>
      <w:proofErr w:type="spellEnd"/>
      <w:r w:rsidRPr="004330E4">
        <w:rPr>
          <w:sz w:val="28"/>
          <w:szCs w:val="28"/>
          <w:lang w:eastAsia="ar-SA"/>
        </w:rPr>
        <w:t xml:space="preserve">) в разрезе регионов без разбивки по муниципальным образованиям. </w:t>
      </w:r>
    </w:p>
    <w:p w14:paraId="4FBEC6AF" w14:textId="6BB90D81" w:rsidR="00CC63C2" w:rsidRDefault="00CC63C2" w:rsidP="00EE2394">
      <w:pPr>
        <w:pStyle w:val="af5"/>
        <w:spacing w:line="276" w:lineRule="auto"/>
        <w:ind w:right="-2"/>
        <w:rPr>
          <w:sz w:val="28"/>
          <w:szCs w:val="28"/>
          <w:lang w:eastAsia="ru-RU"/>
        </w:rPr>
      </w:pPr>
      <w:r>
        <w:rPr>
          <w:sz w:val="28"/>
          <w:szCs w:val="28"/>
          <w:lang w:eastAsia="ar-SA"/>
        </w:rPr>
        <w:lastRenderedPageBreak/>
        <w:t xml:space="preserve">По данным </w:t>
      </w:r>
      <w:proofErr w:type="spellStart"/>
      <w:r>
        <w:rPr>
          <w:sz w:val="28"/>
          <w:szCs w:val="28"/>
          <w:lang w:eastAsia="ar-SA"/>
        </w:rPr>
        <w:t>Самарастата</w:t>
      </w:r>
      <w:proofErr w:type="spellEnd"/>
      <w:r>
        <w:rPr>
          <w:sz w:val="28"/>
          <w:szCs w:val="28"/>
          <w:lang w:eastAsia="ar-SA"/>
        </w:rPr>
        <w:t xml:space="preserve">, </w:t>
      </w:r>
      <w:r w:rsidRPr="00CC63C2">
        <w:rPr>
          <w:sz w:val="28"/>
          <w:szCs w:val="28"/>
          <w:lang w:eastAsia="ar-SA"/>
        </w:rPr>
        <w:t>в первом полугодии текущего года объем денежных доходов населения Самарской области сложился в размере 547,7 млрд</w:t>
      </w:r>
      <w:r>
        <w:rPr>
          <w:sz w:val="28"/>
          <w:szCs w:val="28"/>
          <w:lang w:eastAsia="ar-SA"/>
        </w:rPr>
        <w:t>.</w:t>
      </w:r>
      <w:r w:rsidRPr="00CC63C2">
        <w:rPr>
          <w:sz w:val="28"/>
          <w:szCs w:val="28"/>
          <w:lang w:eastAsia="ar-SA"/>
        </w:rPr>
        <w:t xml:space="preserve"> рублей и увеличился на</w:t>
      </w:r>
      <w:r>
        <w:rPr>
          <w:sz w:val="28"/>
          <w:szCs w:val="28"/>
          <w:lang w:eastAsia="ar-SA"/>
        </w:rPr>
        <w:t xml:space="preserve"> 2,2% </w:t>
      </w:r>
      <w:r w:rsidRPr="00CC63C2">
        <w:rPr>
          <w:sz w:val="28"/>
          <w:szCs w:val="28"/>
          <w:lang w:eastAsia="ar-SA"/>
        </w:rPr>
        <w:t>по сравнению с соответствующим периодом 2020 года.</w:t>
      </w:r>
      <w:r>
        <w:rPr>
          <w:sz w:val="28"/>
          <w:szCs w:val="28"/>
          <w:lang w:eastAsia="ar-SA"/>
        </w:rPr>
        <w:t xml:space="preserve"> </w:t>
      </w:r>
      <w:r w:rsidRPr="00EE2394">
        <w:rPr>
          <w:sz w:val="28"/>
          <w:szCs w:val="28"/>
          <w:lang w:eastAsia="ar-SA"/>
        </w:rPr>
        <w:t xml:space="preserve">Среднедушевые денежные доходы населения Самарской области в I полугодии 2021 года составили 28938,3 рублей </w:t>
      </w:r>
      <w:r w:rsidR="00EE2394" w:rsidRPr="00EE2394">
        <w:rPr>
          <w:sz w:val="28"/>
          <w:szCs w:val="28"/>
          <w:lang w:eastAsia="ar-SA"/>
        </w:rPr>
        <w:t xml:space="preserve">(в </w:t>
      </w:r>
      <w:r w:rsidR="00EE2394" w:rsidRPr="00EE2394">
        <w:rPr>
          <w:sz w:val="28"/>
          <w:szCs w:val="28"/>
          <w:lang w:val="en-US" w:eastAsia="ar-SA"/>
        </w:rPr>
        <w:t>I</w:t>
      </w:r>
      <w:r w:rsidR="00EE2394" w:rsidRPr="00EE2394">
        <w:rPr>
          <w:sz w:val="28"/>
          <w:szCs w:val="28"/>
          <w:lang w:eastAsia="ar-SA"/>
        </w:rPr>
        <w:t xml:space="preserve"> полугодии 2020 года - </w:t>
      </w:r>
      <w:r w:rsidR="00EE2394" w:rsidRPr="00EE2394">
        <w:rPr>
          <w:sz w:val="28"/>
          <w:szCs w:val="28"/>
          <w:lang w:eastAsia="ru-RU"/>
        </w:rPr>
        <w:t>28097,0 рублей).</w:t>
      </w:r>
    </w:p>
    <w:p w14:paraId="318691F2" w14:textId="77777777" w:rsidR="00EE2394" w:rsidRPr="00CC63C2" w:rsidRDefault="00EE2394" w:rsidP="00EE2394">
      <w:pPr>
        <w:spacing w:line="276" w:lineRule="auto"/>
        <w:ind w:right="-2"/>
        <w:rPr>
          <w:sz w:val="28"/>
          <w:szCs w:val="28"/>
          <w:lang w:eastAsia="ar-SA"/>
        </w:rPr>
      </w:pPr>
      <w:r w:rsidRPr="00CC63C2">
        <w:rPr>
          <w:sz w:val="28"/>
          <w:szCs w:val="28"/>
          <w:lang w:eastAsia="ar-SA"/>
        </w:rPr>
        <w:t xml:space="preserve">В структуре денежных доходов населения во втором квартале 2021 года по сравнению с соответствующим периодом 2020 года наблюдался рост доли доходов от предпринимательской деятельности и прочих денежных поступлений и снижение доли оплаты труда и социальных выплат.  </w:t>
      </w:r>
    </w:p>
    <w:p w14:paraId="64D9030F" w14:textId="5E6B59C1" w:rsidR="00CC63C2" w:rsidRPr="00CC63C2" w:rsidRDefault="00CC63C2" w:rsidP="00EE2394">
      <w:pPr>
        <w:spacing w:line="276" w:lineRule="auto"/>
        <w:ind w:right="-2" w:firstLine="720"/>
        <w:rPr>
          <w:sz w:val="28"/>
          <w:szCs w:val="28"/>
          <w:lang w:eastAsia="ar-SA"/>
        </w:rPr>
      </w:pPr>
      <w:r w:rsidRPr="00CC63C2">
        <w:rPr>
          <w:sz w:val="28"/>
          <w:szCs w:val="28"/>
          <w:lang w:eastAsia="ar-SA"/>
        </w:rPr>
        <w:t>Денежные расходы населения в первом полугодии 2021 года составили 553,4 млрд</w:t>
      </w:r>
      <w:r>
        <w:rPr>
          <w:sz w:val="28"/>
          <w:szCs w:val="28"/>
          <w:lang w:eastAsia="ar-SA"/>
        </w:rPr>
        <w:t>.</w:t>
      </w:r>
      <w:r w:rsidRPr="00CC63C2">
        <w:rPr>
          <w:sz w:val="28"/>
          <w:szCs w:val="28"/>
          <w:lang w:eastAsia="ar-SA"/>
        </w:rPr>
        <w:t xml:space="preserve"> рублей и увеличились на 9,8</w:t>
      </w:r>
      <w:r w:rsidR="00EE2394">
        <w:rPr>
          <w:sz w:val="28"/>
          <w:szCs w:val="28"/>
          <w:lang w:eastAsia="ar-SA"/>
        </w:rPr>
        <w:t>%</w:t>
      </w:r>
      <w:r w:rsidRPr="00CC63C2">
        <w:rPr>
          <w:sz w:val="28"/>
          <w:szCs w:val="28"/>
          <w:lang w:eastAsia="ar-SA"/>
        </w:rPr>
        <w:t xml:space="preserve"> по сравнению с первым полугодием прошлого года. В январе-июне 2021 года население израсходовало на покупку товаров и оплату услуг 477,2 млрд</w:t>
      </w:r>
      <w:r>
        <w:rPr>
          <w:sz w:val="28"/>
          <w:szCs w:val="28"/>
          <w:lang w:eastAsia="ar-SA"/>
        </w:rPr>
        <w:t>.</w:t>
      </w:r>
      <w:r w:rsidRPr="00CC63C2">
        <w:rPr>
          <w:sz w:val="28"/>
          <w:szCs w:val="28"/>
          <w:lang w:eastAsia="ar-SA"/>
        </w:rPr>
        <w:t xml:space="preserve"> рублей, что на 9,5</w:t>
      </w:r>
      <w:r w:rsidR="00EE2394">
        <w:rPr>
          <w:sz w:val="28"/>
          <w:szCs w:val="28"/>
          <w:lang w:eastAsia="ar-SA"/>
        </w:rPr>
        <w:t>%</w:t>
      </w:r>
      <w:r w:rsidRPr="00CC63C2">
        <w:rPr>
          <w:sz w:val="28"/>
          <w:szCs w:val="28"/>
          <w:lang w:eastAsia="ar-SA"/>
        </w:rPr>
        <w:t xml:space="preserve"> больше, чем за аналогичный период 2020 года. За этот же период  наблюдалось уменьшение сбережений у населения, которое составило 5,7 млрд</w:t>
      </w:r>
      <w:r>
        <w:rPr>
          <w:sz w:val="28"/>
          <w:szCs w:val="28"/>
          <w:lang w:eastAsia="ar-SA"/>
        </w:rPr>
        <w:t>.</w:t>
      </w:r>
      <w:r w:rsidRPr="00CC63C2">
        <w:rPr>
          <w:sz w:val="28"/>
          <w:szCs w:val="28"/>
          <w:lang w:eastAsia="ar-SA"/>
        </w:rPr>
        <w:t xml:space="preserve"> рублей. </w:t>
      </w:r>
    </w:p>
    <w:p w14:paraId="0E455003" w14:textId="77777777" w:rsidR="004330E4" w:rsidRDefault="004330E4" w:rsidP="009711EF">
      <w:pPr>
        <w:pStyle w:val="231"/>
        <w:spacing w:after="0" w:line="276" w:lineRule="auto"/>
        <w:rPr>
          <w:sz w:val="28"/>
          <w:szCs w:val="28"/>
          <w:lang w:eastAsia="ar-SA"/>
        </w:rPr>
      </w:pPr>
      <w:r w:rsidRPr="004330E4">
        <w:rPr>
          <w:sz w:val="28"/>
          <w:szCs w:val="28"/>
          <w:lang w:eastAsia="ar-SA"/>
        </w:rPr>
        <w:t>На муниципальном уровне осуществляется расчет показателя среднемесячной номинальной заработной  платы работников организаций, не относящихся к субъек</w:t>
      </w:r>
      <w:r>
        <w:rPr>
          <w:sz w:val="28"/>
          <w:szCs w:val="28"/>
          <w:lang w:eastAsia="ar-SA"/>
        </w:rPr>
        <w:t xml:space="preserve">там малого предпринимательства. </w:t>
      </w:r>
    </w:p>
    <w:p w14:paraId="5E7275BE" w14:textId="32FD2742" w:rsidR="004330E4" w:rsidRDefault="00371F70" w:rsidP="009711EF">
      <w:pPr>
        <w:pStyle w:val="231"/>
        <w:spacing w:after="0" w:line="276" w:lineRule="auto"/>
        <w:rPr>
          <w:sz w:val="28"/>
          <w:szCs w:val="28"/>
          <w:lang w:eastAsia="ru-RU"/>
        </w:rPr>
      </w:pPr>
      <w:r>
        <w:rPr>
          <w:sz w:val="28"/>
          <w:szCs w:val="28"/>
          <w:lang w:eastAsia="ar-SA"/>
        </w:rPr>
        <w:t>Однако</w:t>
      </w:r>
      <w:r w:rsidR="004330E4">
        <w:rPr>
          <w:sz w:val="28"/>
          <w:szCs w:val="28"/>
          <w:lang w:eastAsia="ar-SA"/>
        </w:rPr>
        <w:t xml:space="preserve">, </w:t>
      </w:r>
      <w:r w:rsidR="004330E4">
        <w:rPr>
          <w:sz w:val="28"/>
          <w:szCs w:val="28"/>
          <w:lang w:eastAsia="ru-RU"/>
        </w:rPr>
        <w:t>в</w:t>
      </w:r>
      <w:r w:rsidR="004330E4" w:rsidRPr="004330E4">
        <w:rPr>
          <w:sz w:val="28"/>
          <w:szCs w:val="28"/>
          <w:lang w:eastAsia="ru-RU"/>
        </w:rPr>
        <w:t xml:space="preserve"> целях получения более полной информации по заработной плате </w:t>
      </w:r>
      <w:r w:rsidR="004330E4">
        <w:rPr>
          <w:sz w:val="28"/>
          <w:szCs w:val="28"/>
          <w:lang w:eastAsia="ru-RU"/>
        </w:rPr>
        <w:t xml:space="preserve">по запросу </w:t>
      </w:r>
      <w:r w:rsidR="004330E4" w:rsidRPr="004330E4">
        <w:rPr>
          <w:sz w:val="28"/>
          <w:szCs w:val="28"/>
          <w:lang w:eastAsia="ru-RU"/>
        </w:rPr>
        <w:t>администраци</w:t>
      </w:r>
      <w:r w:rsidR="004330E4">
        <w:rPr>
          <w:sz w:val="28"/>
          <w:szCs w:val="28"/>
          <w:lang w:eastAsia="ru-RU"/>
        </w:rPr>
        <w:t>и</w:t>
      </w:r>
      <w:r w:rsidR="004330E4" w:rsidRPr="004330E4">
        <w:rPr>
          <w:sz w:val="28"/>
          <w:szCs w:val="28"/>
          <w:lang w:eastAsia="ru-RU"/>
        </w:rPr>
        <w:t xml:space="preserve"> городского округа Тольятти</w:t>
      </w:r>
      <w:r w:rsidR="004330E4">
        <w:rPr>
          <w:sz w:val="28"/>
          <w:szCs w:val="28"/>
          <w:lang w:eastAsia="ru-RU"/>
        </w:rPr>
        <w:t xml:space="preserve">, </w:t>
      </w:r>
      <w:proofErr w:type="spellStart"/>
      <w:r w:rsidR="004330E4">
        <w:rPr>
          <w:sz w:val="28"/>
          <w:szCs w:val="28"/>
          <w:lang w:eastAsia="ru-RU"/>
        </w:rPr>
        <w:t>Самарастатом</w:t>
      </w:r>
      <w:proofErr w:type="spellEnd"/>
      <w:r w:rsidR="004330E4">
        <w:rPr>
          <w:sz w:val="28"/>
          <w:szCs w:val="28"/>
          <w:lang w:eastAsia="ru-RU"/>
        </w:rPr>
        <w:t xml:space="preserve"> производится расчет показателя заработной платы по городскому округу Тольятти с учетом малых предприятий (аналогично показателю по региону).</w:t>
      </w:r>
    </w:p>
    <w:p w14:paraId="41229C21" w14:textId="575F16E8" w:rsidR="003206B6" w:rsidRDefault="004330E4" w:rsidP="003206B6">
      <w:pPr>
        <w:tabs>
          <w:tab w:val="left" w:pos="142"/>
          <w:tab w:val="left" w:pos="9720"/>
        </w:tabs>
        <w:suppressAutoHyphens w:val="0"/>
        <w:spacing w:line="276" w:lineRule="auto"/>
        <w:contextualSpacing/>
        <w:textAlignment w:val="top"/>
        <w:rPr>
          <w:sz w:val="28"/>
          <w:szCs w:val="28"/>
          <w:lang w:eastAsia="ru-RU"/>
        </w:rPr>
      </w:pPr>
      <w:r w:rsidRPr="00371F70">
        <w:rPr>
          <w:sz w:val="28"/>
          <w:szCs w:val="28"/>
          <w:lang w:eastAsia="ru-RU"/>
        </w:rPr>
        <w:t xml:space="preserve">Так, в 2020 году </w:t>
      </w:r>
      <w:bookmarkStart w:id="7" w:name="_Hlk84428388"/>
      <w:r w:rsidRPr="00371F70">
        <w:rPr>
          <w:sz w:val="28"/>
          <w:szCs w:val="28"/>
          <w:lang w:eastAsia="ru-RU"/>
        </w:rPr>
        <w:t xml:space="preserve">среднемесячная заработная плата работников крупных, средних и малых предприятий городского округа Тольятти </w:t>
      </w:r>
      <w:bookmarkEnd w:id="7"/>
      <w:r w:rsidRPr="00371F70">
        <w:rPr>
          <w:sz w:val="28"/>
          <w:szCs w:val="28"/>
          <w:lang w:eastAsia="ru-RU"/>
        </w:rPr>
        <w:t>составила 37673 рубл</w:t>
      </w:r>
      <w:r w:rsidR="00F82CD1">
        <w:rPr>
          <w:sz w:val="28"/>
          <w:szCs w:val="28"/>
          <w:lang w:eastAsia="ru-RU"/>
        </w:rPr>
        <w:t>я</w:t>
      </w:r>
      <w:r w:rsidR="00D47EC5">
        <w:rPr>
          <w:sz w:val="28"/>
          <w:szCs w:val="28"/>
          <w:lang w:eastAsia="ru-RU"/>
        </w:rPr>
        <w:t>, что на 5,1% больше, чем в 2019 году</w:t>
      </w:r>
      <w:r w:rsidRPr="00371F70">
        <w:rPr>
          <w:sz w:val="28"/>
          <w:szCs w:val="28"/>
          <w:lang w:eastAsia="ru-RU"/>
        </w:rPr>
        <w:t xml:space="preserve"> (по Самарской области - </w:t>
      </w:r>
      <w:r w:rsidR="00371F70" w:rsidRPr="00371F70">
        <w:rPr>
          <w:sz w:val="28"/>
          <w:szCs w:val="28"/>
          <w:lang w:eastAsia="ru-RU"/>
        </w:rPr>
        <w:t>38748</w:t>
      </w:r>
      <w:r w:rsidRPr="00371F70">
        <w:rPr>
          <w:sz w:val="28"/>
          <w:szCs w:val="28"/>
          <w:lang w:eastAsia="ru-RU"/>
        </w:rPr>
        <w:t xml:space="preserve"> рублей)</w:t>
      </w:r>
      <w:r w:rsidR="00371F70">
        <w:rPr>
          <w:sz w:val="28"/>
          <w:szCs w:val="28"/>
          <w:lang w:eastAsia="ru-RU"/>
        </w:rPr>
        <w:t>.</w:t>
      </w:r>
      <w:r w:rsidR="003206B6">
        <w:rPr>
          <w:sz w:val="28"/>
          <w:szCs w:val="28"/>
          <w:lang w:eastAsia="ru-RU"/>
        </w:rPr>
        <w:t xml:space="preserve"> </w:t>
      </w:r>
    </w:p>
    <w:p w14:paraId="63566ED5" w14:textId="17B2A484" w:rsidR="003206B6" w:rsidRPr="009711EF" w:rsidRDefault="00371F70" w:rsidP="003206B6">
      <w:pPr>
        <w:tabs>
          <w:tab w:val="left" w:pos="142"/>
          <w:tab w:val="left" w:pos="9720"/>
        </w:tabs>
        <w:suppressAutoHyphens w:val="0"/>
        <w:spacing w:line="276" w:lineRule="auto"/>
        <w:contextualSpacing/>
        <w:textAlignment w:val="top"/>
        <w:rPr>
          <w:sz w:val="28"/>
          <w:szCs w:val="28"/>
          <w:lang w:eastAsia="ru-RU"/>
        </w:rPr>
      </w:pPr>
      <w:r>
        <w:rPr>
          <w:sz w:val="28"/>
          <w:szCs w:val="28"/>
          <w:lang w:eastAsia="ru-RU"/>
        </w:rPr>
        <w:t xml:space="preserve">В </w:t>
      </w:r>
      <w:r w:rsidR="004F3625">
        <w:rPr>
          <w:sz w:val="28"/>
          <w:szCs w:val="28"/>
          <w:lang w:val="en-US" w:eastAsia="ru-RU"/>
        </w:rPr>
        <w:t>I</w:t>
      </w:r>
      <w:r>
        <w:rPr>
          <w:sz w:val="28"/>
          <w:szCs w:val="28"/>
          <w:lang w:eastAsia="ru-RU"/>
        </w:rPr>
        <w:t xml:space="preserve"> полугодии 2021 года </w:t>
      </w:r>
      <w:r w:rsidR="003206B6">
        <w:rPr>
          <w:sz w:val="28"/>
          <w:szCs w:val="28"/>
          <w:lang w:eastAsia="ru-RU"/>
        </w:rPr>
        <w:t>размер заработной платы организаций городского округа Тольятти составил</w:t>
      </w:r>
      <w:r>
        <w:rPr>
          <w:sz w:val="28"/>
          <w:szCs w:val="28"/>
          <w:lang w:eastAsia="ru-RU"/>
        </w:rPr>
        <w:t xml:space="preserve"> 39758 рублей (по Самарской области – 41115 рублей), что на 10,4% больше аналогичного периода 2020 года.</w:t>
      </w:r>
      <w:r w:rsidRPr="00371F70">
        <w:rPr>
          <w:sz w:val="28"/>
          <w:szCs w:val="28"/>
          <w:lang w:eastAsia="ru-RU"/>
        </w:rPr>
        <w:t xml:space="preserve">  </w:t>
      </w:r>
      <w:r w:rsidR="003206B6" w:rsidRPr="00371F70">
        <w:rPr>
          <w:sz w:val="28"/>
          <w:szCs w:val="28"/>
          <w:lang w:eastAsia="ru-RU"/>
        </w:rPr>
        <w:t xml:space="preserve">Средняя заработная плата работников организаций городского округа Тольятти </w:t>
      </w:r>
      <w:r w:rsidR="003206B6">
        <w:rPr>
          <w:sz w:val="28"/>
          <w:szCs w:val="28"/>
          <w:lang w:eastAsia="ru-RU"/>
        </w:rPr>
        <w:t xml:space="preserve">в </w:t>
      </w:r>
      <w:r w:rsidR="004F3625">
        <w:rPr>
          <w:sz w:val="28"/>
          <w:szCs w:val="28"/>
          <w:lang w:val="en-US" w:eastAsia="ru-RU"/>
        </w:rPr>
        <w:t>I</w:t>
      </w:r>
      <w:r w:rsidR="003206B6">
        <w:rPr>
          <w:sz w:val="28"/>
          <w:szCs w:val="28"/>
          <w:lang w:eastAsia="ru-RU"/>
        </w:rPr>
        <w:t xml:space="preserve"> полугодии 2021 года </w:t>
      </w:r>
      <w:r w:rsidR="003206B6" w:rsidRPr="00371F70">
        <w:rPr>
          <w:sz w:val="28"/>
          <w:szCs w:val="28"/>
          <w:lang w:eastAsia="ru-RU"/>
        </w:rPr>
        <w:t>превысила прожиточный минимум трудоспособного населения (12</w:t>
      </w:r>
      <w:r w:rsidR="00D47EC5">
        <w:rPr>
          <w:sz w:val="28"/>
          <w:szCs w:val="28"/>
          <w:lang w:eastAsia="ru-RU"/>
        </w:rPr>
        <w:t> </w:t>
      </w:r>
      <w:r w:rsidR="003206B6" w:rsidRPr="00371F70">
        <w:rPr>
          <w:sz w:val="28"/>
          <w:szCs w:val="28"/>
          <w:lang w:eastAsia="ru-RU"/>
        </w:rPr>
        <w:t>1</w:t>
      </w:r>
      <w:r w:rsidR="003206B6">
        <w:rPr>
          <w:sz w:val="28"/>
          <w:szCs w:val="28"/>
          <w:lang w:eastAsia="ru-RU"/>
        </w:rPr>
        <w:t>26</w:t>
      </w:r>
      <w:r w:rsidR="003206B6" w:rsidRPr="00371F70">
        <w:rPr>
          <w:sz w:val="28"/>
          <w:szCs w:val="28"/>
          <w:lang w:eastAsia="ru-RU"/>
        </w:rPr>
        <w:t xml:space="preserve"> </w:t>
      </w:r>
      <w:r w:rsidR="003206B6">
        <w:rPr>
          <w:sz w:val="28"/>
          <w:szCs w:val="28"/>
          <w:lang w:eastAsia="ru-RU"/>
        </w:rPr>
        <w:t>рублей</w:t>
      </w:r>
      <w:r w:rsidR="003206B6" w:rsidRPr="00371F70">
        <w:rPr>
          <w:sz w:val="28"/>
          <w:szCs w:val="28"/>
          <w:lang w:eastAsia="ru-RU"/>
        </w:rPr>
        <w:t xml:space="preserve"> на душу населения трудоспособного возраста) в 3,</w:t>
      </w:r>
      <w:r w:rsidR="003206B6">
        <w:rPr>
          <w:sz w:val="28"/>
          <w:szCs w:val="28"/>
          <w:lang w:eastAsia="ru-RU"/>
        </w:rPr>
        <w:t>3</w:t>
      </w:r>
      <w:r w:rsidR="003206B6" w:rsidRPr="00371F70">
        <w:rPr>
          <w:sz w:val="28"/>
          <w:szCs w:val="28"/>
          <w:lang w:eastAsia="ru-RU"/>
        </w:rPr>
        <w:t xml:space="preserve"> раза.</w:t>
      </w:r>
    </w:p>
    <w:p w14:paraId="0C43F525" w14:textId="4D1A777E" w:rsidR="003206B6" w:rsidRDefault="00F82CD1" w:rsidP="003206B6">
      <w:pPr>
        <w:widowControl w:val="0"/>
        <w:spacing w:line="276" w:lineRule="auto"/>
        <w:rPr>
          <w:sz w:val="28"/>
          <w:szCs w:val="28"/>
          <w:lang w:eastAsia="ru-RU"/>
        </w:rPr>
      </w:pPr>
      <w:r>
        <w:rPr>
          <w:sz w:val="28"/>
          <w:szCs w:val="28"/>
          <w:lang w:eastAsia="ru-RU"/>
        </w:rPr>
        <w:t xml:space="preserve">В отношении организаций городского округа Тольятти, </w:t>
      </w:r>
      <w:r w:rsidRPr="009711EF">
        <w:rPr>
          <w:sz w:val="28"/>
          <w:szCs w:val="28"/>
          <w:lang w:eastAsia="ru-RU"/>
        </w:rPr>
        <w:t>не относящихся к субъектам малого предпринимательства</w:t>
      </w:r>
      <w:r>
        <w:rPr>
          <w:sz w:val="28"/>
          <w:szCs w:val="28"/>
          <w:lang w:eastAsia="ru-RU"/>
        </w:rPr>
        <w:t>, с</w:t>
      </w:r>
      <w:r w:rsidR="009711EF" w:rsidRPr="009711EF">
        <w:rPr>
          <w:sz w:val="28"/>
          <w:szCs w:val="28"/>
          <w:lang w:eastAsia="ru-RU"/>
        </w:rPr>
        <w:t xml:space="preserve">реднемесячная начисленная заработная плата работников, по итогам </w:t>
      </w:r>
      <w:r w:rsidR="004F3625">
        <w:rPr>
          <w:sz w:val="28"/>
          <w:szCs w:val="28"/>
          <w:lang w:val="en-US" w:eastAsia="ru-RU"/>
        </w:rPr>
        <w:t>I</w:t>
      </w:r>
      <w:r w:rsidR="009711EF" w:rsidRPr="009711EF">
        <w:rPr>
          <w:sz w:val="28"/>
          <w:szCs w:val="28"/>
          <w:lang w:eastAsia="ru-RU"/>
        </w:rPr>
        <w:t xml:space="preserve"> полугодия 2021 года увеличилась по сравнению с аналогичным показателем 2020 года на 10,5% и </w:t>
      </w:r>
      <w:r w:rsidR="009711EF" w:rsidRPr="009711EF">
        <w:rPr>
          <w:sz w:val="28"/>
          <w:szCs w:val="28"/>
          <w:lang w:eastAsia="ru-RU"/>
        </w:rPr>
        <w:lastRenderedPageBreak/>
        <w:t xml:space="preserve">составила 44414 рублей (по Самарской области </w:t>
      </w:r>
      <w:r w:rsidR="00371F70">
        <w:rPr>
          <w:sz w:val="28"/>
          <w:szCs w:val="28"/>
          <w:lang w:eastAsia="ru-RU"/>
        </w:rPr>
        <w:t xml:space="preserve">- </w:t>
      </w:r>
      <w:r w:rsidR="009711EF" w:rsidRPr="009711EF">
        <w:rPr>
          <w:sz w:val="28"/>
          <w:szCs w:val="28"/>
          <w:lang w:eastAsia="ru-RU"/>
        </w:rPr>
        <w:t>45876 рубл</w:t>
      </w:r>
      <w:r w:rsidR="00371F70">
        <w:rPr>
          <w:sz w:val="28"/>
          <w:szCs w:val="28"/>
          <w:lang w:eastAsia="ru-RU"/>
        </w:rPr>
        <w:t>ей, что на 9,2% выше прошлогоднего уровня</w:t>
      </w:r>
      <w:r w:rsidR="009711EF" w:rsidRPr="009711EF">
        <w:rPr>
          <w:sz w:val="28"/>
          <w:szCs w:val="28"/>
          <w:lang w:eastAsia="ru-RU"/>
        </w:rPr>
        <w:t>). Темп роста реальной заработн</w:t>
      </w:r>
      <w:r w:rsidR="00EE2394">
        <w:rPr>
          <w:sz w:val="28"/>
          <w:szCs w:val="28"/>
          <w:lang w:eastAsia="ru-RU"/>
        </w:rPr>
        <w:t>ой</w:t>
      </w:r>
      <w:r w:rsidR="009711EF" w:rsidRPr="009711EF">
        <w:rPr>
          <w:sz w:val="28"/>
          <w:szCs w:val="28"/>
          <w:lang w:eastAsia="ru-RU"/>
        </w:rPr>
        <w:t xml:space="preserve"> платы </w:t>
      </w:r>
      <w:r w:rsidR="00371F70">
        <w:rPr>
          <w:sz w:val="28"/>
          <w:szCs w:val="28"/>
          <w:lang w:eastAsia="ru-RU"/>
        </w:rPr>
        <w:t xml:space="preserve">организаций городского округа Тольятти, </w:t>
      </w:r>
      <w:r w:rsidR="00371F70" w:rsidRPr="009711EF">
        <w:rPr>
          <w:sz w:val="28"/>
          <w:szCs w:val="28"/>
          <w:lang w:eastAsia="ru-RU"/>
        </w:rPr>
        <w:t xml:space="preserve">не относящихся к субъектам малого предпринимательства, </w:t>
      </w:r>
      <w:r w:rsidR="00371F70">
        <w:rPr>
          <w:sz w:val="28"/>
          <w:szCs w:val="28"/>
          <w:lang w:eastAsia="ru-RU"/>
        </w:rPr>
        <w:t xml:space="preserve"> </w:t>
      </w:r>
      <w:r w:rsidR="009711EF" w:rsidRPr="009711EF">
        <w:rPr>
          <w:sz w:val="28"/>
          <w:szCs w:val="28"/>
          <w:lang w:eastAsia="ru-RU"/>
        </w:rPr>
        <w:t>составил 103,8%.</w:t>
      </w:r>
      <w:r w:rsidR="00C14908" w:rsidRPr="00C14908">
        <w:rPr>
          <w:sz w:val="28"/>
          <w:szCs w:val="28"/>
          <w:lang w:eastAsia="ru-RU"/>
        </w:rPr>
        <w:t xml:space="preserve"> </w:t>
      </w:r>
    </w:p>
    <w:p w14:paraId="4C76EDCC" w14:textId="5933E3DE" w:rsidR="009711EF" w:rsidRPr="00D262CB" w:rsidRDefault="009711EF" w:rsidP="003206B6">
      <w:pPr>
        <w:widowControl w:val="0"/>
        <w:spacing w:line="276" w:lineRule="auto"/>
        <w:rPr>
          <w:sz w:val="28"/>
          <w:szCs w:val="28"/>
          <w:lang w:eastAsia="ar-SA"/>
        </w:rPr>
      </w:pPr>
      <w:r w:rsidRPr="00D262CB">
        <w:rPr>
          <w:sz w:val="28"/>
          <w:szCs w:val="28"/>
          <w:lang w:eastAsia="ar-SA"/>
        </w:rPr>
        <w:t xml:space="preserve">В рейтинге </w:t>
      </w:r>
      <w:r w:rsidR="00C14908" w:rsidRPr="00D262CB">
        <w:rPr>
          <w:sz w:val="28"/>
          <w:szCs w:val="28"/>
          <w:lang w:eastAsia="ar-SA"/>
        </w:rPr>
        <w:t xml:space="preserve">городских округов Самарской области городской округ </w:t>
      </w:r>
      <w:r w:rsidR="00EE2394">
        <w:rPr>
          <w:sz w:val="28"/>
          <w:szCs w:val="28"/>
          <w:lang w:eastAsia="ar-SA"/>
        </w:rPr>
        <w:t xml:space="preserve">Тольятти </w:t>
      </w:r>
      <w:r w:rsidR="00C14908" w:rsidRPr="00D262CB">
        <w:rPr>
          <w:sz w:val="28"/>
          <w:szCs w:val="28"/>
          <w:lang w:eastAsia="ar-SA"/>
        </w:rPr>
        <w:t xml:space="preserve">занял </w:t>
      </w:r>
      <w:r w:rsidR="00D262CB" w:rsidRPr="00D262CB">
        <w:rPr>
          <w:sz w:val="28"/>
          <w:szCs w:val="28"/>
          <w:lang w:eastAsia="ar-SA"/>
        </w:rPr>
        <w:t>4 место по уровню заработной платы</w:t>
      </w:r>
      <w:r w:rsidR="003206B6">
        <w:rPr>
          <w:sz w:val="28"/>
          <w:szCs w:val="28"/>
          <w:lang w:eastAsia="ar-SA"/>
        </w:rPr>
        <w:t xml:space="preserve"> </w:t>
      </w:r>
      <w:r w:rsidR="00EE2394">
        <w:rPr>
          <w:sz w:val="28"/>
          <w:szCs w:val="28"/>
          <w:lang w:eastAsia="ar-SA"/>
        </w:rPr>
        <w:t xml:space="preserve">организаций, </w:t>
      </w:r>
      <w:r w:rsidR="00EE2394" w:rsidRPr="009711EF">
        <w:rPr>
          <w:sz w:val="28"/>
          <w:szCs w:val="28"/>
          <w:lang w:eastAsia="ru-RU"/>
        </w:rPr>
        <w:t>не относящихся к субъектам малого предпринимательства</w:t>
      </w:r>
      <w:r w:rsidR="00EE2394">
        <w:rPr>
          <w:sz w:val="28"/>
          <w:szCs w:val="28"/>
          <w:lang w:eastAsia="ar-SA"/>
        </w:rPr>
        <w:t xml:space="preserve"> </w:t>
      </w:r>
      <w:r w:rsidR="003206B6">
        <w:rPr>
          <w:sz w:val="28"/>
          <w:szCs w:val="28"/>
          <w:lang w:eastAsia="ar-SA"/>
        </w:rPr>
        <w:t>(по темпам роста заработной платы – 1 место)</w:t>
      </w:r>
      <w:r w:rsidR="00D262CB" w:rsidRPr="00D262CB">
        <w:rPr>
          <w:sz w:val="28"/>
          <w:szCs w:val="28"/>
          <w:lang w:eastAsia="ar-SA"/>
        </w:rPr>
        <w:t xml:space="preserve">, а в рейтинге </w:t>
      </w:r>
      <w:r w:rsidRPr="00D262CB">
        <w:rPr>
          <w:sz w:val="28"/>
          <w:szCs w:val="28"/>
          <w:lang w:eastAsia="ar-SA"/>
        </w:rPr>
        <w:t>региональных центров Приволжского федерального округа за январь-июнь 202</w:t>
      </w:r>
      <w:r w:rsidR="00D262CB" w:rsidRPr="00D262CB">
        <w:rPr>
          <w:sz w:val="28"/>
          <w:szCs w:val="28"/>
          <w:lang w:eastAsia="ar-SA"/>
        </w:rPr>
        <w:t>1</w:t>
      </w:r>
      <w:r w:rsidRPr="00D262CB">
        <w:rPr>
          <w:sz w:val="28"/>
          <w:szCs w:val="28"/>
          <w:lang w:eastAsia="ar-SA"/>
        </w:rPr>
        <w:t xml:space="preserve"> года по темпам роста заработной платы работников городской округ Тольятти занял </w:t>
      </w:r>
      <w:r w:rsidR="00D262CB" w:rsidRPr="00D262CB">
        <w:rPr>
          <w:sz w:val="28"/>
          <w:szCs w:val="28"/>
          <w:lang w:eastAsia="ar-SA"/>
        </w:rPr>
        <w:t>2</w:t>
      </w:r>
      <w:r w:rsidRPr="00D262CB">
        <w:rPr>
          <w:sz w:val="28"/>
          <w:szCs w:val="28"/>
          <w:lang w:eastAsia="ar-SA"/>
        </w:rPr>
        <w:t xml:space="preserve"> место (</w:t>
      </w:r>
      <w:r w:rsidR="00D262CB" w:rsidRPr="00D262CB">
        <w:rPr>
          <w:sz w:val="28"/>
          <w:szCs w:val="28"/>
          <w:lang w:eastAsia="ar-SA"/>
        </w:rPr>
        <w:t>г.о. Самара - 6 место</w:t>
      </w:r>
      <w:r w:rsidRPr="00D262CB">
        <w:rPr>
          <w:sz w:val="28"/>
          <w:szCs w:val="28"/>
          <w:lang w:eastAsia="ar-SA"/>
        </w:rPr>
        <w:t>).</w:t>
      </w:r>
    </w:p>
    <w:p w14:paraId="52BA2001" w14:textId="27265DCA" w:rsidR="009711EF" w:rsidRPr="009711EF" w:rsidRDefault="009711EF" w:rsidP="00371F70">
      <w:pPr>
        <w:widowControl w:val="0"/>
        <w:spacing w:line="276" w:lineRule="auto"/>
        <w:rPr>
          <w:sz w:val="28"/>
          <w:szCs w:val="28"/>
          <w:lang w:eastAsia="ru-RU"/>
        </w:rPr>
      </w:pPr>
      <w:r w:rsidRPr="009711EF">
        <w:rPr>
          <w:sz w:val="28"/>
          <w:szCs w:val="28"/>
          <w:lang w:eastAsia="ru-RU"/>
        </w:rPr>
        <w:t>Номинальная начисленная заработная плата выросла практически во всех видах экономической деятельности</w:t>
      </w:r>
      <w:r>
        <w:rPr>
          <w:sz w:val="28"/>
          <w:szCs w:val="28"/>
          <w:lang w:eastAsia="ru-RU"/>
        </w:rPr>
        <w:t xml:space="preserve">. </w:t>
      </w:r>
      <w:r w:rsidRPr="009711EF">
        <w:rPr>
          <w:sz w:val="28"/>
          <w:szCs w:val="28"/>
          <w:lang w:eastAsia="ru-RU"/>
        </w:rPr>
        <w:t>Наиболее высокие темпы роста заработной платы отмечаются на предприятиях сферы информации и связи (124,9% до 49197  рублей), а также в транспортировке и хранении (115,9% до 35947 рублей) и в оптовой и розничной торговле (115,1% до 37354 рублей). На предприятиях обрабатывающих производств заработная плата выросла на 12,0% и составила 50997 рублей, в том числе в химическом производстве – на 14% до 65143 рублей, в производстве автотранспортных средств – на 10,3% до 52340 рублей.</w:t>
      </w:r>
    </w:p>
    <w:p w14:paraId="496AA6DF" w14:textId="5733282C" w:rsidR="009711EF" w:rsidRPr="009711EF" w:rsidRDefault="009711EF" w:rsidP="00371F70">
      <w:pPr>
        <w:widowControl w:val="0"/>
        <w:spacing w:line="276" w:lineRule="auto"/>
        <w:rPr>
          <w:sz w:val="28"/>
          <w:szCs w:val="28"/>
          <w:lang w:eastAsia="ru-RU"/>
        </w:rPr>
      </w:pPr>
      <w:r w:rsidRPr="009711EF">
        <w:rPr>
          <w:sz w:val="28"/>
          <w:szCs w:val="28"/>
          <w:lang w:eastAsia="ru-RU"/>
        </w:rPr>
        <w:t xml:space="preserve">По итогам </w:t>
      </w:r>
      <w:r w:rsidR="00E22750">
        <w:rPr>
          <w:sz w:val="28"/>
          <w:szCs w:val="28"/>
          <w:lang w:val="en-US" w:eastAsia="ru-RU"/>
        </w:rPr>
        <w:t>I</w:t>
      </w:r>
      <w:r w:rsidRPr="009711EF">
        <w:rPr>
          <w:sz w:val="28"/>
          <w:szCs w:val="28"/>
          <w:lang w:eastAsia="ru-RU"/>
        </w:rPr>
        <w:t xml:space="preserve"> полугодия 2021 года лидером по уровню заработной платы является деятельность профессиональная, научная и техническая (соотношение уровня заработной платы к аналогичному показателю в целом по городскому округу составило 1,5 раза). Также одним из самых оплачиваемых видов деятельности является химическое производство (в 1,5 раза), производство автотранспортных средств, прицепов и полуприцепов (в 1,2 раза), строительство (в 1,2 раза).</w:t>
      </w:r>
    </w:p>
    <w:p w14:paraId="1B90910E" w14:textId="77777777" w:rsidR="009711EF" w:rsidRPr="009711EF" w:rsidRDefault="009711EF" w:rsidP="00371F70">
      <w:pPr>
        <w:widowControl w:val="0"/>
        <w:spacing w:line="276" w:lineRule="auto"/>
        <w:rPr>
          <w:sz w:val="28"/>
          <w:szCs w:val="28"/>
          <w:lang w:eastAsia="ru-RU"/>
        </w:rPr>
      </w:pPr>
      <w:r w:rsidRPr="009711EF">
        <w:rPr>
          <w:sz w:val="28"/>
          <w:szCs w:val="28"/>
          <w:lang w:eastAsia="ru-RU"/>
        </w:rPr>
        <w:t xml:space="preserve">В аутсайдерах по уровню заработной платы явились предприятия деятельности по производству текстильных изделий (55,0% от среднемесячной заработной платы по городского округу Тольятти до 24409 рублей), по производству пищевых продуктов (58,7% до 26083 рублей), в гостиницах и предприятиях общественного питания (70,1% до 31153 рублей). </w:t>
      </w:r>
    </w:p>
    <w:p w14:paraId="141989F9" w14:textId="77777777" w:rsidR="009711EF" w:rsidRPr="009711EF" w:rsidRDefault="009711EF" w:rsidP="00371F70">
      <w:pPr>
        <w:widowControl w:val="0"/>
        <w:spacing w:line="276" w:lineRule="auto"/>
        <w:rPr>
          <w:sz w:val="28"/>
          <w:szCs w:val="28"/>
          <w:lang w:eastAsia="ru-RU"/>
        </w:rPr>
      </w:pPr>
      <w:r w:rsidRPr="009711EF">
        <w:rPr>
          <w:sz w:val="28"/>
          <w:szCs w:val="28"/>
          <w:lang w:eastAsia="ru-RU"/>
        </w:rPr>
        <w:t>В здравоохранении среднемесячная заработная плата работников за январь-июнь 2021 года составила 37653 рублей, что на 3,1% больше соответствующего периода предыдущего года.</w:t>
      </w:r>
    </w:p>
    <w:p w14:paraId="32CEDEAA" w14:textId="6E0B53E1" w:rsidR="009711EF" w:rsidRDefault="009711EF" w:rsidP="00371F70">
      <w:pPr>
        <w:widowControl w:val="0"/>
        <w:spacing w:line="276" w:lineRule="auto"/>
        <w:rPr>
          <w:sz w:val="28"/>
          <w:szCs w:val="28"/>
          <w:lang w:eastAsia="ru-RU"/>
        </w:rPr>
      </w:pPr>
      <w:bookmarkStart w:id="8" w:name="_Hlk84429379"/>
      <w:r w:rsidRPr="00B77595">
        <w:rPr>
          <w:sz w:val="28"/>
          <w:szCs w:val="28"/>
          <w:lang w:eastAsia="ru-RU"/>
        </w:rPr>
        <w:t xml:space="preserve">В соответствии с постановлением администрации городского округа Тольятти от 28 декабря 2020 № 3997-п/1 «О повышении оплаты труда работников органов местного самоуправления и работников бюджетной сферы городского округа Тольятти с 01.01.2021» повышен в 1,036 раза </w:t>
      </w:r>
      <w:r w:rsidRPr="00B77595">
        <w:rPr>
          <w:sz w:val="28"/>
          <w:szCs w:val="28"/>
          <w:lang w:eastAsia="ru-RU"/>
        </w:rPr>
        <w:lastRenderedPageBreak/>
        <w:t>размер окладов (должностных окладов) работников органов местного самоуправления и работников бюджетного сектора экономики городского округа Тольятти, за исключением педагогических работников муниципальных образовательных учреждений, работников на должностях профессорско-преподавательского состава муниципальных образовательных учреждений, работников муниципальных учреждений культуры и искусства, повышение заработной платы, которых производится в соответствии с Указами Президента Российской Федерации от 07.05.2012 № 597 «О мероприятиях по реализации государственной социальной политики» и от 01.06.2012 № 761 «О национальной стратегии действий в интересах детей на 2012-2017 годы».</w:t>
      </w:r>
    </w:p>
    <w:p w14:paraId="16798399" w14:textId="21F4A98F" w:rsidR="005E4972" w:rsidRPr="00762A53" w:rsidRDefault="005E4972" w:rsidP="005E4972">
      <w:pPr>
        <w:suppressAutoHyphens w:val="0"/>
        <w:spacing w:line="276" w:lineRule="auto"/>
        <w:ind w:firstLine="708"/>
        <w:rPr>
          <w:sz w:val="28"/>
          <w:szCs w:val="28"/>
          <w:lang w:eastAsia="ru-RU"/>
        </w:rPr>
      </w:pPr>
      <w:r w:rsidRPr="00762A53">
        <w:rPr>
          <w:sz w:val="28"/>
          <w:szCs w:val="28"/>
          <w:lang w:eastAsia="ru-RU"/>
        </w:rPr>
        <w:t xml:space="preserve">По данным </w:t>
      </w:r>
      <w:proofErr w:type="spellStart"/>
      <w:r w:rsidRPr="00762A53">
        <w:rPr>
          <w:sz w:val="28"/>
          <w:szCs w:val="28"/>
          <w:lang w:eastAsia="ru-RU"/>
        </w:rPr>
        <w:t>Самарастата</w:t>
      </w:r>
      <w:proofErr w:type="spellEnd"/>
      <w:r w:rsidRPr="00762A53">
        <w:rPr>
          <w:sz w:val="28"/>
          <w:szCs w:val="28"/>
          <w:lang w:eastAsia="ru-RU"/>
        </w:rPr>
        <w:t xml:space="preserve">, предоставленным в целях мониторинга достижения заработной платы работников социальной сферы городского округа Тольятти </w:t>
      </w:r>
      <w:r w:rsidR="00572C00" w:rsidRPr="00762A53">
        <w:rPr>
          <w:sz w:val="28"/>
          <w:szCs w:val="28"/>
          <w:lang w:eastAsia="ru-RU"/>
        </w:rPr>
        <w:t xml:space="preserve">до </w:t>
      </w:r>
      <w:r w:rsidRPr="00762A53">
        <w:rPr>
          <w:sz w:val="28"/>
          <w:szCs w:val="28"/>
          <w:lang w:eastAsia="ru-RU"/>
        </w:rPr>
        <w:t xml:space="preserve">уровня, установленного Указом Президента </w:t>
      </w:r>
      <w:r w:rsidR="00815CAB">
        <w:rPr>
          <w:sz w:val="28"/>
          <w:szCs w:val="28"/>
          <w:lang w:eastAsia="ru-RU"/>
        </w:rPr>
        <w:t>Российской Федерации</w:t>
      </w:r>
      <w:r w:rsidRPr="00762A53">
        <w:rPr>
          <w:sz w:val="28"/>
          <w:szCs w:val="28"/>
          <w:lang w:eastAsia="ru-RU"/>
        </w:rPr>
        <w:t xml:space="preserve"> от 07.05.2012 № 597</w:t>
      </w:r>
      <w:r w:rsidR="00572C00" w:rsidRPr="00762A53">
        <w:rPr>
          <w:sz w:val="28"/>
          <w:szCs w:val="28"/>
          <w:lang w:eastAsia="ru-RU"/>
        </w:rPr>
        <w:t xml:space="preserve">, </w:t>
      </w:r>
      <w:r w:rsidR="00464959">
        <w:rPr>
          <w:sz w:val="28"/>
          <w:szCs w:val="28"/>
          <w:lang w:eastAsia="ru-RU"/>
        </w:rPr>
        <w:t>заработная плата работников муниципальных учреждений</w:t>
      </w:r>
      <w:r w:rsidR="00572C00" w:rsidRPr="00762A53">
        <w:rPr>
          <w:sz w:val="28"/>
          <w:szCs w:val="28"/>
          <w:lang w:eastAsia="ru-RU"/>
        </w:rPr>
        <w:t xml:space="preserve"> за январь-июнь 2021 года сложил</w:t>
      </w:r>
      <w:r w:rsidR="00464959">
        <w:rPr>
          <w:sz w:val="28"/>
          <w:szCs w:val="28"/>
          <w:lang w:eastAsia="ru-RU"/>
        </w:rPr>
        <w:t>а</w:t>
      </w:r>
      <w:r w:rsidR="00572C00" w:rsidRPr="00762A53">
        <w:rPr>
          <w:sz w:val="28"/>
          <w:szCs w:val="28"/>
          <w:lang w:eastAsia="ru-RU"/>
        </w:rPr>
        <w:t>сь следующим образом</w:t>
      </w:r>
      <w:r w:rsidRPr="00762A53">
        <w:rPr>
          <w:sz w:val="28"/>
          <w:szCs w:val="28"/>
          <w:lang w:eastAsia="ru-RU"/>
        </w:rPr>
        <w:t>:</w:t>
      </w:r>
    </w:p>
    <w:p w14:paraId="4EBA501C" w14:textId="291CD0D4" w:rsidR="005E4972" w:rsidRPr="00464959" w:rsidRDefault="005E4972" w:rsidP="005E4972">
      <w:pPr>
        <w:suppressAutoHyphens w:val="0"/>
        <w:spacing w:line="276" w:lineRule="auto"/>
        <w:ind w:firstLine="708"/>
        <w:rPr>
          <w:sz w:val="28"/>
          <w:szCs w:val="28"/>
          <w:lang w:eastAsia="ru-RU"/>
        </w:rPr>
      </w:pPr>
      <w:r w:rsidRPr="00464959">
        <w:rPr>
          <w:sz w:val="28"/>
          <w:szCs w:val="28"/>
          <w:lang w:eastAsia="ru-RU"/>
        </w:rPr>
        <w:t xml:space="preserve">- заработная плата педагогических работников муниципальных дошкольных образовательных учреждений </w:t>
      </w:r>
      <w:r w:rsidR="00464959">
        <w:rPr>
          <w:sz w:val="28"/>
          <w:szCs w:val="28"/>
          <w:lang w:eastAsia="ru-RU"/>
        </w:rPr>
        <w:t xml:space="preserve">– </w:t>
      </w:r>
      <w:r w:rsidRPr="00464959">
        <w:rPr>
          <w:sz w:val="28"/>
          <w:szCs w:val="28"/>
          <w:lang w:eastAsia="ru-RU"/>
        </w:rPr>
        <w:t>34</w:t>
      </w:r>
      <w:r w:rsidR="00464959">
        <w:rPr>
          <w:sz w:val="28"/>
          <w:szCs w:val="28"/>
          <w:lang w:eastAsia="ru-RU"/>
        </w:rPr>
        <w:t xml:space="preserve"> </w:t>
      </w:r>
      <w:r w:rsidRPr="00464959">
        <w:rPr>
          <w:sz w:val="28"/>
          <w:szCs w:val="28"/>
          <w:lang w:eastAsia="ru-RU"/>
        </w:rPr>
        <w:t>527 рублей</w:t>
      </w:r>
      <w:r w:rsidR="00464959">
        <w:rPr>
          <w:sz w:val="28"/>
          <w:szCs w:val="28"/>
          <w:lang w:eastAsia="ru-RU"/>
        </w:rPr>
        <w:t>, что на 11,2%</w:t>
      </w:r>
      <w:r w:rsidRPr="00464959">
        <w:rPr>
          <w:sz w:val="28"/>
          <w:szCs w:val="28"/>
          <w:lang w:eastAsia="ru-RU"/>
        </w:rPr>
        <w:t xml:space="preserve"> </w:t>
      </w:r>
      <w:r w:rsidR="00464959">
        <w:rPr>
          <w:sz w:val="28"/>
          <w:szCs w:val="28"/>
          <w:lang w:eastAsia="ru-RU"/>
        </w:rPr>
        <w:t>выше</w:t>
      </w:r>
      <w:r w:rsidRPr="00464959">
        <w:rPr>
          <w:sz w:val="28"/>
          <w:szCs w:val="28"/>
          <w:lang w:eastAsia="ru-RU"/>
        </w:rPr>
        <w:t xml:space="preserve"> соответствующ</w:t>
      </w:r>
      <w:r w:rsidR="00464959">
        <w:rPr>
          <w:sz w:val="28"/>
          <w:szCs w:val="28"/>
          <w:lang w:eastAsia="ru-RU"/>
        </w:rPr>
        <w:t>его</w:t>
      </w:r>
      <w:r w:rsidRPr="00464959">
        <w:rPr>
          <w:sz w:val="28"/>
          <w:szCs w:val="28"/>
          <w:lang w:eastAsia="ru-RU"/>
        </w:rPr>
        <w:t xml:space="preserve"> период</w:t>
      </w:r>
      <w:r w:rsidR="00464959">
        <w:rPr>
          <w:sz w:val="28"/>
          <w:szCs w:val="28"/>
          <w:lang w:eastAsia="ru-RU"/>
        </w:rPr>
        <w:t>а</w:t>
      </w:r>
      <w:r w:rsidRPr="00464959">
        <w:rPr>
          <w:sz w:val="28"/>
          <w:szCs w:val="28"/>
          <w:lang w:eastAsia="ru-RU"/>
        </w:rPr>
        <w:t xml:space="preserve"> прошлого года;</w:t>
      </w:r>
    </w:p>
    <w:p w14:paraId="5CA01F9B" w14:textId="615906DD" w:rsidR="005E4972" w:rsidRPr="00464959" w:rsidRDefault="005E4972" w:rsidP="005E4972">
      <w:pPr>
        <w:suppressAutoHyphens w:val="0"/>
        <w:spacing w:line="276" w:lineRule="auto"/>
        <w:ind w:firstLine="708"/>
        <w:rPr>
          <w:sz w:val="28"/>
          <w:szCs w:val="28"/>
          <w:lang w:eastAsia="ru-RU"/>
        </w:rPr>
      </w:pPr>
      <w:r w:rsidRPr="00464959">
        <w:rPr>
          <w:sz w:val="28"/>
          <w:szCs w:val="28"/>
          <w:lang w:eastAsia="ru-RU"/>
        </w:rPr>
        <w:t xml:space="preserve">- заработная плата педагогических работников образовательных учреждений общего образования </w:t>
      </w:r>
      <w:r w:rsidR="00464959">
        <w:rPr>
          <w:sz w:val="28"/>
          <w:szCs w:val="28"/>
          <w:lang w:eastAsia="ru-RU"/>
        </w:rPr>
        <w:t xml:space="preserve">- </w:t>
      </w:r>
      <w:r w:rsidRPr="00464959">
        <w:rPr>
          <w:sz w:val="28"/>
          <w:szCs w:val="28"/>
          <w:lang w:eastAsia="ru-RU"/>
        </w:rPr>
        <w:t>35 852 рубл</w:t>
      </w:r>
      <w:r w:rsidR="00464959">
        <w:rPr>
          <w:sz w:val="28"/>
          <w:szCs w:val="28"/>
          <w:lang w:eastAsia="ru-RU"/>
        </w:rPr>
        <w:t>я,</w:t>
      </w:r>
      <w:r w:rsidRPr="00464959">
        <w:rPr>
          <w:sz w:val="28"/>
          <w:szCs w:val="28"/>
          <w:lang w:eastAsia="ru-RU"/>
        </w:rPr>
        <w:t xml:space="preserve"> </w:t>
      </w:r>
      <w:r w:rsidR="00464959">
        <w:rPr>
          <w:sz w:val="28"/>
          <w:szCs w:val="28"/>
          <w:lang w:eastAsia="ru-RU"/>
        </w:rPr>
        <w:t xml:space="preserve">что </w:t>
      </w:r>
      <w:r w:rsidRPr="00464959">
        <w:rPr>
          <w:sz w:val="28"/>
          <w:szCs w:val="28"/>
          <w:lang w:eastAsia="ru-RU"/>
        </w:rPr>
        <w:t xml:space="preserve">на </w:t>
      </w:r>
      <w:r w:rsidR="00464959">
        <w:rPr>
          <w:sz w:val="28"/>
          <w:szCs w:val="28"/>
          <w:lang w:eastAsia="ru-RU"/>
        </w:rPr>
        <w:t>12,6</w:t>
      </w:r>
      <w:r w:rsidRPr="00464959">
        <w:rPr>
          <w:sz w:val="28"/>
          <w:szCs w:val="28"/>
          <w:lang w:eastAsia="ru-RU"/>
        </w:rPr>
        <w:t xml:space="preserve">% </w:t>
      </w:r>
      <w:r w:rsidR="00464959">
        <w:rPr>
          <w:sz w:val="28"/>
          <w:szCs w:val="28"/>
          <w:lang w:eastAsia="ru-RU"/>
        </w:rPr>
        <w:t>больше</w:t>
      </w:r>
      <w:r w:rsidRPr="00464959">
        <w:rPr>
          <w:sz w:val="28"/>
          <w:szCs w:val="28"/>
          <w:lang w:eastAsia="ru-RU"/>
        </w:rPr>
        <w:t xml:space="preserve"> уровн</w:t>
      </w:r>
      <w:r w:rsidR="00464959">
        <w:rPr>
          <w:sz w:val="28"/>
          <w:szCs w:val="28"/>
          <w:lang w:eastAsia="ru-RU"/>
        </w:rPr>
        <w:t>я</w:t>
      </w:r>
      <w:r w:rsidRPr="00464959">
        <w:rPr>
          <w:sz w:val="28"/>
          <w:szCs w:val="28"/>
          <w:lang w:eastAsia="ru-RU"/>
        </w:rPr>
        <w:t xml:space="preserve"> января-июня 2020 года;</w:t>
      </w:r>
    </w:p>
    <w:p w14:paraId="05E96A8F" w14:textId="4130A309" w:rsidR="005E4972" w:rsidRPr="00464959" w:rsidRDefault="005E4972" w:rsidP="005E4972">
      <w:pPr>
        <w:suppressAutoHyphens w:val="0"/>
        <w:spacing w:line="276" w:lineRule="auto"/>
        <w:ind w:firstLine="708"/>
        <w:rPr>
          <w:sz w:val="28"/>
          <w:szCs w:val="28"/>
          <w:lang w:eastAsia="ru-RU"/>
        </w:rPr>
      </w:pPr>
      <w:r w:rsidRPr="00464959">
        <w:rPr>
          <w:sz w:val="28"/>
          <w:szCs w:val="28"/>
          <w:lang w:eastAsia="ru-RU"/>
        </w:rPr>
        <w:t xml:space="preserve">- заработная плата педагогических работников в учреждениях дополнительного образования детей </w:t>
      </w:r>
      <w:r w:rsidR="00F82CD1">
        <w:rPr>
          <w:sz w:val="28"/>
          <w:szCs w:val="28"/>
          <w:lang w:eastAsia="ru-RU"/>
        </w:rPr>
        <w:t xml:space="preserve">(по отрасли образование, физическая культура и спорт, культура) </w:t>
      </w:r>
      <w:r w:rsidR="00464959">
        <w:rPr>
          <w:sz w:val="28"/>
          <w:szCs w:val="28"/>
          <w:lang w:eastAsia="ru-RU"/>
        </w:rPr>
        <w:t xml:space="preserve">- </w:t>
      </w:r>
      <w:r w:rsidRPr="00464959">
        <w:rPr>
          <w:sz w:val="28"/>
          <w:szCs w:val="28"/>
          <w:lang w:eastAsia="ru-RU"/>
        </w:rPr>
        <w:t>42 532 рубл</w:t>
      </w:r>
      <w:r w:rsidR="00464959">
        <w:rPr>
          <w:sz w:val="28"/>
          <w:szCs w:val="28"/>
          <w:lang w:eastAsia="ru-RU"/>
        </w:rPr>
        <w:t xml:space="preserve">я, на </w:t>
      </w:r>
      <w:r w:rsidRPr="00464959">
        <w:rPr>
          <w:sz w:val="28"/>
          <w:szCs w:val="28"/>
          <w:lang w:eastAsia="ru-RU"/>
        </w:rPr>
        <w:t xml:space="preserve">17,8% </w:t>
      </w:r>
      <w:r w:rsidR="00464959">
        <w:rPr>
          <w:sz w:val="28"/>
          <w:szCs w:val="28"/>
          <w:lang w:eastAsia="ru-RU"/>
        </w:rPr>
        <w:t>больше</w:t>
      </w:r>
      <w:r w:rsidRPr="00464959">
        <w:rPr>
          <w:sz w:val="28"/>
          <w:szCs w:val="28"/>
          <w:lang w:eastAsia="ru-RU"/>
        </w:rPr>
        <w:t xml:space="preserve"> уровн</w:t>
      </w:r>
      <w:r w:rsidR="00464959">
        <w:rPr>
          <w:sz w:val="28"/>
          <w:szCs w:val="28"/>
          <w:lang w:eastAsia="ru-RU"/>
        </w:rPr>
        <w:t>я</w:t>
      </w:r>
      <w:r w:rsidRPr="00464959">
        <w:rPr>
          <w:sz w:val="28"/>
          <w:szCs w:val="28"/>
          <w:lang w:eastAsia="ru-RU"/>
        </w:rPr>
        <w:t xml:space="preserve"> января-июня 2020 года;</w:t>
      </w:r>
    </w:p>
    <w:p w14:paraId="66A99CFB" w14:textId="72F5C6BF" w:rsidR="005E4972" w:rsidRPr="00464959" w:rsidRDefault="005E4972" w:rsidP="005E4972">
      <w:pPr>
        <w:suppressAutoHyphens w:val="0"/>
        <w:spacing w:line="276" w:lineRule="auto"/>
        <w:ind w:firstLine="708"/>
        <w:rPr>
          <w:sz w:val="28"/>
          <w:szCs w:val="28"/>
          <w:lang w:eastAsia="ru-RU"/>
        </w:rPr>
      </w:pPr>
      <w:r w:rsidRPr="00464959">
        <w:rPr>
          <w:sz w:val="28"/>
          <w:szCs w:val="28"/>
          <w:lang w:eastAsia="ru-RU"/>
        </w:rPr>
        <w:t xml:space="preserve">- заработная плата работников культуры </w:t>
      </w:r>
      <w:r w:rsidR="00464959">
        <w:rPr>
          <w:sz w:val="28"/>
          <w:szCs w:val="28"/>
          <w:lang w:eastAsia="ru-RU"/>
        </w:rPr>
        <w:t xml:space="preserve">- </w:t>
      </w:r>
      <w:r w:rsidRPr="00464959">
        <w:rPr>
          <w:sz w:val="28"/>
          <w:szCs w:val="28"/>
          <w:lang w:eastAsia="ru-RU"/>
        </w:rPr>
        <w:t>32 566 рублей</w:t>
      </w:r>
      <w:r w:rsidR="00464959">
        <w:rPr>
          <w:sz w:val="28"/>
          <w:szCs w:val="28"/>
          <w:lang w:eastAsia="ru-RU"/>
        </w:rPr>
        <w:t>, что</w:t>
      </w:r>
      <w:r w:rsidRPr="00464959">
        <w:rPr>
          <w:sz w:val="28"/>
          <w:szCs w:val="28"/>
          <w:lang w:eastAsia="ru-RU"/>
        </w:rPr>
        <w:t xml:space="preserve"> на </w:t>
      </w:r>
      <w:r w:rsidR="00464959">
        <w:rPr>
          <w:sz w:val="28"/>
          <w:szCs w:val="28"/>
          <w:lang w:eastAsia="ru-RU"/>
        </w:rPr>
        <w:t>10,1</w:t>
      </w:r>
      <w:r w:rsidRPr="00464959">
        <w:rPr>
          <w:sz w:val="28"/>
          <w:szCs w:val="28"/>
          <w:lang w:eastAsia="ru-RU"/>
        </w:rPr>
        <w:t xml:space="preserve">% </w:t>
      </w:r>
      <w:r w:rsidR="00464959">
        <w:rPr>
          <w:sz w:val="28"/>
          <w:szCs w:val="28"/>
          <w:lang w:eastAsia="ru-RU"/>
        </w:rPr>
        <w:t>больше</w:t>
      </w:r>
      <w:r w:rsidRPr="00464959">
        <w:rPr>
          <w:sz w:val="28"/>
          <w:szCs w:val="28"/>
          <w:lang w:eastAsia="ru-RU"/>
        </w:rPr>
        <w:t xml:space="preserve"> уровн</w:t>
      </w:r>
      <w:r w:rsidR="00464959">
        <w:rPr>
          <w:sz w:val="28"/>
          <w:szCs w:val="28"/>
          <w:lang w:eastAsia="ru-RU"/>
        </w:rPr>
        <w:t>я</w:t>
      </w:r>
      <w:r w:rsidRPr="00464959">
        <w:rPr>
          <w:sz w:val="28"/>
          <w:szCs w:val="28"/>
          <w:lang w:eastAsia="ru-RU"/>
        </w:rPr>
        <w:t xml:space="preserve"> января-июня 2020 года;</w:t>
      </w:r>
    </w:p>
    <w:p w14:paraId="13F82965" w14:textId="516B2CA0" w:rsidR="005E4972" w:rsidRPr="005E4972" w:rsidRDefault="005E4972" w:rsidP="005E4972">
      <w:pPr>
        <w:suppressAutoHyphens w:val="0"/>
        <w:spacing w:line="276" w:lineRule="auto"/>
        <w:ind w:firstLine="708"/>
        <w:rPr>
          <w:sz w:val="28"/>
          <w:szCs w:val="28"/>
          <w:lang w:eastAsia="ru-RU"/>
        </w:rPr>
      </w:pPr>
      <w:r w:rsidRPr="00464959">
        <w:rPr>
          <w:sz w:val="28"/>
          <w:szCs w:val="28"/>
          <w:lang w:eastAsia="ru-RU"/>
        </w:rPr>
        <w:t>- заработная плата среднего медицинского персонала в муниципальных спортивных детско-юношеских школах олимпийского резерва</w:t>
      </w:r>
      <w:r w:rsidR="00464959">
        <w:rPr>
          <w:sz w:val="28"/>
          <w:szCs w:val="28"/>
          <w:lang w:eastAsia="ru-RU"/>
        </w:rPr>
        <w:t xml:space="preserve"> - </w:t>
      </w:r>
      <w:r w:rsidRPr="00464959">
        <w:rPr>
          <w:sz w:val="28"/>
          <w:szCs w:val="28"/>
          <w:lang w:eastAsia="ru-RU"/>
        </w:rPr>
        <w:t>20 176,7 рублей</w:t>
      </w:r>
      <w:r w:rsidR="00464959">
        <w:rPr>
          <w:sz w:val="28"/>
          <w:szCs w:val="28"/>
          <w:lang w:eastAsia="ru-RU"/>
        </w:rPr>
        <w:t>, что</w:t>
      </w:r>
      <w:r w:rsidRPr="00464959">
        <w:rPr>
          <w:sz w:val="28"/>
          <w:szCs w:val="28"/>
          <w:lang w:eastAsia="ru-RU"/>
        </w:rPr>
        <w:t xml:space="preserve"> на 37,8% </w:t>
      </w:r>
      <w:r w:rsidR="00464959">
        <w:rPr>
          <w:sz w:val="28"/>
          <w:szCs w:val="28"/>
          <w:lang w:eastAsia="ru-RU"/>
        </w:rPr>
        <w:t xml:space="preserve">больше </w:t>
      </w:r>
      <w:r w:rsidRPr="00464959">
        <w:rPr>
          <w:sz w:val="28"/>
          <w:szCs w:val="28"/>
          <w:lang w:eastAsia="ru-RU"/>
        </w:rPr>
        <w:t>уровн</w:t>
      </w:r>
      <w:r w:rsidR="00464959">
        <w:rPr>
          <w:sz w:val="28"/>
          <w:szCs w:val="28"/>
          <w:lang w:eastAsia="ru-RU"/>
        </w:rPr>
        <w:t>я</w:t>
      </w:r>
      <w:r w:rsidRPr="00464959">
        <w:rPr>
          <w:sz w:val="28"/>
          <w:szCs w:val="28"/>
          <w:lang w:eastAsia="ru-RU"/>
        </w:rPr>
        <w:t xml:space="preserve"> января-июня 2020 года.</w:t>
      </w:r>
    </w:p>
    <w:p w14:paraId="3258C3DC" w14:textId="77777777" w:rsidR="005E4972" w:rsidRPr="005E4972" w:rsidRDefault="005E4972" w:rsidP="005E4972">
      <w:pPr>
        <w:suppressAutoHyphens w:val="0"/>
        <w:spacing w:line="276" w:lineRule="auto"/>
        <w:ind w:firstLine="708"/>
        <w:rPr>
          <w:sz w:val="28"/>
          <w:szCs w:val="28"/>
          <w:lang w:eastAsia="ru-RU"/>
        </w:rPr>
      </w:pPr>
      <w:r w:rsidRPr="005E4972">
        <w:rPr>
          <w:sz w:val="28"/>
          <w:szCs w:val="28"/>
          <w:lang w:eastAsia="ru-RU"/>
        </w:rPr>
        <w:t>Значительный рост заработной платы работников муниципальных учреждений социальной сферы в I полугодии 2020 года обусловлен «низкой базой» соответствующего периода прошлого года, когда действовали ограничительные меры по посещаемости учреждений в связи с коронавирусной инфекцией.</w:t>
      </w:r>
    </w:p>
    <w:p w14:paraId="677A5147" w14:textId="6D5347B2" w:rsidR="00D47EC5" w:rsidRDefault="00D47EC5" w:rsidP="00242B0C">
      <w:pPr>
        <w:pStyle w:val="af9"/>
        <w:shd w:val="clear" w:color="auto" w:fill="FFFFFF"/>
        <w:spacing w:line="276" w:lineRule="auto"/>
        <w:rPr>
          <w:sz w:val="28"/>
          <w:szCs w:val="28"/>
          <w:lang w:eastAsia="ru-RU"/>
        </w:rPr>
      </w:pPr>
      <w:r w:rsidRPr="00242B0C">
        <w:rPr>
          <w:sz w:val="28"/>
          <w:szCs w:val="28"/>
          <w:lang w:eastAsia="ru-RU"/>
        </w:rPr>
        <w:t>Значение минимального размера оплаты труда (МРОТ) в Самарской области, установленное с 01.01.2021</w:t>
      </w:r>
      <w:r w:rsidR="00242B0C" w:rsidRPr="00242B0C">
        <w:rPr>
          <w:sz w:val="28"/>
          <w:szCs w:val="28"/>
          <w:lang w:eastAsia="ru-RU"/>
        </w:rPr>
        <w:t>,</w:t>
      </w:r>
      <w:r w:rsidRPr="00242B0C">
        <w:rPr>
          <w:sz w:val="28"/>
          <w:szCs w:val="28"/>
          <w:lang w:eastAsia="ru-RU"/>
        </w:rPr>
        <w:t xml:space="preserve"> согласно </w:t>
      </w:r>
      <w:r w:rsidR="00242B0C" w:rsidRPr="00242B0C">
        <w:rPr>
          <w:sz w:val="28"/>
          <w:szCs w:val="28"/>
          <w:lang w:eastAsia="ru-RU"/>
        </w:rPr>
        <w:t xml:space="preserve">Федеральному закону от </w:t>
      </w:r>
      <w:r w:rsidR="00242B0C" w:rsidRPr="00242B0C">
        <w:rPr>
          <w:sz w:val="28"/>
          <w:szCs w:val="28"/>
          <w:lang w:eastAsia="ru-RU"/>
        </w:rPr>
        <w:lastRenderedPageBreak/>
        <w:t>29.12.2020 № 473-ФЗ «О внесении изменений в отдельные законодательные акты Российской Федерации»</w:t>
      </w:r>
      <w:r w:rsidR="00C44F6A" w:rsidRPr="00242B0C">
        <w:rPr>
          <w:sz w:val="28"/>
          <w:szCs w:val="28"/>
          <w:lang w:eastAsia="ru-RU"/>
        </w:rPr>
        <w:t>,</w:t>
      </w:r>
      <w:r w:rsidRPr="00242B0C">
        <w:rPr>
          <w:sz w:val="28"/>
          <w:szCs w:val="28"/>
          <w:lang w:eastAsia="ru-RU"/>
        </w:rPr>
        <w:t xml:space="preserve"> составило 12792 рубля, что на 5,5% выше </w:t>
      </w:r>
      <w:r w:rsidR="00E22750" w:rsidRPr="00242B0C">
        <w:rPr>
          <w:sz w:val="28"/>
          <w:szCs w:val="28"/>
          <w:lang w:eastAsia="ru-RU"/>
        </w:rPr>
        <w:t xml:space="preserve">значения МРОТ </w:t>
      </w:r>
      <w:r w:rsidRPr="00242B0C">
        <w:rPr>
          <w:sz w:val="28"/>
          <w:szCs w:val="28"/>
          <w:lang w:eastAsia="ru-RU"/>
        </w:rPr>
        <w:t>предыдущего года</w:t>
      </w:r>
      <w:r w:rsidR="00E22750" w:rsidRPr="00242B0C">
        <w:rPr>
          <w:sz w:val="28"/>
          <w:szCs w:val="28"/>
          <w:lang w:eastAsia="ru-RU"/>
        </w:rPr>
        <w:t xml:space="preserve"> (12130 рублей)</w:t>
      </w:r>
      <w:r w:rsidRPr="00242B0C">
        <w:rPr>
          <w:sz w:val="28"/>
          <w:szCs w:val="28"/>
          <w:lang w:eastAsia="ru-RU"/>
        </w:rPr>
        <w:t>.</w:t>
      </w:r>
    </w:p>
    <w:bookmarkEnd w:id="8"/>
    <w:p w14:paraId="168EFF47" w14:textId="3CFF23C9" w:rsidR="00E72F82" w:rsidRDefault="00E72F82" w:rsidP="00E72F82">
      <w:pPr>
        <w:pStyle w:val="230"/>
        <w:keepNext/>
        <w:keepLines/>
        <w:spacing w:before="120" w:line="276" w:lineRule="auto"/>
        <w:ind w:left="0" w:firstLine="0"/>
        <w:jc w:val="center"/>
        <w:rPr>
          <w:bCs/>
          <w:sz w:val="28"/>
          <w:szCs w:val="28"/>
        </w:rPr>
      </w:pPr>
      <w:r w:rsidRPr="00EF4863">
        <w:rPr>
          <w:bCs/>
          <w:sz w:val="28"/>
          <w:szCs w:val="28"/>
        </w:rPr>
        <w:t xml:space="preserve">Ожидаемое выполнение прогнозных показателей по разделу </w:t>
      </w:r>
      <w:r w:rsidR="00EF4863">
        <w:rPr>
          <w:bCs/>
          <w:sz w:val="28"/>
          <w:szCs w:val="28"/>
        </w:rPr>
        <w:t xml:space="preserve">                   </w:t>
      </w:r>
      <w:r w:rsidRPr="00EF4863">
        <w:rPr>
          <w:bCs/>
          <w:sz w:val="28"/>
          <w:szCs w:val="28"/>
        </w:rPr>
        <w:t>«Заработная плата» на 202</w:t>
      </w:r>
      <w:r w:rsidR="00EF4863" w:rsidRPr="00EF4863">
        <w:rPr>
          <w:bCs/>
          <w:sz w:val="28"/>
          <w:szCs w:val="28"/>
        </w:rPr>
        <w:t>1</w:t>
      </w:r>
      <w:r w:rsidRPr="00EF4863">
        <w:rPr>
          <w:bCs/>
          <w:sz w:val="28"/>
          <w:szCs w:val="28"/>
        </w:rPr>
        <w:t xml:space="preserve"> г</w:t>
      </w:r>
      <w:r w:rsidR="00EF4863" w:rsidRPr="00EF4863">
        <w:rPr>
          <w:bCs/>
          <w:sz w:val="28"/>
          <w:szCs w:val="28"/>
        </w:rPr>
        <w:t>од</w:t>
      </w:r>
    </w:p>
    <w:tbl>
      <w:tblPr>
        <w:tblW w:w="9370" w:type="dxa"/>
        <w:tblInd w:w="108" w:type="dxa"/>
        <w:tblLayout w:type="fixed"/>
        <w:tblLook w:val="0000" w:firstRow="0" w:lastRow="0" w:firstColumn="0" w:lastColumn="0" w:noHBand="0" w:noVBand="0"/>
      </w:tblPr>
      <w:tblGrid>
        <w:gridCol w:w="4111"/>
        <w:gridCol w:w="1276"/>
        <w:gridCol w:w="1417"/>
        <w:gridCol w:w="1276"/>
        <w:gridCol w:w="1290"/>
      </w:tblGrid>
      <w:tr w:rsidR="00E72F82" w:rsidRPr="008253D3" w14:paraId="6D2753E8" w14:textId="77777777" w:rsidTr="00C44F6A">
        <w:trPr>
          <w:tblHeader/>
        </w:trPr>
        <w:tc>
          <w:tcPr>
            <w:tcW w:w="4111" w:type="dxa"/>
            <w:vMerge w:val="restart"/>
            <w:tcBorders>
              <w:top w:val="single" w:sz="4" w:space="0" w:color="000000"/>
              <w:left w:val="single" w:sz="4" w:space="0" w:color="000000"/>
              <w:bottom w:val="single" w:sz="4" w:space="0" w:color="000000"/>
            </w:tcBorders>
            <w:vAlign w:val="center"/>
          </w:tcPr>
          <w:p w14:paraId="06E3FE2B" w14:textId="77777777" w:rsidR="00E72F82" w:rsidRPr="00EF4863" w:rsidRDefault="00E72F82" w:rsidP="00E72F82">
            <w:pPr>
              <w:pStyle w:val="230"/>
              <w:keepNext/>
              <w:keepLines/>
              <w:spacing w:after="0" w:line="276" w:lineRule="auto"/>
              <w:ind w:left="0" w:firstLine="0"/>
              <w:jc w:val="center"/>
              <w:rPr>
                <w:sz w:val="28"/>
                <w:szCs w:val="28"/>
              </w:rPr>
            </w:pPr>
            <w:r w:rsidRPr="00EF4863">
              <w:rPr>
                <w:sz w:val="28"/>
                <w:szCs w:val="28"/>
              </w:rPr>
              <w:t>Показатели</w:t>
            </w:r>
          </w:p>
        </w:tc>
        <w:tc>
          <w:tcPr>
            <w:tcW w:w="1276" w:type="dxa"/>
            <w:vMerge w:val="restart"/>
            <w:tcBorders>
              <w:top w:val="single" w:sz="4" w:space="0" w:color="000000"/>
              <w:left w:val="single" w:sz="4" w:space="0" w:color="000000"/>
              <w:bottom w:val="single" w:sz="4" w:space="0" w:color="000000"/>
            </w:tcBorders>
            <w:vAlign w:val="center"/>
          </w:tcPr>
          <w:p w14:paraId="739A7403" w14:textId="77777777" w:rsidR="00E72F82" w:rsidRPr="00EF4863" w:rsidRDefault="00E72F82" w:rsidP="00E72F82">
            <w:pPr>
              <w:pStyle w:val="230"/>
              <w:keepNext/>
              <w:keepLines/>
              <w:spacing w:after="0" w:line="240" w:lineRule="auto"/>
              <w:ind w:left="0" w:firstLine="0"/>
              <w:jc w:val="center"/>
              <w:rPr>
                <w:sz w:val="28"/>
                <w:szCs w:val="28"/>
              </w:rPr>
            </w:pPr>
            <w:r w:rsidRPr="00EF4863">
              <w:rPr>
                <w:sz w:val="28"/>
                <w:szCs w:val="28"/>
              </w:rPr>
              <w:t xml:space="preserve">Единица </w:t>
            </w:r>
            <w:proofErr w:type="spellStart"/>
            <w:r w:rsidRPr="00EF4863">
              <w:rPr>
                <w:sz w:val="28"/>
                <w:szCs w:val="28"/>
              </w:rPr>
              <w:t>измере</w:t>
            </w:r>
            <w:proofErr w:type="spellEnd"/>
          </w:p>
          <w:p w14:paraId="0761805E" w14:textId="77777777" w:rsidR="00E72F82" w:rsidRPr="00EF4863" w:rsidRDefault="00E72F82" w:rsidP="00E72F82">
            <w:pPr>
              <w:pStyle w:val="230"/>
              <w:keepNext/>
              <w:keepLines/>
              <w:spacing w:after="0" w:line="240" w:lineRule="auto"/>
              <w:ind w:left="0" w:firstLine="0"/>
              <w:jc w:val="center"/>
              <w:rPr>
                <w:sz w:val="28"/>
                <w:szCs w:val="28"/>
              </w:rPr>
            </w:pPr>
            <w:proofErr w:type="spellStart"/>
            <w:r w:rsidRPr="00EF4863">
              <w:rPr>
                <w:sz w:val="28"/>
                <w:szCs w:val="28"/>
              </w:rPr>
              <w:t>ния</w:t>
            </w:r>
            <w:proofErr w:type="spellEnd"/>
          </w:p>
        </w:tc>
        <w:tc>
          <w:tcPr>
            <w:tcW w:w="2693" w:type="dxa"/>
            <w:gridSpan w:val="2"/>
            <w:tcBorders>
              <w:top w:val="single" w:sz="4" w:space="0" w:color="000000"/>
              <w:left w:val="single" w:sz="4" w:space="0" w:color="000000"/>
              <w:bottom w:val="single" w:sz="4" w:space="0" w:color="000000"/>
            </w:tcBorders>
            <w:vAlign w:val="center"/>
          </w:tcPr>
          <w:p w14:paraId="42865191" w14:textId="6899F2EA" w:rsidR="00E72F82" w:rsidRPr="00EF4863" w:rsidRDefault="00E72F82" w:rsidP="00EF4863">
            <w:pPr>
              <w:ind w:firstLine="0"/>
              <w:jc w:val="center"/>
              <w:rPr>
                <w:sz w:val="28"/>
                <w:szCs w:val="28"/>
              </w:rPr>
            </w:pPr>
            <w:r w:rsidRPr="00EF4863">
              <w:rPr>
                <w:sz w:val="28"/>
                <w:szCs w:val="28"/>
              </w:rPr>
              <w:t>Прогноз на 202</w:t>
            </w:r>
            <w:r w:rsidR="00EF4863">
              <w:rPr>
                <w:sz w:val="28"/>
                <w:szCs w:val="28"/>
              </w:rPr>
              <w:t>1</w:t>
            </w:r>
            <w:r w:rsidRPr="00EF4863">
              <w:rPr>
                <w:sz w:val="28"/>
                <w:szCs w:val="28"/>
              </w:rPr>
              <w:t xml:space="preserve"> год</w:t>
            </w:r>
          </w:p>
        </w:tc>
        <w:tc>
          <w:tcPr>
            <w:tcW w:w="1290" w:type="dxa"/>
            <w:vMerge w:val="restart"/>
            <w:tcBorders>
              <w:top w:val="single" w:sz="4" w:space="0" w:color="000000"/>
              <w:left w:val="single" w:sz="4" w:space="0" w:color="000000"/>
              <w:right w:val="single" w:sz="4" w:space="0" w:color="000000"/>
            </w:tcBorders>
            <w:vAlign w:val="center"/>
          </w:tcPr>
          <w:p w14:paraId="35F40317" w14:textId="7294AF91" w:rsidR="00E72F82" w:rsidRPr="008253D3" w:rsidRDefault="00E72F82" w:rsidP="00EF4863">
            <w:pPr>
              <w:ind w:firstLine="0"/>
              <w:jc w:val="center"/>
              <w:rPr>
                <w:sz w:val="28"/>
                <w:szCs w:val="28"/>
                <w:highlight w:val="yellow"/>
              </w:rPr>
            </w:pPr>
            <w:r w:rsidRPr="00EF4863">
              <w:rPr>
                <w:sz w:val="28"/>
                <w:szCs w:val="28"/>
              </w:rPr>
              <w:t>202</w:t>
            </w:r>
            <w:r w:rsidR="00EF4863">
              <w:rPr>
                <w:sz w:val="28"/>
                <w:szCs w:val="28"/>
              </w:rPr>
              <w:t>1</w:t>
            </w:r>
            <w:r w:rsidRPr="00EF4863">
              <w:rPr>
                <w:sz w:val="28"/>
                <w:szCs w:val="28"/>
              </w:rPr>
              <w:t xml:space="preserve"> год (оценка)</w:t>
            </w:r>
          </w:p>
        </w:tc>
      </w:tr>
      <w:tr w:rsidR="00E72F82" w:rsidRPr="008253D3" w14:paraId="2EF6E75C" w14:textId="77777777" w:rsidTr="00C44F6A">
        <w:trPr>
          <w:trHeight w:val="539"/>
          <w:tblHeader/>
        </w:trPr>
        <w:tc>
          <w:tcPr>
            <w:tcW w:w="4111" w:type="dxa"/>
            <w:vMerge/>
            <w:tcBorders>
              <w:top w:val="single" w:sz="4" w:space="0" w:color="000000"/>
              <w:left w:val="single" w:sz="4" w:space="0" w:color="000000"/>
              <w:bottom w:val="single" w:sz="4" w:space="0" w:color="000000"/>
            </w:tcBorders>
            <w:vAlign w:val="center"/>
          </w:tcPr>
          <w:p w14:paraId="18CAE139" w14:textId="77777777" w:rsidR="00E72F82" w:rsidRPr="00EF4863" w:rsidRDefault="00E72F82" w:rsidP="00E72F82">
            <w:pPr>
              <w:pStyle w:val="230"/>
              <w:snapToGrid w:val="0"/>
              <w:spacing w:after="0" w:line="276" w:lineRule="auto"/>
              <w:ind w:left="0" w:firstLine="0"/>
              <w:jc w:val="center"/>
              <w:rPr>
                <w:sz w:val="28"/>
                <w:szCs w:val="28"/>
              </w:rPr>
            </w:pPr>
          </w:p>
        </w:tc>
        <w:tc>
          <w:tcPr>
            <w:tcW w:w="1276" w:type="dxa"/>
            <w:vMerge/>
            <w:tcBorders>
              <w:top w:val="single" w:sz="4" w:space="0" w:color="000000"/>
              <w:left w:val="single" w:sz="4" w:space="0" w:color="000000"/>
              <w:bottom w:val="single" w:sz="4" w:space="0" w:color="000000"/>
            </w:tcBorders>
            <w:vAlign w:val="center"/>
          </w:tcPr>
          <w:p w14:paraId="3A2EF796" w14:textId="77777777" w:rsidR="00E72F82" w:rsidRPr="00EF4863" w:rsidRDefault="00E72F82" w:rsidP="00E72F82">
            <w:pPr>
              <w:pStyle w:val="230"/>
              <w:snapToGrid w:val="0"/>
              <w:spacing w:after="0" w:line="240" w:lineRule="auto"/>
              <w:ind w:left="0" w:firstLine="0"/>
              <w:jc w:val="center"/>
              <w:rPr>
                <w:sz w:val="28"/>
                <w:szCs w:val="28"/>
              </w:rPr>
            </w:pPr>
          </w:p>
        </w:tc>
        <w:tc>
          <w:tcPr>
            <w:tcW w:w="1417" w:type="dxa"/>
            <w:tcBorders>
              <w:top w:val="single" w:sz="4" w:space="0" w:color="000000"/>
              <w:left w:val="single" w:sz="4" w:space="0" w:color="000000"/>
              <w:bottom w:val="single" w:sz="4" w:space="0" w:color="000000"/>
            </w:tcBorders>
            <w:vAlign w:val="center"/>
          </w:tcPr>
          <w:p w14:paraId="36DD11F4" w14:textId="77777777" w:rsidR="00E72F82" w:rsidRPr="00EF4863" w:rsidRDefault="00E72F82" w:rsidP="00E72F82">
            <w:pPr>
              <w:ind w:firstLine="0"/>
              <w:jc w:val="center"/>
              <w:rPr>
                <w:sz w:val="28"/>
                <w:szCs w:val="28"/>
              </w:rPr>
            </w:pPr>
            <w:r w:rsidRPr="00EF4863">
              <w:rPr>
                <w:sz w:val="28"/>
                <w:szCs w:val="28"/>
              </w:rPr>
              <w:t>консерва-</w:t>
            </w:r>
            <w:proofErr w:type="spellStart"/>
            <w:r w:rsidRPr="00EF4863">
              <w:rPr>
                <w:sz w:val="28"/>
                <w:szCs w:val="28"/>
              </w:rPr>
              <w:t>тивный</w:t>
            </w:r>
            <w:proofErr w:type="spellEnd"/>
          </w:p>
        </w:tc>
        <w:tc>
          <w:tcPr>
            <w:tcW w:w="1276" w:type="dxa"/>
            <w:tcBorders>
              <w:top w:val="single" w:sz="4" w:space="0" w:color="000000"/>
              <w:left w:val="single" w:sz="4" w:space="0" w:color="000000"/>
              <w:bottom w:val="single" w:sz="4" w:space="0" w:color="000000"/>
            </w:tcBorders>
            <w:vAlign w:val="center"/>
          </w:tcPr>
          <w:p w14:paraId="5A069D06" w14:textId="77777777" w:rsidR="00E72F82" w:rsidRPr="00EF4863" w:rsidRDefault="00E72F82" w:rsidP="00E72F82">
            <w:pPr>
              <w:ind w:firstLine="0"/>
              <w:jc w:val="center"/>
              <w:rPr>
                <w:sz w:val="28"/>
                <w:szCs w:val="28"/>
              </w:rPr>
            </w:pPr>
            <w:r w:rsidRPr="00EF4863">
              <w:rPr>
                <w:sz w:val="28"/>
                <w:szCs w:val="28"/>
              </w:rPr>
              <w:t>базовый</w:t>
            </w:r>
          </w:p>
        </w:tc>
        <w:tc>
          <w:tcPr>
            <w:tcW w:w="1290" w:type="dxa"/>
            <w:vMerge/>
            <w:tcBorders>
              <w:left w:val="single" w:sz="4" w:space="0" w:color="000000"/>
              <w:bottom w:val="single" w:sz="4" w:space="0" w:color="000000"/>
              <w:right w:val="single" w:sz="4" w:space="0" w:color="000000"/>
            </w:tcBorders>
            <w:vAlign w:val="center"/>
          </w:tcPr>
          <w:p w14:paraId="4AC2D1C9" w14:textId="77777777" w:rsidR="00E72F82" w:rsidRPr="008253D3" w:rsidRDefault="00E72F82" w:rsidP="00E72F82">
            <w:pPr>
              <w:pStyle w:val="230"/>
              <w:snapToGrid w:val="0"/>
              <w:spacing w:after="0" w:line="276" w:lineRule="auto"/>
              <w:ind w:left="0" w:firstLine="0"/>
              <w:jc w:val="center"/>
              <w:rPr>
                <w:sz w:val="28"/>
                <w:szCs w:val="28"/>
                <w:highlight w:val="yellow"/>
              </w:rPr>
            </w:pPr>
          </w:p>
        </w:tc>
      </w:tr>
      <w:tr w:rsidR="009711EF" w:rsidRPr="008253D3" w14:paraId="4DE966AD" w14:textId="77777777" w:rsidTr="0013410D">
        <w:trPr>
          <w:cantSplit/>
          <w:trHeight w:val="539"/>
        </w:trPr>
        <w:tc>
          <w:tcPr>
            <w:tcW w:w="4111" w:type="dxa"/>
            <w:tcBorders>
              <w:top w:val="single" w:sz="4" w:space="0" w:color="000000"/>
              <w:left w:val="single" w:sz="4" w:space="0" w:color="000000"/>
              <w:bottom w:val="single" w:sz="4" w:space="0" w:color="000000"/>
            </w:tcBorders>
          </w:tcPr>
          <w:p w14:paraId="55CDAAF2" w14:textId="0F3E68D6" w:rsidR="009711EF" w:rsidRPr="00EF4863" w:rsidRDefault="009711EF" w:rsidP="009711EF">
            <w:pPr>
              <w:pStyle w:val="230"/>
              <w:snapToGrid w:val="0"/>
              <w:spacing w:after="0" w:line="276" w:lineRule="auto"/>
              <w:ind w:left="0" w:firstLine="0"/>
              <w:jc w:val="left"/>
              <w:rPr>
                <w:sz w:val="28"/>
                <w:szCs w:val="28"/>
              </w:rPr>
            </w:pPr>
            <w:r w:rsidRPr="00EF4863">
              <w:rPr>
                <w:sz w:val="28"/>
                <w:szCs w:val="28"/>
              </w:rPr>
              <w:t xml:space="preserve">Среднемесячная номинальная начисленная заработная плата работников </w:t>
            </w:r>
            <w:r>
              <w:rPr>
                <w:sz w:val="28"/>
                <w:szCs w:val="28"/>
              </w:rPr>
              <w:t xml:space="preserve">крупных, средних и малых </w:t>
            </w:r>
            <w:r w:rsidRPr="00EF4863">
              <w:rPr>
                <w:sz w:val="28"/>
                <w:szCs w:val="28"/>
              </w:rPr>
              <w:t>организаций</w:t>
            </w:r>
          </w:p>
        </w:tc>
        <w:tc>
          <w:tcPr>
            <w:tcW w:w="1276" w:type="dxa"/>
            <w:tcBorders>
              <w:top w:val="single" w:sz="4" w:space="0" w:color="000000"/>
              <w:left w:val="single" w:sz="4" w:space="0" w:color="000000"/>
              <w:bottom w:val="single" w:sz="4" w:space="0" w:color="000000"/>
            </w:tcBorders>
            <w:vAlign w:val="bottom"/>
          </w:tcPr>
          <w:p w14:paraId="4E23F9D4" w14:textId="6A8DAA08" w:rsidR="009711EF" w:rsidRPr="008253D3" w:rsidRDefault="009711EF" w:rsidP="00E72F82">
            <w:pPr>
              <w:pStyle w:val="230"/>
              <w:snapToGrid w:val="0"/>
              <w:spacing w:after="0" w:line="240" w:lineRule="auto"/>
              <w:ind w:left="0" w:firstLine="0"/>
              <w:jc w:val="center"/>
              <w:rPr>
                <w:sz w:val="28"/>
                <w:szCs w:val="28"/>
                <w:highlight w:val="yellow"/>
              </w:rPr>
            </w:pPr>
            <w:r w:rsidRPr="009711EF">
              <w:rPr>
                <w:sz w:val="28"/>
                <w:szCs w:val="28"/>
              </w:rPr>
              <w:t>рублей</w:t>
            </w:r>
          </w:p>
        </w:tc>
        <w:tc>
          <w:tcPr>
            <w:tcW w:w="1417" w:type="dxa"/>
            <w:tcBorders>
              <w:top w:val="single" w:sz="4" w:space="0" w:color="000000"/>
              <w:left w:val="single" w:sz="4" w:space="0" w:color="000000"/>
              <w:bottom w:val="single" w:sz="4" w:space="0" w:color="000000"/>
            </w:tcBorders>
            <w:vAlign w:val="center"/>
          </w:tcPr>
          <w:p w14:paraId="553413C7" w14:textId="1A7CE417" w:rsidR="009711EF" w:rsidRPr="009711EF" w:rsidRDefault="009711EF" w:rsidP="00E72F82">
            <w:pPr>
              <w:ind w:firstLine="0"/>
              <w:jc w:val="center"/>
              <w:rPr>
                <w:sz w:val="28"/>
                <w:szCs w:val="28"/>
              </w:rPr>
            </w:pPr>
            <w:r w:rsidRPr="009711EF">
              <w:rPr>
                <w:sz w:val="28"/>
                <w:szCs w:val="28"/>
              </w:rPr>
              <w:t>-</w:t>
            </w:r>
            <w:r w:rsidRPr="009711EF">
              <w:rPr>
                <w:sz w:val="28"/>
                <w:szCs w:val="28"/>
                <w:vertAlign w:val="superscript"/>
              </w:rPr>
              <w:t>1</w:t>
            </w:r>
          </w:p>
        </w:tc>
        <w:tc>
          <w:tcPr>
            <w:tcW w:w="1276" w:type="dxa"/>
            <w:tcBorders>
              <w:top w:val="single" w:sz="4" w:space="0" w:color="000000"/>
              <w:left w:val="single" w:sz="4" w:space="0" w:color="000000"/>
              <w:bottom w:val="single" w:sz="4" w:space="0" w:color="000000"/>
            </w:tcBorders>
            <w:vAlign w:val="center"/>
          </w:tcPr>
          <w:p w14:paraId="49E7AA5C" w14:textId="44471029" w:rsidR="009711EF" w:rsidRPr="009711EF" w:rsidRDefault="009711EF" w:rsidP="00E72F82">
            <w:pPr>
              <w:ind w:firstLine="0"/>
              <w:jc w:val="center"/>
              <w:rPr>
                <w:sz w:val="28"/>
                <w:szCs w:val="28"/>
              </w:rPr>
            </w:pPr>
            <w:r w:rsidRPr="009711EF">
              <w:rPr>
                <w:sz w:val="28"/>
                <w:szCs w:val="28"/>
              </w:rPr>
              <w:t>-</w:t>
            </w:r>
            <w:r w:rsidRPr="009711EF">
              <w:rPr>
                <w:sz w:val="28"/>
                <w:szCs w:val="28"/>
                <w:vertAlign w:val="superscript"/>
              </w:rPr>
              <w:t>1</w:t>
            </w:r>
          </w:p>
        </w:tc>
        <w:tc>
          <w:tcPr>
            <w:tcW w:w="1290" w:type="dxa"/>
            <w:tcBorders>
              <w:left w:val="single" w:sz="4" w:space="0" w:color="000000"/>
              <w:bottom w:val="single" w:sz="4" w:space="0" w:color="000000"/>
              <w:right w:val="single" w:sz="4" w:space="0" w:color="000000"/>
            </w:tcBorders>
            <w:vAlign w:val="center"/>
          </w:tcPr>
          <w:p w14:paraId="577F68EE" w14:textId="63A41F32" w:rsidR="009711EF" w:rsidRPr="009711EF" w:rsidRDefault="009711EF" w:rsidP="00E72F82">
            <w:pPr>
              <w:pStyle w:val="230"/>
              <w:snapToGrid w:val="0"/>
              <w:spacing w:after="0" w:line="276" w:lineRule="auto"/>
              <w:ind w:left="0" w:firstLine="0"/>
              <w:jc w:val="center"/>
              <w:rPr>
                <w:sz w:val="28"/>
                <w:szCs w:val="28"/>
              </w:rPr>
            </w:pPr>
            <w:r w:rsidRPr="009711EF">
              <w:rPr>
                <w:sz w:val="28"/>
                <w:szCs w:val="28"/>
              </w:rPr>
              <w:t>40 450</w:t>
            </w:r>
          </w:p>
        </w:tc>
      </w:tr>
      <w:tr w:rsidR="009711EF" w:rsidRPr="008253D3" w14:paraId="588FFB0C" w14:textId="77777777" w:rsidTr="0013410D">
        <w:trPr>
          <w:cantSplit/>
          <w:trHeight w:val="539"/>
        </w:trPr>
        <w:tc>
          <w:tcPr>
            <w:tcW w:w="4111" w:type="dxa"/>
            <w:tcBorders>
              <w:top w:val="single" w:sz="4" w:space="0" w:color="000000"/>
              <w:left w:val="single" w:sz="4" w:space="0" w:color="000000"/>
              <w:bottom w:val="single" w:sz="4" w:space="0" w:color="000000"/>
            </w:tcBorders>
          </w:tcPr>
          <w:p w14:paraId="12234223" w14:textId="6909A098" w:rsidR="009711EF" w:rsidRPr="00EF4863" w:rsidRDefault="009711EF" w:rsidP="00EF4863">
            <w:pPr>
              <w:pStyle w:val="230"/>
              <w:snapToGrid w:val="0"/>
              <w:spacing w:after="0" w:line="276" w:lineRule="auto"/>
              <w:ind w:left="0" w:firstLine="0"/>
              <w:jc w:val="left"/>
              <w:rPr>
                <w:sz w:val="28"/>
                <w:szCs w:val="28"/>
              </w:rPr>
            </w:pPr>
            <w:r w:rsidRPr="00EF4863">
              <w:rPr>
                <w:sz w:val="28"/>
                <w:szCs w:val="28"/>
              </w:rPr>
              <w:t xml:space="preserve">Реальная среднемесячная начисленная заработная плата работников </w:t>
            </w:r>
            <w:r>
              <w:rPr>
                <w:sz w:val="28"/>
                <w:szCs w:val="28"/>
              </w:rPr>
              <w:t xml:space="preserve">крупных, средних и малых </w:t>
            </w:r>
            <w:r w:rsidRPr="00EF4863">
              <w:rPr>
                <w:sz w:val="28"/>
                <w:szCs w:val="28"/>
              </w:rPr>
              <w:t>организаций</w:t>
            </w:r>
          </w:p>
        </w:tc>
        <w:tc>
          <w:tcPr>
            <w:tcW w:w="1276" w:type="dxa"/>
            <w:tcBorders>
              <w:top w:val="single" w:sz="4" w:space="0" w:color="000000"/>
              <w:left w:val="single" w:sz="4" w:space="0" w:color="000000"/>
              <w:bottom w:val="single" w:sz="4" w:space="0" w:color="000000"/>
            </w:tcBorders>
            <w:vAlign w:val="bottom"/>
          </w:tcPr>
          <w:p w14:paraId="6DACF7A7" w14:textId="57C0F7A8" w:rsidR="009711EF" w:rsidRPr="008253D3" w:rsidRDefault="009711EF" w:rsidP="00E72F82">
            <w:pPr>
              <w:pStyle w:val="230"/>
              <w:snapToGrid w:val="0"/>
              <w:spacing w:after="0" w:line="240" w:lineRule="auto"/>
              <w:ind w:left="0" w:firstLine="0"/>
              <w:jc w:val="center"/>
              <w:rPr>
                <w:sz w:val="28"/>
                <w:szCs w:val="28"/>
                <w:highlight w:val="yellow"/>
              </w:rPr>
            </w:pPr>
            <w:r w:rsidRPr="009711EF">
              <w:rPr>
                <w:sz w:val="28"/>
                <w:szCs w:val="28"/>
              </w:rPr>
              <w:t>%</w:t>
            </w:r>
          </w:p>
        </w:tc>
        <w:tc>
          <w:tcPr>
            <w:tcW w:w="1417" w:type="dxa"/>
            <w:tcBorders>
              <w:top w:val="single" w:sz="4" w:space="0" w:color="000000"/>
              <w:left w:val="single" w:sz="4" w:space="0" w:color="000000"/>
              <w:bottom w:val="single" w:sz="4" w:space="0" w:color="000000"/>
            </w:tcBorders>
            <w:vAlign w:val="center"/>
          </w:tcPr>
          <w:p w14:paraId="1FA5B1B0" w14:textId="6AF48F81" w:rsidR="009711EF" w:rsidRPr="008253D3" w:rsidRDefault="009711EF" w:rsidP="00E72F82">
            <w:pPr>
              <w:ind w:firstLine="0"/>
              <w:jc w:val="center"/>
              <w:rPr>
                <w:sz w:val="28"/>
                <w:szCs w:val="28"/>
                <w:highlight w:val="yellow"/>
              </w:rPr>
            </w:pPr>
            <w:r w:rsidRPr="009711EF">
              <w:rPr>
                <w:sz w:val="28"/>
                <w:szCs w:val="28"/>
              </w:rPr>
              <w:t>-</w:t>
            </w:r>
            <w:r w:rsidRPr="009711EF">
              <w:rPr>
                <w:sz w:val="28"/>
                <w:szCs w:val="28"/>
                <w:vertAlign w:val="superscript"/>
              </w:rPr>
              <w:t>1</w:t>
            </w:r>
          </w:p>
        </w:tc>
        <w:tc>
          <w:tcPr>
            <w:tcW w:w="1276" w:type="dxa"/>
            <w:tcBorders>
              <w:top w:val="single" w:sz="4" w:space="0" w:color="000000"/>
              <w:left w:val="single" w:sz="4" w:space="0" w:color="000000"/>
              <w:bottom w:val="single" w:sz="4" w:space="0" w:color="000000"/>
            </w:tcBorders>
            <w:vAlign w:val="center"/>
          </w:tcPr>
          <w:p w14:paraId="329E75B2" w14:textId="43323AF4" w:rsidR="009711EF" w:rsidRPr="008253D3" w:rsidRDefault="009711EF" w:rsidP="00E72F82">
            <w:pPr>
              <w:ind w:firstLine="0"/>
              <w:jc w:val="center"/>
              <w:rPr>
                <w:sz w:val="28"/>
                <w:szCs w:val="28"/>
                <w:highlight w:val="yellow"/>
              </w:rPr>
            </w:pPr>
            <w:r w:rsidRPr="009711EF">
              <w:rPr>
                <w:sz w:val="28"/>
                <w:szCs w:val="28"/>
              </w:rPr>
              <w:t>-</w:t>
            </w:r>
            <w:r w:rsidRPr="009711EF">
              <w:rPr>
                <w:sz w:val="28"/>
                <w:szCs w:val="28"/>
                <w:vertAlign w:val="superscript"/>
              </w:rPr>
              <w:t>1</w:t>
            </w:r>
          </w:p>
        </w:tc>
        <w:tc>
          <w:tcPr>
            <w:tcW w:w="1290" w:type="dxa"/>
            <w:tcBorders>
              <w:left w:val="single" w:sz="4" w:space="0" w:color="000000"/>
              <w:bottom w:val="single" w:sz="4" w:space="0" w:color="000000"/>
              <w:right w:val="single" w:sz="4" w:space="0" w:color="000000"/>
            </w:tcBorders>
            <w:vAlign w:val="center"/>
          </w:tcPr>
          <w:p w14:paraId="0415EF75" w14:textId="2A4DB5AE" w:rsidR="009711EF" w:rsidRPr="009711EF" w:rsidRDefault="009711EF" w:rsidP="00E72F82">
            <w:pPr>
              <w:pStyle w:val="230"/>
              <w:snapToGrid w:val="0"/>
              <w:spacing w:after="0" w:line="276" w:lineRule="auto"/>
              <w:ind w:left="0" w:firstLine="0"/>
              <w:jc w:val="center"/>
              <w:rPr>
                <w:sz w:val="28"/>
                <w:szCs w:val="28"/>
              </w:rPr>
            </w:pPr>
            <w:r w:rsidRPr="009711EF">
              <w:rPr>
                <w:sz w:val="28"/>
                <w:szCs w:val="28"/>
              </w:rPr>
              <w:t>101,3</w:t>
            </w:r>
          </w:p>
        </w:tc>
      </w:tr>
      <w:tr w:rsidR="00E72F82" w:rsidRPr="008253D3" w14:paraId="359D3DD2" w14:textId="77777777" w:rsidTr="0013410D">
        <w:trPr>
          <w:cantSplit/>
        </w:trPr>
        <w:tc>
          <w:tcPr>
            <w:tcW w:w="4111" w:type="dxa"/>
            <w:tcBorders>
              <w:top w:val="single" w:sz="4" w:space="0" w:color="000000"/>
              <w:left w:val="single" w:sz="4" w:space="0" w:color="000000"/>
              <w:bottom w:val="single" w:sz="4" w:space="0" w:color="000000"/>
            </w:tcBorders>
            <w:shd w:val="clear" w:color="auto" w:fill="auto"/>
          </w:tcPr>
          <w:p w14:paraId="51167802" w14:textId="0D943D12" w:rsidR="00E72F82" w:rsidRPr="009711EF" w:rsidRDefault="00E72F82" w:rsidP="00E72F82">
            <w:pPr>
              <w:pStyle w:val="230"/>
              <w:spacing w:after="0" w:line="240" w:lineRule="auto"/>
              <w:ind w:left="0" w:firstLine="0"/>
              <w:rPr>
                <w:sz w:val="28"/>
                <w:szCs w:val="28"/>
              </w:rPr>
            </w:pPr>
            <w:r w:rsidRPr="009711EF">
              <w:rPr>
                <w:sz w:val="28"/>
                <w:szCs w:val="28"/>
              </w:rPr>
              <w:t xml:space="preserve">Среднемесячная номинальная начисленная заработная плата работников организаций, не относящихся к субъектам </w:t>
            </w:r>
          </w:p>
        </w:tc>
        <w:tc>
          <w:tcPr>
            <w:tcW w:w="1276" w:type="dxa"/>
            <w:tcBorders>
              <w:top w:val="single" w:sz="4" w:space="0" w:color="000000"/>
              <w:left w:val="single" w:sz="4" w:space="0" w:color="000000"/>
              <w:bottom w:val="single" w:sz="4" w:space="0" w:color="000000"/>
            </w:tcBorders>
            <w:shd w:val="clear" w:color="auto" w:fill="auto"/>
            <w:vAlign w:val="bottom"/>
          </w:tcPr>
          <w:p w14:paraId="6606B86B" w14:textId="77777777" w:rsidR="00E72F82" w:rsidRPr="009711EF" w:rsidRDefault="00E72F82" w:rsidP="00E72F82">
            <w:pPr>
              <w:pStyle w:val="230"/>
              <w:spacing w:after="0" w:line="276" w:lineRule="auto"/>
              <w:ind w:left="0" w:firstLine="0"/>
              <w:jc w:val="center"/>
              <w:rPr>
                <w:sz w:val="28"/>
                <w:szCs w:val="28"/>
              </w:rPr>
            </w:pPr>
            <w:r w:rsidRPr="009711EF">
              <w:rPr>
                <w:sz w:val="28"/>
                <w:szCs w:val="28"/>
              </w:rPr>
              <w:t>рублей</w:t>
            </w:r>
          </w:p>
        </w:tc>
        <w:tc>
          <w:tcPr>
            <w:tcW w:w="1417" w:type="dxa"/>
            <w:tcBorders>
              <w:top w:val="single" w:sz="4" w:space="0" w:color="000000"/>
              <w:left w:val="single" w:sz="4" w:space="0" w:color="000000"/>
              <w:bottom w:val="single" w:sz="4" w:space="0" w:color="000000"/>
            </w:tcBorders>
            <w:shd w:val="clear" w:color="auto" w:fill="auto"/>
            <w:vAlign w:val="bottom"/>
          </w:tcPr>
          <w:p w14:paraId="2ADDDCF4" w14:textId="790C7C7A" w:rsidR="00E72F82" w:rsidRPr="009711EF" w:rsidRDefault="009711EF" w:rsidP="00915495">
            <w:pPr>
              <w:pStyle w:val="230"/>
              <w:spacing w:after="0" w:line="276" w:lineRule="auto"/>
              <w:ind w:left="0" w:firstLine="0"/>
              <w:jc w:val="center"/>
              <w:rPr>
                <w:sz w:val="28"/>
                <w:szCs w:val="28"/>
              </w:rPr>
            </w:pPr>
            <w:r>
              <w:rPr>
                <w:sz w:val="28"/>
                <w:szCs w:val="28"/>
              </w:rPr>
              <w:t>43 300</w:t>
            </w:r>
          </w:p>
        </w:tc>
        <w:tc>
          <w:tcPr>
            <w:tcW w:w="1276" w:type="dxa"/>
            <w:tcBorders>
              <w:top w:val="single" w:sz="4" w:space="0" w:color="000000"/>
              <w:left w:val="single" w:sz="4" w:space="0" w:color="000000"/>
              <w:bottom w:val="single" w:sz="4" w:space="0" w:color="000000"/>
            </w:tcBorders>
            <w:shd w:val="clear" w:color="auto" w:fill="auto"/>
            <w:vAlign w:val="bottom"/>
          </w:tcPr>
          <w:p w14:paraId="1C724EB1" w14:textId="6F104C5A" w:rsidR="00E72F82" w:rsidRPr="009711EF" w:rsidRDefault="009711EF" w:rsidP="00915495">
            <w:pPr>
              <w:pStyle w:val="230"/>
              <w:spacing w:after="0" w:line="276" w:lineRule="auto"/>
              <w:ind w:left="0" w:firstLine="0"/>
              <w:jc w:val="center"/>
              <w:rPr>
                <w:sz w:val="28"/>
                <w:szCs w:val="28"/>
              </w:rPr>
            </w:pPr>
            <w:r>
              <w:rPr>
                <w:sz w:val="28"/>
                <w:szCs w:val="28"/>
              </w:rPr>
              <w:t>43 500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418BCE" w14:textId="2B0B1FC5" w:rsidR="00E72F82" w:rsidRPr="009711EF" w:rsidRDefault="009711EF" w:rsidP="00915495">
            <w:pPr>
              <w:pStyle w:val="230"/>
              <w:spacing w:after="0" w:line="276" w:lineRule="auto"/>
              <w:ind w:left="0" w:firstLine="0"/>
              <w:jc w:val="center"/>
              <w:rPr>
                <w:sz w:val="28"/>
                <w:szCs w:val="28"/>
              </w:rPr>
            </w:pPr>
            <w:r>
              <w:rPr>
                <w:sz w:val="28"/>
                <w:szCs w:val="28"/>
              </w:rPr>
              <w:t>45 500</w:t>
            </w:r>
          </w:p>
        </w:tc>
      </w:tr>
      <w:tr w:rsidR="00E72F82" w:rsidRPr="008253D3" w14:paraId="5E3CE502" w14:textId="77777777" w:rsidTr="0013410D">
        <w:trPr>
          <w:cantSplit/>
        </w:trPr>
        <w:tc>
          <w:tcPr>
            <w:tcW w:w="4111" w:type="dxa"/>
            <w:tcBorders>
              <w:top w:val="single" w:sz="4" w:space="0" w:color="000000"/>
              <w:left w:val="single" w:sz="4" w:space="0" w:color="000000"/>
              <w:bottom w:val="single" w:sz="4" w:space="0" w:color="000000"/>
            </w:tcBorders>
            <w:shd w:val="clear" w:color="auto" w:fill="auto"/>
          </w:tcPr>
          <w:p w14:paraId="6C596EEA" w14:textId="77777777" w:rsidR="00E72F82" w:rsidRPr="009711EF" w:rsidRDefault="00E72F82" w:rsidP="00E72F82">
            <w:pPr>
              <w:pStyle w:val="230"/>
              <w:spacing w:after="0" w:line="240" w:lineRule="auto"/>
              <w:ind w:left="0" w:firstLine="0"/>
              <w:rPr>
                <w:sz w:val="28"/>
                <w:szCs w:val="28"/>
              </w:rPr>
            </w:pPr>
            <w:r w:rsidRPr="009711EF">
              <w:rPr>
                <w:sz w:val="28"/>
                <w:szCs w:val="28"/>
              </w:rPr>
              <w:t>Реальная среднемесячная начисленная заработная плата работников организаций, не относящихся к субъектам малого предпринимательства</w:t>
            </w:r>
          </w:p>
        </w:tc>
        <w:tc>
          <w:tcPr>
            <w:tcW w:w="1276" w:type="dxa"/>
            <w:tcBorders>
              <w:top w:val="single" w:sz="4" w:space="0" w:color="000000"/>
              <w:left w:val="single" w:sz="4" w:space="0" w:color="000000"/>
              <w:bottom w:val="single" w:sz="4" w:space="0" w:color="000000"/>
            </w:tcBorders>
            <w:shd w:val="clear" w:color="auto" w:fill="auto"/>
            <w:vAlign w:val="bottom"/>
          </w:tcPr>
          <w:p w14:paraId="3E00E7BE" w14:textId="77777777" w:rsidR="00E72F82" w:rsidRPr="009711EF" w:rsidRDefault="00E72F82" w:rsidP="00E72F82">
            <w:pPr>
              <w:pStyle w:val="230"/>
              <w:spacing w:after="0" w:line="240" w:lineRule="auto"/>
              <w:ind w:left="0" w:firstLine="0"/>
              <w:jc w:val="center"/>
              <w:rPr>
                <w:sz w:val="28"/>
                <w:szCs w:val="28"/>
              </w:rPr>
            </w:pPr>
            <w:r w:rsidRPr="009711EF">
              <w:rPr>
                <w:sz w:val="28"/>
                <w:szCs w:val="28"/>
              </w:rPr>
              <w:t>%</w:t>
            </w:r>
          </w:p>
        </w:tc>
        <w:tc>
          <w:tcPr>
            <w:tcW w:w="1417" w:type="dxa"/>
            <w:tcBorders>
              <w:top w:val="single" w:sz="4" w:space="0" w:color="000000"/>
              <w:left w:val="single" w:sz="4" w:space="0" w:color="000000"/>
              <w:bottom w:val="single" w:sz="4" w:space="0" w:color="000000"/>
            </w:tcBorders>
            <w:shd w:val="clear" w:color="auto" w:fill="auto"/>
            <w:vAlign w:val="bottom"/>
          </w:tcPr>
          <w:p w14:paraId="43C72AAE" w14:textId="5F4E1899" w:rsidR="00E72F82" w:rsidRPr="009711EF" w:rsidRDefault="009711EF" w:rsidP="00915495">
            <w:pPr>
              <w:pStyle w:val="230"/>
              <w:spacing w:after="0" w:line="240" w:lineRule="auto"/>
              <w:ind w:left="0" w:firstLine="0"/>
              <w:jc w:val="center"/>
              <w:rPr>
                <w:sz w:val="28"/>
                <w:szCs w:val="28"/>
              </w:rPr>
            </w:pPr>
            <w:r>
              <w:rPr>
                <w:sz w:val="28"/>
                <w:szCs w:val="28"/>
              </w:rPr>
              <w:t>100,2</w:t>
            </w:r>
          </w:p>
        </w:tc>
        <w:tc>
          <w:tcPr>
            <w:tcW w:w="1276" w:type="dxa"/>
            <w:tcBorders>
              <w:top w:val="single" w:sz="4" w:space="0" w:color="000000"/>
              <w:left w:val="single" w:sz="4" w:space="0" w:color="000000"/>
              <w:bottom w:val="single" w:sz="4" w:space="0" w:color="000000"/>
            </w:tcBorders>
            <w:shd w:val="clear" w:color="auto" w:fill="auto"/>
            <w:vAlign w:val="bottom"/>
          </w:tcPr>
          <w:p w14:paraId="4ABD3A10" w14:textId="521281D1" w:rsidR="00E72F82" w:rsidRPr="009711EF" w:rsidRDefault="009711EF" w:rsidP="00915495">
            <w:pPr>
              <w:pStyle w:val="230"/>
              <w:spacing w:after="0" w:line="240" w:lineRule="auto"/>
              <w:ind w:left="0" w:firstLine="0"/>
              <w:jc w:val="center"/>
              <w:rPr>
                <w:sz w:val="28"/>
                <w:szCs w:val="28"/>
              </w:rPr>
            </w:pPr>
            <w:r>
              <w:rPr>
                <w:sz w:val="28"/>
                <w:szCs w:val="28"/>
              </w:rPr>
              <w:t>100,6</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696462" w14:textId="64CE912C" w:rsidR="00E72F82" w:rsidRPr="009711EF" w:rsidRDefault="009711EF" w:rsidP="00915495">
            <w:pPr>
              <w:pStyle w:val="230"/>
              <w:spacing w:after="0" w:line="240" w:lineRule="auto"/>
              <w:ind w:left="0" w:firstLine="0"/>
              <w:jc w:val="center"/>
              <w:rPr>
                <w:sz w:val="28"/>
                <w:szCs w:val="28"/>
              </w:rPr>
            </w:pPr>
            <w:r>
              <w:rPr>
                <w:sz w:val="28"/>
                <w:szCs w:val="28"/>
              </w:rPr>
              <w:t>101,9</w:t>
            </w:r>
          </w:p>
        </w:tc>
      </w:tr>
    </w:tbl>
    <w:p w14:paraId="0988796B" w14:textId="77777777" w:rsidR="009D0773" w:rsidRPr="00762A53" w:rsidRDefault="009D0773" w:rsidP="009D0773">
      <w:pPr>
        <w:widowControl w:val="0"/>
        <w:suppressAutoHyphens w:val="0"/>
        <w:spacing w:line="276" w:lineRule="auto"/>
        <w:rPr>
          <w:sz w:val="22"/>
          <w:szCs w:val="22"/>
          <w:lang w:eastAsia="ar-SA"/>
        </w:rPr>
      </w:pPr>
      <w:r w:rsidRPr="00762A53">
        <w:rPr>
          <w:sz w:val="22"/>
          <w:szCs w:val="22"/>
          <w:vertAlign w:val="superscript"/>
          <w:lang w:eastAsia="ar-SA"/>
        </w:rPr>
        <w:t>1</w:t>
      </w:r>
      <w:r w:rsidRPr="00762A53">
        <w:rPr>
          <w:sz w:val="22"/>
          <w:szCs w:val="22"/>
          <w:lang w:eastAsia="ar-SA"/>
        </w:rPr>
        <w:t xml:space="preserve">- </w:t>
      </w:r>
      <w:r>
        <w:rPr>
          <w:sz w:val="22"/>
          <w:szCs w:val="22"/>
          <w:lang w:eastAsia="ar-SA"/>
        </w:rPr>
        <w:t>включено</w:t>
      </w:r>
      <w:r w:rsidRPr="00762A53">
        <w:rPr>
          <w:sz w:val="22"/>
          <w:szCs w:val="22"/>
          <w:lang w:eastAsia="ar-SA"/>
        </w:rPr>
        <w:t xml:space="preserve"> в соответствии с постановлением администрации городского округа Тольятти от 19.08.2021 № 2847-п/1 «О внесении изменений в постановление мэрии городского округа Тольятти от 24.08.2015 № 2742-п/1 «Об утверждении Порядка разработки прогноза социально-экономического развития городского округа Тольятти на очередной финансовый год и на плановый период».</w:t>
      </w:r>
    </w:p>
    <w:p w14:paraId="4DBF8B8A" w14:textId="77777777" w:rsidR="004246A5" w:rsidRDefault="004246A5" w:rsidP="00120C25">
      <w:pPr>
        <w:numPr>
          <w:ilvl w:val="0"/>
          <w:numId w:val="5"/>
        </w:numPr>
        <w:tabs>
          <w:tab w:val="clear" w:pos="0"/>
          <w:tab w:val="num" w:pos="432"/>
        </w:tabs>
        <w:suppressAutoHyphens w:val="0"/>
        <w:snapToGrid w:val="0"/>
        <w:spacing w:line="276" w:lineRule="auto"/>
        <w:ind w:left="0" w:firstLine="709"/>
        <w:contextualSpacing/>
        <w:textAlignment w:val="top"/>
        <w:rPr>
          <w:rFonts w:eastAsiaTheme="minorEastAsia"/>
          <w:sz w:val="28"/>
          <w:szCs w:val="28"/>
          <w:lang w:eastAsia="ru-RU"/>
        </w:rPr>
      </w:pPr>
    </w:p>
    <w:p w14:paraId="72190E69" w14:textId="289A97D5" w:rsidR="00D83D2A" w:rsidRDefault="00D83D2A" w:rsidP="00120C25">
      <w:pPr>
        <w:numPr>
          <w:ilvl w:val="0"/>
          <w:numId w:val="5"/>
        </w:numPr>
        <w:tabs>
          <w:tab w:val="clear" w:pos="0"/>
          <w:tab w:val="num" w:pos="432"/>
        </w:tabs>
        <w:suppressAutoHyphens w:val="0"/>
        <w:snapToGrid w:val="0"/>
        <w:spacing w:line="276" w:lineRule="auto"/>
        <w:ind w:left="0" w:firstLine="709"/>
        <w:contextualSpacing/>
        <w:textAlignment w:val="top"/>
        <w:rPr>
          <w:rFonts w:eastAsiaTheme="minorEastAsia"/>
          <w:sz w:val="28"/>
          <w:szCs w:val="28"/>
          <w:lang w:eastAsia="ru-RU"/>
        </w:rPr>
      </w:pPr>
      <w:r w:rsidRPr="00D83D2A">
        <w:rPr>
          <w:rFonts w:eastAsiaTheme="minorEastAsia"/>
          <w:sz w:val="28"/>
          <w:szCs w:val="28"/>
          <w:lang w:eastAsia="ru-RU"/>
        </w:rPr>
        <w:t xml:space="preserve">С учетом сокращения эффекта «низкой базы» предыдущего года, в связи </w:t>
      </w:r>
      <w:r>
        <w:rPr>
          <w:rFonts w:eastAsiaTheme="minorEastAsia"/>
          <w:sz w:val="28"/>
          <w:szCs w:val="28"/>
          <w:lang w:eastAsia="ru-RU"/>
        </w:rPr>
        <w:t xml:space="preserve">с ухудшением </w:t>
      </w:r>
      <w:r w:rsidRPr="00D83D2A">
        <w:rPr>
          <w:rFonts w:eastAsiaTheme="minorEastAsia"/>
          <w:sz w:val="28"/>
          <w:szCs w:val="28"/>
          <w:lang w:eastAsia="ru-RU"/>
        </w:rPr>
        <w:t>эпидемиологическ</w:t>
      </w:r>
      <w:r>
        <w:rPr>
          <w:rFonts w:eastAsiaTheme="minorEastAsia"/>
          <w:sz w:val="28"/>
          <w:szCs w:val="28"/>
          <w:lang w:eastAsia="ru-RU"/>
        </w:rPr>
        <w:t>ой</w:t>
      </w:r>
      <w:r w:rsidRPr="00D83D2A">
        <w:rPr>
          <w:rFonts w:eastAsiaTheme="minorEastAsia"/>
          <w:sz w:val="28"/>
          <w:szCs w:val="28"/>
          <w:lang w:eastAsia="ru-RU"/>
        </w:rPr>
        <w:t xml:space="preserve"> ситуаци</w:t>
      </w:r>
      <w:r>
        <w:rPr>
          <w:rFonts w:eastAsiaTheme="minorEastAsia"/>
          <w:sz w:val="28"/>
          <w:szCs w:val="28"/>
          <w:lang w:eastAsia="ru-RU"/>
        </w:rPr>
        <w:t>и</w:t>
      </w:r>
      <w:r w:rsidRPr="00D83D2A">
        <w:rPr>
          <w:rFonts w:eastAsiaTheme="minorEastAsia"/>
          <w:sz w:val="28"/>
          <w:szCs w:val="28"/>
          <w:lang w:eastAsia="ru-RU"/>
        </w:rPr>
        <w:t xml:space="preserve"> и принятие</w:t>
      </w:r>
      <w:r>
        <w:rPr>
          <w:rFonts w:eastAsiaTheme="minorEastAsia"/>
          <w:sz w:val="28"/>
          <w:szCs w:val="28"/>
          <w:lang w:eastAsia="ru-RU"/>
        </w:rPr>
        <w:t>м</w:t>
      </w:r>
      <w:r w:rsidRPr="00D83D2A">
        <w:rPr>
          <w:rFonts w:eastAsiaTheme="minorEastAsia"/>
          <w:sz w:val="28"/>
          <w:szCs w:val="28"/>
          <w:lang w:eastAsia="ru-RU"/>
        </w:rPr>
        <w:t xml:space="preserve"> ограничительных мер</w:t>
      </w:r>
      <w:r>
        <w:rPr>
          <w:rFonts w:eastAsiaTheme="minorEastAsia"/>
          <w:sz w:val="28"/>
          <w:szCs w:val="28"/>
          <w:lang w:eastAsia="ru-RU"/>
        </w:rPr>
        <w:t xml:space="preserve">, а также </w:t>
      </w:r>
      <w:r w:rsidRPr="00D83D2A">
        <w:rPr>
          <w:rFonts w:eastAsiaTheme="minorEastAsia"/>
          <w:sz w:val="28"/>
          <w:szCs w:val="28"/>
          <w:lang w:eastAsia="ru-RU"/>
        </w:rPr>
        <w:t xml:space="preserve">с неопределенностью в автомобильной промышленности, связанной с дефицитом электронных компонентов и простоем производства, во втором полугодии 2021 года темп роста заработной платы будет замедляться. </w:t>
      </w:r>
    </w:p>
    <w:p w14:paraId="31319E8E" w14:textId="62C067E1" w:rsidR="00915495" w:rsidRPr="00D83D2A" w:rsidRDefault="00915495" w:rsidP="00120C25">
      <w:pPr>
        <w:numPr>
          <w:ilvl w:val="0"/>
          <w:numId w:val="5"/>
        </w:numPr>
        <w:tabs>
          <w:tab w:val="clear" w:pos="0"/>
          <w:tab w:val="num" w:pos="432"/>
        </w:tabs>
        <w:suppressAutoHyphens w:val="0"/>
        <w:snapToGrid w:val="0"/>
        <w:spacing w:line="276" w:lineRule="auto"/>
        <w:ind w:left="0" w:firstLine="709"/>
        <w:contextualSpacing/>
        <w:textAlignment w:val="top"/>
        <w:rPr>
          <w:rFonts w:eastAsiaTheme="minorEastAsia"/>
          <w:sz w:val="28"/>
          <w:szCs w:val="28"/>
          <w:lang w:eastAsia="ru-RU"/>
        </w:rPr>
      </w:pPr>
      <w:r w:rsidRPr="00D83D2A">
        <w:rPr>
          <w:rFonts w:eastAsiaTheme="minorEastAsia"/>
          <w:sz w:val="28"/>
          <w:szCs w:val="28"/>
          <w:lang w:eastAsia="ru-RU"/>
        </w:rPr>
        <w:t>Учитывая сложившиеся экономические условия</w:t>
      </w:r>
      <w:r w:rsidR="00D83D2A">
        <w:rPr>
          <w:rFonts w:eastAsiaTheme="minorEastAsia"/>
          <w:sz w:val="28"/>
          <w:szCs w:val="28"/>
          <w:lang w:eastAsia="ru-RU"/>
        </w:rPr>
        <w:t xml:space="preserve"> и</w:t>
      </w:r>
      <w:r w:rsidRPr="00D83D2A">
        <w:rPr>
          <w:rFonts w:eastAsiaTheme="minorEastAsia"/>
          <w:sz w:val="28"/>
          <w:szCs w:val="28"/>
          <w:lang w:eastAsia="ru-RU"/>
        </w:rPr>
        <w:t xml:space="preserve"> собственные прогнозы крупнейших предприятий города значение среднемесячной заработной платы </w:t>
      </w:r>
      <w:r w:rsidR="00B77595" w:rsidRPr="00D83D2A">
        <w:rPr>
          <w:rFonts w:eastAsiaTheme="minorEastAsia"/>
          <w:sz w:val="28"/>
          <w:szCs w:val="28"/>
          <w:lang w:eastAsia="ru-RU"/>
        </w:rPr>
        <w:t xml:space="preserve">по крупным, средним и малым организациям </w:t>
      </w:r>
      <w:r w:rsidRPr="00D83D2A">
        <w:rPr>
          <w:rFonts w:eastAsiaTheme="minorEastAsia"/>
          <w:sz w:val="28"/>
          <w:szCs w:val="28"/>
          <w:lang w:eastAsia="ru-RU"/>
        </w:rPr>
        <w:t>в 202</w:t>
      </w:r>
      <w:r w:rsidR="00B77595" w:rsidRPr="00D83D2A">
        <w:rPr>
          <w:rFonts w:eastAsiaTheme="minorEastAsia"/>
          <w:sz w:val="28"/>
          <w:szCs w:val="28"/>
          <w:lang w:eastAsia="ru-RU"/>
        </w:rPr>
        <w:t>1</w:t>
      </w:r>
      <w:r w:rsidRPr="00D83D2A">
        <w:rPr>
          <w:rFonts w:eastAsiaTheme="minorEastAsia"/>
          <w:sz w:val="28"/>
          <w:szCs w:val="28"/>
          <w:lang w:eastAsia="ru-RU"/>
        </w:rPr>
        <w:t xml:space="preserve"> году </w:t>
      </w:r>
      <w:r w:rsidRPr="00D83D2A">
        <w:rPr>
          <w:rFonts w:eastAsiaTheme="minorEastAsia"/>
          <w:sz w:val="28"/>
          <w:szCs w:val="28"/>
          <w:lang w:eastAsia="ru-RU"/>
        </w:rPr>
        <w:lastRenderedPageBreak/>
        <w:t xml:space="preserve">может достигнуть </w:t>
      </w:r>
      <w:r w:rsidR="00B77595" w:rsidRPr="00D83D2A">
        <w:rPr>
          <w:rFonts w:eastAsiaTheme="minorEastAsia"/>
          <w:sz w:val="28"/>
          <w:szCs w:val="28"/>
          <w:lang w:eastAsia="ru-RU"/>
        </w:rPr>
        <w:t>40 450</w:t>
      </w:r>
      <w:r w:rsidRPr="00D83D2A">
        <w:rPr>
          <w:rFonts w:eastAsiaTheme="minorEastAsia"/>
          <w:sz w:val="28"/>
          <w:szCs w:val="28"/>
          <w:lang w:eastAsia="ru-RU"/>
        </w:rPr>
        <w:t xml:space="preserve"> рублей, что на </w:t>
      </w:r>
      <w:r w:rsidR="00B77595" w:rsidRPr="00D83D2A">
        <w:rPr>
          <w:rFonts w:eastAsiaTheme="minorEastAsia"/>
          <w:sz w:val="28"/>
          <w:szCs w:val="28"/>
          <w:lang w:eastAsia="ru-RU"/>
        </w:rPr>
        <w:t>7,4</w:t>
      </w:r>
      <w:r w:rsidRPr="00D83D2A">
        <w:rPr>
          <w:rFonts w:eastAsiaTheme="minorEastAsia"/>
          <w:sz w:val="28"/>
          <w:szCs w:val="28"/>
          <w:lang w:eastAsia="ru-RU"/>
        </w:rPr>
        <w:t>% выше уровня 20</w:t>
      </w:r>
      <w:r w:rsidR="00B77595" w:rsidRPr="00D83D2A">
        <w:rPr>
          <w:rFonts w:eastAsiaTheme="minorEastAsia"/>
          <w:sz w:val="28"/>
          <w:szCs w:val="28"/>
          <w:lang w:eastAsia="ru-RU"/>
        </w:rPr>
        <w:t>20</w:t>
      </w:r>
      <w:r w:rsidRPr="00D83D2A">
        <w:rPr>
          <w:rFonts w:eastAsiaTheme="minorEastAsia"/>
          <w:sz w:val="28"/>
          <w:szCs w:val="28"/>
          <w:lang w:eastAsia="ru-RU"/>
        </w:rPr>
        <w:t xml:space="preserve"> года</w:t>
      </w:r>
      <w:r w:rsidR="00730741" w:rsidRPr="00D83D2A">
        <w:rPr>
          <w:rFonts w:eastAsiaTheme="minorEastAsia"/>
          <w:sz w:val="28"/>
          <w:szCs w:val="28"/>
          <w:lang w:eastAsia="ru-RU"/>
        </w:rPr>
        <w:t xml:space="preserve"> (в реальном выражении – на 1,3%)</w:t>
      </w:r>
      <w:r w:rsidRPr="00D83D2A">
        <w:rPr>
          <w:rFonts w:eastAsiaTheme="minorEastAsia"/>
          <w:sz w:val="28"/>
          <w:szCs w:val="28"/>
          <w:lang w:eastAsia="ru-RU"/>
        </w:rPr>
        <w:t xml:space="preserve">. </w:t>
      </w:r>
      <w:r w:rsidR="00B77595" w:rsidRPr="00D83D2A">
        <w:rPr>
          <w:rFonts w:eastAsiaTheme="minorEastAsia"/>
          <w:sz w:val="28"/>
          <w:szCs w:val="28"/>
          <w:lang w:eastAsia="ru-RU"/>
        </w:rPr>
        <w:t>Заработная плата организаций</w:t>
      </w:r>
      <w:r w:rsidR="00730741" w:rsidRPr="00D83D2A">
        <w:rPr>
          <w:rFonts w:eastAsiaTheme="minorEastAsia"/>
          <w:sz w:val="28"/>
          <w:szCs w:val="28"/>
          <w:lang w:eastAsia="ru-RU"/>
        </w:rPr>
        <w:t>, не относящихся к субъектам малого предпринимательства, достигнет 45 500 рублей, что на 8,1% выше аналогичного периода 2020 года (в реальном выражении – на 1,9%).</w:t>
      </w:r>
    </w:p>
    <w:p w14:paraId="579C7B49" w14:textId="1E010BE1" w:rsidR="00915495" w:rsidRPr="00DD69F2" w:rsidRDefault="00915495" w:rsidP="00915495">
      <w:pPr>
        <w:pStyle w:val="2a"/>
        <w:spacing w:after="0" w:line="276" w:lineRule="auto"/>
        <w:rPr>
          <w:rFonts w:eastAsiaTheme="minorEastAsia"/>
          <w:sz w:val="28"/>
          <w:szCs w:val="28"/>
          <w:lang w:eastAsia="ru-RU"/>
        </w:rPr>
      </w:pPr>
      <w:r w:rsidRPr="00DD69F2">
        <w:rPr>
          <w:rFonts w:eastAsiaTheme="minorEastAsia"/>
          <w:sz w:val="28"/>
          <w:szCs w:val="28"/>
          <w:lang w:eastAsia="ru-RU"/>
        </w:rPr>
        <w:t xml:space="preserve">Оценка </w:t>
      </w:r>
      <w:r w:rsidR="00730741">
        <w:rPr>
          <w:rFonts w:eastAsiaTheme="minorEastAsia"/>
          <w:sz w:val="28"/>
          <w:szCs w:val="28"/>
          <w:lang w:eastAsia="ru-RU"/>
        </w:rPr>
        <w:t xml:space="preserve">показателя по организациям, не относящимся к субъектам малого предпринимательства, </w:t>
      </w:r>
      <w:r w:rsidRPr="00DD69F2">
        <w:rPr>
          <w:rFonts w:eastAsiaTheme="minorEastAsia"/>
          <w:sz w:val="28"/>
          <w:szCs w:val="28"/>
          <w:lang w:eastAsia="ru-RU"/>
        </w:rPr>
        <w:t>на 202</w:t>
      </w:r>
      <w:r w:rsidR="009711EF" w:rsidRPr="00DD69F2">
        <w:rPr>
          <w:rFonts w:eastAsiaTheme="minorEastAsia"/>
          <w:sz w:val="28"/>
          <w:szCs w:val="28"/>
          <w:lang w:eastAsia="ru-RU"/>
        </w:rPr>
        <w:t>1</w:t>
      </w:r>
      <w:r w:rsidRPr="00DD69F2">
        <w:rPr>
          <w:rFonts w:eastAsiaTheme="minorEastAsia"/>
          <w:sz w:val="28"/>
          <w:szCs w:val="28"/>
          <w:lang w:eastAsia="ru-RU"/>
        </w:rPr>
        <w:t xml:space="preserve"> год скорректирована в сторону </w:t>
      </w:r>
      <w:r w:rsidR="009711EF" w:rsidRPr="00DD69F2">
        <w:rPr>
          <w:rFonts w:eastAsiaTheme="minorEastAsia"/>
          <w:sz w:val="28"/>
          <w:szCs w:val="28"/>
          <w:lang w:eastAsia="ru-RU"/>
        </w:rPr>
        <w:t>увеличения</w:t>
      </w:r>
      <w:r w:rsidRPr="00DD69F2">
        <w:rPr>
          <w:rFonts w:eastAsiaTheme="minorEastAsia"/>
          <w:sz w:val="28"/>
          <w:szCs w:val="28"/>
          <w:lang w:eastAsia="ru-RU"/>
        </w:rPr>
        <w:t xml:space="preserve"> показателя: </w:t>
      </w:r>
      <w:r w:rsidRPr="00730741">
        <w:rPr>
          <w:rFonts w:eastAsiaTheme="minorEastAsia"/>
          <w:sz w:val="28"/>
          <w:szCs w:val="28"/>
          <w:lang w:eastAsia="ru-RU"/>
        </w:rPr>
        <w:t xml:space="preserve">на </w:t>
      </w:r>
      <w:r w:rsidR="00730741" w:rsidRPr="00730741">
        <w:rPr>
          <w:rFonts w:eastAsiaTheme="minorEastAsia"/>
          <w:sz w:val="28"/>
          <w:szCs w:val="28"/>
          <w:lang w:eastAsia="ru-RU"/>
        </w:rPr>
        <w:t>2000 рублей</w:t>
      </w:r>
      <w:r w:rsidRPr="00730741">
        <w:rPr>
          <w:rFonts w:eastAsiaTheme="minorEastAsia"/>
          <w:sz w:val="28"/>
          <w:szCs w:val="28"/>
          <w:lang w:eastAsia="ru-RU"/>
        </w:rPr>
        <w:t xml:space="preserve"> </w:t>
      </w:r>
      <w:r w:rsidRPr="00DD69F2">
        <w:rPr>
          <w:rFonts w:eastAsiaTheme="minorEastAsia"/>
          <w:sz w:val="28"/>
          <w:szCs w:val="28"/>
          <w:lang w:eastAsia="ru-RU"/>
        </w:rPr>
        <w:t xml:space="preserve">от базового варианта </w:t>
      </w:r>
      <w:r w:rsidR="00730741">
        <w:rPr>
          <w:rFonts w:eastAsiaTheme="minorEastAsia"/>
          <w:sz w:val="28"/>
          <w:szCs w:val="28"/>
          <w:lang w:eastAsia="ru-RU"/>
        </w:rPr>
        <w:t xml:space="preserve">прогноза в связи с более высоким размером заработной платы, сложившейся по факту в 2020 году (ожидалось в размере 41750 рублей, фактически сложилась в размере 42104 рублей). </w:t>
      </w:r>
      <w:r w:rsidRPr="00DD69F2">
        <w:rPr>
          <w:rFonts w:eastAsiaTheme="minorEastAsia"/>
          <w:sz w:val="28"/>
          <w:szCs w:val="28"/>
          <w:lang w:eastAsia="ru-RU"/>
        </w:rPr>
        <w:t>Оценка реальной заработной платы скорректирована на инд</w:t>
      </w:r>
      <w:r w:rsidR="00DD69F2" w:rsidRPr="00DD69F2">
        <w:rPr>
          <w:rFonts w:eastAsiaTheme="minorEastAsia"/>
          <w:sz w:val="28"/>
          <w:szCs w:val="28"/>
          <w:lang w:eastAsia="ru-RU"/>
        </w:rPr>
        <w:t>екс потребительских цен до 101,9</w:t>
      </w:r>
      <w:r w:rsidRPr="00DD69F2">
        <w:rPr>
          <w:rFonts w:eastAsiaTheme="minorEastAsia"/>
          <w:sz w:val="28"/>
          <w:szCs w:val="28"/>
          <w:lang w:eastAsia="ru-RU"/>
        </w:rPr>
        <w:t>%.</w:t>
      </w:r>
    </w:p>
    <w:p w14:paraId="5A0CEE5C" w14:textId="77777777" w:rsidR="009711EF" w:rsidRPr="009711EF" w:rsidRDefault="009711EF" w:rsidP="009711EF">
      <w:pPr>
        <w:widowControl w:val="0"/>
        <w:numPr>
          <w:ilvl w:val="0"/>
          <w:numId w:val="5"/>
        </w:numPr>
        <w:suppressAutoHyphens w:val="0"/>
        <w:spacing w:line="276" w:lineRule="auto"/>
        <w:ind w:left="0" w:firstLine="709"/>
        <w:textAlignment w:val="top"/>
        <w:rPr>
          <w:rFonts w:eastAsia="Calibri"/>
          <w:sz w:val="28"/>
          <w:szCs w:val="28"/>
          <w:lang w:eastAsia="en-US"/>
        </w:rPr>
      </w:pPr>
      <w:r w:rsidRPr="009711EF">
        <w:rPr>
          <w:rFonts w:eastAsia="Calibri"/>
          <w:sz w:val="28"/>
          <w:szCs w:val="28"/>
          <w:lang w:eastAsia="en-US"/>
        </w:rPr>
        <w:t xml:space="preserve">Следует отметить, что органы государственной власти, а также органы местного самоуправления не оказывают прямого регулирования оплаты труда работников внебюджетных организаций, которые занимают основную долю среди всех предприятий и организаций. </w:t>
      </w:r>
    </w:p>
    <w:p w14:paraId="3D7C06DA" w14:textId="36117BA2" w:rsidR="009711EF" w:rsidRPr="006F4B30" w:rsidRDefault="009711EF" w:rsidP="0089394B">
      <w:pPr>
        <w:widowControl w:val="0"/>
        <w:numPr>
          <w:ilvl w:val="0"/>
          <w:numId w:val="5"/>
        </w:numPr>
        <w:tabs>
          <w:tab w:val="left" w:pos="142"/>
        </w:tabs>
        <w:suppressAutoHyphens w:val="0"/>
        <w:spacing w:line="276" w:lineRule="auto"/>
        <w:ind w:left="0" w:firstLine="709"/>
        <w:rPr>
          <w:rFonts w:eastAsia="Calibri"/>
          <w:sz w:val="28"/>
          <w:szCs w:val="28"/>
          <w:lang w:eastAsia="ru-RU"/>
        </w:rPr>
      </w:pPr>
      <w:r w:rsidRPr="006F4B30">
        <w:rPr>
          <w:rFonts w:eastAsia="Calibri"/>
          <w:sz w:val="28"/>
          <w:szCs w:val="28"/>
          <w:lang w:eastAsia="en-US"/>
        </w:rPr>
        <w:t>Организации вправе самостоятельно устанавливать заработную плату своим сотрудникам: коммерческие организации – в пределах собственных средств, бюджетные учреждения – в пределах статьи бюджета, предназначенной на эти цели.</w:t>
      </w:r>
      <w:r w:rsidR="00C44F6A">
        <w:rPr>
          <w:rFonts w:eastAsia="Calibri"/>
          <w:sz w:val="28"/>
          <w:szCs w:val="28"/>
          <w:lang w:eastAsia="en-US"/>
        </w:rPr>
        <w:t xml:space="preserve"> </w:t>
      </w:r>
      <w:r w:rsidRPr="006F4B30">
        <w:rPr>
          <w:rFonts w:eastAsia="Calibri"/>
          <w:sz w:val="28"/>
          <w:szCs w:val="28"/>
          <w:lang w:eastAsia="en-US"/>
        </w:rPr>
        <w:t>Величина заработной платы работников внебюджетной сферы зависит от общей эффективности работы организации, уровня технического прогресса, способствующего повышению производительности труда, выпуску конкурентоспособной продукции, что в конечном итоге влияет на увеличение заработка рабо</w:t>
      </w:r>
      <w:r w:rsidRPr="006F4B30">
        <w:rPr>
          <w:rFonts w:eastAsia="Calibri"/>
          <w:sz w:val="28"/>
          <w:szCs w:val="28"/>
          <w:lang w:eastAsia="ru-RU"/>
        </w:rPr>
        <w:t>тников.</w:t>
      </w:r>
    </w:p>
    <w:p w14:paraId="4BCA0BDC" w14:textId="1BFD1EAB" w:rsidR="006F4B30" w:rsidRDefault="007F2A19" w:rsidP="00450149">
      <w:pPr>
        <w:widowControl w:val="0"/>
        <w:numPr>
          <w:ilvl w:val="0"/>
          <w:numId w:val="5"/>
        </w:numPr>
        <w:tabs>
          <w:tab w:val="left" w:pos="993"/>
        </w:tabs>
        <w:suppressAutoHyphens w:val="0"/>
        <w:spacing w:line="276" w:lineRule="auto"/>
        <w:ind w:left="0" w:firstLine="709"/>
        <w:rPr>
          <w:rFonts w:eastAsia="Calibri"/>
          <w:sz w:val="28"/>
          <w:szCs w:val="28"/>
          <w:lang w:val="x-none" w:eastAsia="ru-RU"/>
        </w:rPr>
      </w:pPr>
      <w:r>
        <w:rPr>
          <w:sz w:val="28"/>
          <w:szCs w:val="28"/>
          <w:lang w:eastAsia="ru-RU"/>
        </w:rPr>
        <w:t xml:space="preserve">Гражданам городского округа Тольятти оказываются </w:t>
      </w:r>
      <w:r w:rsidR="006F4B30" w:rsidRPr="006F4B30">
        <w:rPr>
          <w:sz w:val="28"/>
          <w:szCs w:val="28"/>
          <w:lang w:eastAsia="ru-RU"/>
        </w:rPr>
        <w:t>меры социальной поддержки</w:t>
      </w:r>
      <w:r>
        <w:rPr>
          <w:sz w:val="28"/>
          <w:szCs w:val="28"/>
          <w:lang w:eastAsia="ru-RU"/>
        </w:rPr>
        <w:t>.</w:t>
      </w:r>
    </w:p>
    <w:p w14:paraId="488AE00F" w14:textId="77777777" w:rsidR="007F2A19" w:rsidRDefault="009711EF" w:rsidP="0089394B">
      <w:pPr>
        <w:widowControl w:val="0"/>
        <w:numPr>
          <w:ilvl w:val="0"/>
          <w:numId w:val="5"/>
        </w:numPr>
        <w:tabs>
          <w:tab w:val="left" w:pos="993"/>
        </w:tabs>
        <w:suppressAutoHyphens w:val="0"/>
        <w:spacing w:line="276" w:lineRule="auto"/>
        <w:ind w:left="0" w:firstLine="709"/>
        <w:rPr>
          <w:rFonts w:eastAsia="Calibri"/>
          <w:sz w:val="28"/>
          <w:szCs w:val="28"/>
          <w:lang w:eastAsia="ru-RU"/>
        </w:rPr>
      </w:pPr>
      <w:r w:rsidRPr="007F2A19">
        <w:rPr>
          <w:rFonts w:eastAsia="Calibri"/>
          <w:sz w:val="28"/>
          <w:szCs w:val="28"/>
          <w:lang w:val="x-none" w:eastAsia="ru-RU"/>
        </w:rPr>
        <w:t>В целях исполнения поручений Президента Российской Федерации в части мер социальной поддержки граждан в условиях распространения новой коронавирусной инфекции (COVID-19) в регионе принята нормативная правовая база, упрощающая процедуру назначения ряда социальных мер, предполагающая автоматическое продление денежных выплат без обращения граждан и подтверждения размеров их доходов</w:t>
      </w:r>
      <w:r w:rsidRPr="007F2A19">
        <w:rPr>
          <w:rFonts w:eastAsia="Calibri"/>
          <w:sz w:val="28"/>
          <w:szCs w:val="28"/>
          <w:lang w:eastAsia="ru-RU"/>
        </w:rPr>
        <w:t xml:space="preserve">. </w:t>
      </w:r>
    </w:p>
    <w:p w14:paraId="2739CC26" w14:textId="4AF2EF33" w:rsidR="00450149" w:rsidRPr="007F2A19" w:rsidRDefault="007F2A19" w:rsidP="0089394B">
      <w:pPr>
        <w:widowControl w:val="0"/>
        <w:numPr>
          <w:ilvl w:val="0"/>
          <w:numId w:val="5"/>
        </w:numPr>
        <w:tabs>
          <w:tab w:val="left" w:pos="993"/>
        </w:tabs>
        <w:suppressAutoHyphens w:val="0"/>
        <w:spacing w:line="276" w:lineRule="auto"/>
        <w:ind w:left="0" w:firstLine="709"/>
        <w:rPr>
          <w:rFonts w:eastAsia="Calibri"/>
          <w:sz w:val="28"/>
          <w:szCs w:val="28"/>
          <w:lang w:eastAsia="ru-RU"/>
        </w:rPr>
      </w:pPr>
      <w:bookmarkStart w:id="9" w:name="_Hlk84430597"/>
      <w:r>
        <w:rPr>
          <w:rFonts w:eastAsia="Calibri"/>
          <w:sz w:val="28"/>
          <w:szCs w:val="28"/>
          <w:lang w:eastAsia="ru-RU"/>
        </w:rPr>
        <w:t>П</w:t>
      </w:r>
      <w:r w:rsidR="009711EF" w:rsidRPr="007F2A19">
        <w:rPr>
          <w:rFonts w:eastAsia="Calibri"/>
          <w:sz w:val="28"/>
          <w:szCs w:val="28"/>
          <w:lang w:val="x-none" w:eastAsia="ru-RU"/>
        </w:rPr>
        <w:t>о данным Территориального отдела Центрального округа министерства социально – демографической и семейной</w:t>
      </w:r>
      <w:r w:rsidR="009711EF" w:rsidRPr="007F2A19">
        <w:rPr>
          <w:rFonts w:eastAsia="Calibri"/>
          <w:sz w:val="28"/>
          <w:szCs w:val="28"/>
          <w:lang w:eastAsia="ru-RU"/>
        </w:rPr>
        <w:t xml:space="preserve"> </w:t>
      </w:r>
      <w:r w:rsidR="009711EF" w:rsidRPr="007F2A19">
        <w:rPr>
          <w:rFonts w:eastAsia="Calibri"/>
          <w:sz w:val="28"/>
          <w:szCs w:val="28"/>
          <w:lang w:val="x-none" w:eastAsia="ru-RU"/>
        </w:rPr>
        <w:t>политики Самарской области</w:t>
      </w:r>
      <w:r w:rsidR="009711EF" w:rsidRPr="007F2A19">
        <w:rPr>
          <w:rFonts w:eastAsia="Calibri"/>
          <w:sz w:val="28"/>
          <w:szCs w:val="28"/>
          <w:lang w:eastAsia="ru-RU"/>
        </w:rPr>
        <w:t xml:space="preserve"> на запрос администрации городского округа Тольятти </w:t>
      </w:r>
      <w:bookmarkEnd w:id="9"/>
      <w:r w:rsidR="009711EF" w:rsidRPr="007F2A19">
        <w:rPr>
          <w:rFonts w:eastAsia="Calibri"/>
          <w:sz w:val="28"/>
          <w:szCs w:val="28"/>
          <w:lang w:eastAsia="ru-RU"/>
        </w:rPr>
        <w:t xml:space="preserve">семьям с детьми городского округа Тольятти </w:t>
      </w:r>
      <w:r w:rsidR="00450149" w:rsidRPr="007F2A19">
        <w:rPr>
          <w:rFonts w:eastAsia="Calibri"/>
          <w:sz w:val="28"/>
          <w:szCs w:val="28"/>
          <w:lang w:eastAsia="ru-RU"/>
        </w:rPr>
        <w:t xml:space="preserve">(по состоянию на 17.09.2021) </w:t>
      </w:r>
      <w:r w:rsidR="00F27EBD" w:rsidRPr="007F2A19">
        <w:rPr>
          <w:rFonts w:eastAsia="Calibri"/>
          <w:sz w:val="28"/>
          <w:szCs w:val="28"/>
          <w:lang w:eastAsia="ru-RU"/>
        </w:rPr>
        <w:t xml:space="preserve">в 2020 году </w:t>
      </w:r>
      <w:r w:rsidR="00AB77C5" w:rsidRPr="007F2A19">
        <w:rPr>
          <w:rFonts w:eastAsia="Calibri"/>
          <w:sz w:val="28"/>
          <w:szCs w:val="28"/>
          <w:lang w:eastAsia="ru-RU"/>
        </w:rPr>
        <w:t xml:space="preserve">на социальные выплаты граждан </w:t>
      </w:r>
      <w:r w:rsidR="00F27EBD" w:rsidRPr="007F2A19">
        <w:rPr>
          <w:rFonts w:eastAsia="Calibri"/>
          <w:sz w:val="28"/>
          <w:szCs w:val="28"/>
          <w:lang w:eastAsia="ru-RU"/>
        </w:rPr>
        <w:t>с детьми</w:t>
      </w:r>
      <w:r w:rsidR="00AB77C5" w:rsidRPr="007F2A19">
        <w:rPr>
          <w:rFonts w:eastAsia="Calibri"/>
          <w:sz w:val="28"/>
          <w:szCs w:val="28"/>
          <w:lang w:eastAsia="ru-RU"/>
        </w:rPr>
        <w:t xml:space="preserve"> городского округа Тольятти было направлено </w:t>
      </w:r>
      <w:r w:rsidR="00EF548B" w:rsidRPr="007F2A19">
        <w:rPr>
          <w:rFonts w:eastAsia="Calibri"/>
          <w:sz w:val="28"/>
          <w:szCs w:val="28"/>
          <w:lang w:eastAsia="ru-RU"/>
        </w:rPr>
        <w:t xml:space="preserve">3259,7 млн. </w:t>
      </w:r>
      <w:r w:rsidR="00AB77C5" w:rsidRPr="007F2A19">
        <w:rPr>
          <w:rFonts w:eastAsia="Calibri"/>
          <w:sz w:val="28"/>
          <w:szCs w:val="28"/>
          <w:lang w:eastAsia="ru-RU"/>
        </w:rPr>
        <w:t xml:space="preserve">рублей, количество получателей составило </w:t>
      </w:r>
      <w:r w:rsidR="00DF69C7" w:rsidRPr="007F2A19">
        <w:rPr>
          <w:rFonts w:eastAsia="Calibri"/>
          <w:sz w:val="28"/>
          <w:szCs w:val="28"/>
          <w:lang w:eastAsia="ru-RU"/>
        </w:rPr>
        <w:t xml:space="preserve">138065 </w:t>
      </w:r>
      <w:r w:rsidR="00AB77C5" w:rsidRPr="007F2A19">
        <w:rPr>
          <w:rFonts w:eastAsia="Calibri"/>
          <w:sz w:val="28"/>
          <w:szCs w:val="28"/>
          <w:lang w:eastAsia="ru-RU"/>
        </w:rPr>
        <w:t>человек</w:t>
      </w:r>
      <w:r w:rsidR="00714C5C" w:rsidRPr="007F2A19">
        <w:rPr>
          <w:rFonts w:eastAsia="Calibri"/>
          <w:sz w:val="28"/>
          <w:szCs w:val="28"/>
          <w:lang w:eastAsia="ru-RU"/>
        </w:rPr>
        <w:t>.</w:t>
      </w:r>
      <w:r w:rsidR="00DF69C7" w:rsidRPr="007F2A19">
        <w:rPr>
          <w:rFonts w:eastAsia="Calibri"/>
          <w:sz w:val="28"/>
          <w:szCs w:val="28"/>
          <w:lang w:eastAsia="ru-RU"/>
        </w:rPr>
        <w:t xml:space="preserve"> </w:t>
      </w:r>
      <w:r w:rsidR="00714C5C" w:rsidRPr="007F2A19">
        <w:rPr>
          <w:rFonts w:eastAsia="Calibri"/>
          <w:sz w:val="28"/>
          <w:szCs w:val="28"/>
          <w:lang w:eastAsia="ru-RU"/>
        </w:rPr>
        <w:t>З</w:t>
      </w:r>
      <w:r w:rsidR="00DF69C7" w:rsidRPr="007F2A19">
        <w:rPr>
          <w:rFonts w:eastAsia="Calibri"/>
          <w:sz w:val="28"/>
          <w:szCs w:val="28"/>
          <w:lang w:eastAsia="ru-RU"/>
        </w:rPr>
        <w:t xml:space="preserve">а 8 месяцев 2021 года - 2215,2 млн. рублей, </w:t>
      </w:r>
      <w:r w:rsidR="00714C5C" w:rsidRPr="007F2A19">
        <w:rPr>
          <w:rFonts w:eastAsia="Calibri"/>
          <w:sz w:val="28"/>
          <w:szCs w:val="28"/>
          <w:lang w:eastAsia="ru-RU"/>
        </w:rPr>
        <w:lastRenderedPageBreak/>
        <w:t>количество получателей составило 129153 человек</w:t>
      </w:r>
      <w:r w:rsidR="00AB77C5" w:rsidRPr="007F2A19">
        <w:rPr>
          <w:rFonts w:eastAsia="Calibri"/>
          <w:sz w:val="28"/>
          <w:szCs w:val="28"/>
          <w:lang w:eastAsia="ru-RU"/>
        </w:rPr>
        <w:t xml:space="preserve">. </w:t>
      </w:r>
      <w:r w:rsidR="00F27EBD" w:rsidRPr="007F2A19">
        <w:rPr>
          <w:rFonts w:eastAsia="Calibri"/>
          <w:sz w:val="28"/>
          <w:szCs w:val="28"/>
          <w:lang w:eastAsia="ru-RU"/>
        </w:rPr>
        <w:t xml:space="preserve">  </w:t>
      </w:r>
    </w:p>
    <w:p w14:paraId="145DD24F" w14:textId="7CE9B122" w:rsidR="009711EF" w:rsidRPr="009711EF" w:rsidRDefault="00450149" w:rsidP="00450149">
      <w:pPr>
        <w:tabs>
          <w:tab w:val="num" w:pos="0"/>
        </w:tabs>
        <w:suppressAutoHyphens w:val="0"/>
        <w:spacing w:line="276" w:lineRule="auto"/>
        <w:rPr>
          <w:rFonts w:eastAsia="Calibri"/>
          <w:sz w:val="28"/>
          <w:szCs w:val="28"/>
          <w:lang w:val="x-none" w:eastAsia="ru-RU"/>
        </w:rPr>
      </w:pPr>
      <w:r>
        <w:rPr>
          <w:rFonts w:eastAsia="Calibri"/>
          <w:sz w:val="28"/>
          <w:szCs w:val="28"/>
          <w:lang w:eastAsia="ru-RU"/>
        </w:rPr>
        <w:t xml:space="preserve">Кроме этого, </w:t>
      </w:r>
      <w:r w:rsidR="00AB77C5">
        <w:rPr>
          <w:rFonts w:eastAsia="Calibri"/>
          <w:sz w:val="28"/>
          <w:szCs w:val="28"/>
          <w:lang w:eastAsia="ru-RU"/>
        </w:rPr>
        <w:t xml:space="preserve">в 2020-2021 годах </w:t>
      </w:r>
      <w:r>
        <w:rPr>
          <w:rFonts w:eastAsia="Calibri"/>
          <w:sz w:val="28"/>
          <w:szCs w:val="28"/>
          <w:lang w:eastAsia="ru-RU"/>
        </w:rPr>
        <w:t>п</w:t>
      </w:r>
      <w:r w:rsidR="009711EF" w:rsidRPr="009711EF">
        <w:rPr>
          <w:rFonts w:eastAsia="Calibri"/>
          <w:sz w:val="28"/>
          <w:szCs w:val="28"/>
          <w:lang w:eastAsia="ru-RU"/>
        </w:rPr>
        <w:t>редоставлены следующие дополнительные выплаты</w:t>
      </w:r>
      <w:r w:rsidR="007F2A19">
        <w:rPr>
          <w:rFonts w:eastAsia="Calibri"/>
          <w:sz w:val="28"/>
          <w:szCs w:val="28"/>
          <w:lang w:eastAsia="ru-RU"/>
        </w:rPr>
        <w:t xml:space="preserve"> из средств областного бюджета</w:t>
      </w:r>
      <w:r w:rsidR="009711EF" w:rsidRPr="00450149">
        <w:rPr>
          <w:rFonts w:eastAsia="Calibri"/>
          <w:sz w:val="28"/>
          <w:szCs w:val="28"/>
          <w:lang w:val="x-none" w:eastAsia="ru-RU"/>
        </w:rPr>
        <w:t>:</w:t>
      </w:r>
    </w:p>
    <w:p w14:paraId="6E59E10F" w14:textId="66B0AB6F" w:rsidR="009711EF" w:rsidRPr="009711EF" w:rsidRDefault="009711EF" w:rsidP="00450149">
      <w:pPr>
        <w:widowControl w:val="0"/>
        <w:numPr>
          <w:ilvl w:val="0"/>
          <w:numId w:val="5"/>
        </w:numPr>
        <w:tabs>
          <w:tab w:val="left" w:pos="993"/>
        </w:tabs>
        <w:suppressAutoHyphens w:val="0"/>
        <w:spacing w:line="276" w:lineRule="auto"/>
        <w:ind w:left="0" w:firstLine="709"/>
        <w:rPr>
          <w:rFonts w:eastAsia="Calibri"/>
          <w:sz w:val="28"/>
          <w:szCs w:val="28"/>
          <w:lang w:val="x-none" w:eastAsia="ru-RU"/>
        </w:rPr>
      </w:pPr>
      <w:r w:rsidRPr="009711EF">
        <w:rPr>
          <w:rFonts w:eastAsia="Calibri"/>
          <w:sz w:val="28"/>
          <w:szCs w:val="28"/>
          <w:lang w:eastAsia="ru-RU"/>
        </w:rPr>
        <w:t xml:space="preserve">- </w:t>
      </w:r>
      <w:r w:rsidRPr="009711EF">
        <w:rPr>
          <w:rFonts w:eastAsia="Calibri"/>
          <w:sz w:val="28"/>
          <w:szCs w:val="28"/>
          <w:lang w:val="x-none" w:eastAsia="ru-RU"/>
        </w:rPr>
        <w:t xml:space="preserve">единовременная региональная выплата </w:t>
      </w:r>
      <w:r w:rsidRPr="009711EF">
        <w:rPr>
          <w:rFonts w:eastAsia="Calibri"/>
          <w:sz w:val="28"/>
          <w:szCs w:val="28"/>
          <w:lang w:eastAsia="ru-RU"/>
        </w:rPr>
        <w:t xml:space="preserve">на детей в возрасте от 8 до 16 лет </w:t>
      </w:r>
      <w:r w:rsidRPr="009711EF">
        <w:rPr>
          <w:rFonts w:eastAsia="Calibri"/>
          <w:sz w:val="28"/>
          <w:szCs w:val="28"/>
          <w:lang w:val="x-none" w:eastAsia="ru-RU"/>
        </w:rPr>
        <w:t>в размере 5 тыс. рублей</w:t>
      </w:r>
      <w:r w:rsidR="00EF548B">
        <w:rPr>
          <w:rFonts w:eastAsia="Calibri"/>
          <w:sz w:val="28"/>
          <w:szCs w:val="28"/>
          <w:lang w:eastAsia="ru-RU"/>
        </w:rPr>
        <w:t xml:space="preserve">. </w:t>
      </w:r>
      <w:r w:rsidR="00AB77C5">
        <w:rPr>
          <w:rFonts w:eastAsia="Calibri"/>
          <w:sz w:val="28"/>
          <w:szCs w:val="28"/>
          <w:lang w:eastAsia="ru-RU"/>
        </w:rPr>
        <w:t xml:space="preserve">В 2020 году </w:t>
      </w:r>
      <w:r w:rsidRPr="009711EF">
        <w:rPr>
          <w:rFonts w:eastAsia="Calibri"/>
          <w:sz w:val="28"/>
          <w:szCs w:val="28"/>
          <w:lang w:eastAsia="ru-RU"/>
        </w:rPr>
        <w:t>количество получателей - 59</w:t>
      </w:r>
      <w:r w:rsidR="00DF69C7">
        <w:rPr>
          <w:rFonts w:eastAsia="Calibri"/>
          <w:sz w:val="28"/>
          <w:szCs w:val="28"/>
          <w:lang w:eastAsia="ru-RU"/>
        </w:rPr>
        <w:t>12</w:t>
      </w:r>
      <w:r w:rsidRPr="009711EF">
        <w:rPr>
          <w:rFonts w:eastAsia="Calibri"/>
          <w:sz w:val="28"/>
          <w:szCs w:val="28"/>
          <w:lang w:val="x-none" w:eastAsia="ru-RU"/>
        </w:rPr>
        <w:t xml:space="preserve">  детей</w:t>
      </w:r>
      <w:r w:rsidRPr="009711EF">
        <w:rPr>
          <w:rFonts w:eastAsia="Calibri"/>
          <w:sz w:val="28"/>
          <w:szCs w:val="28"/>
          <w:lang w:eastAsia="ru-RU"/>
        </w:rPr>
        <w:t>, сумма выплат - 29,</w:t>
      </w:r>
      <w:r w:rsidR="00DF69C7">
        <w:rPr>
          <w:rFonts w:eastAsia="Calibri"/>
          <w:sz w:val="28"/>
          <w:szCs w:val="28"/>
          <w:lang w:eastAsia="ru-RU"/>
        </w:rPr>
        <w:t>9</w:t>
      </w:r>
      <w:r w:rsidRPr="009711EF">
        <w:rPr>
          <w:rFonts w:eastAsia="Calibri"/>
          <w:sz w:val="28"/>
          <w:szCs w:val="28"/>
          <w:lang w:eastAsia="ru-RU"/>
        </w:rPr>
        <w:t xml:space="preserve"> млн. рублей</w:t>
      </w:r>
      <w:r w:rsidR="00EF548B">
        <w:rPr>
          <w:rFonts w:eastAsia="Calibri"/>
          <w:sz w:val="28"/>
          <w:szCs w:val="28"/>
          <w:lang w:eastAsia="ru-RU"/>
        </w:rPr>
        <w:t>.</w:t>
      </w:r>
      <w:r w:rsidR="00AB77C5">
        <w:rPr>
          <w:rFonts w:eastAsia="Calibri"/>
          <w:sz w:val="28"/>
          <w:szCs w:val="28"/>
          <w:lang w:eastAsia="ru-RU"/>
        </w:rPr>
        <w:t xml:space="preserve"> </w:t>
      </w:r>
      <w:r w:rsidR="00EF548B">
        <w:rPr>
          <w:rFonts w:eastAsia="Calibri"/>
          <w:sz w:val="28"/>
          <w:szCs w:val="28"/>
          <w:lang w:eastAsia="ru-RU"/>
        </w:rPr>
        <w:t>В</w:t>
      </w:r>
      <w:r w:rsidR="00AB77C5">
        <w:rPr>
          <w:rFonts w:eastAsia="Calibri"/>
          <w:sz w:val="28"/>
          <w:szCs w:val="28"/>
          <w:lang w:eastAsia="ru-RU"/>
        </w:rPr>
        <w:t xml:space="preserve"> 2021 году отсутствовала</w:t>
      </w:r>
      <w:r w:rsidRPr="009711EF">
        <w:rPr>
          <w:rFonts w:eastAsia="Calibri"/>
          <w:sz w:val="28"/>
          <w:szCs w:val="28"/>
          <w:lang w:val="x-none" w:eastAsia="ru-RU"/>
        </w:rPr>
        <w:t>;</w:t>
      </w:r>
    </w:p>
    <w:p w14:paraId="091BFDC7" w14:textId="6334E997" w:rsidR="009711EF" w:rsidRPr="009711EF" w:rsidRDefault="009711EF" w:rsidP="00450149">
      <w:pPr>
        <w:widowControl w:val="0"/>
        <w:numPr>
          <w:ilvl w:val="0"/>
          <w:numId w:val="5"/>
        </w:numPr>
        <w:tabs>
          <w:tab w:val="left" w:pos="993"/>
        </w:tabs>
        <w:suppressAutoHyphens w:val="0"/>
        <w:spacing w:line="276" w:lineRule="auto"/>
        <w:ind w:left="0" w:firstLine="709"/>
        <w:rPr>
          <w:rFonts w:eastAsia="Calibri"/>
          <w:sz w:val="28"/>
          <w:szCs w:val="28"/>
          <w:highlight w:val="yellow"/>
          <w:lang w:val="x-none" w:eastAsia="ru-RU"/>
        </w:rPr>
      </w:pPr>
      <w:r w:rsidRPr="009711EF">
        <w:rPr>
          <w:rFonts w:eastAsia="Calibri"/>
          <w:sz w:val="28"/>
          <w:szCs w:val="28"/>
          <w:lang w:eastAsia="ru-RU"/>
        </w:rPr>
        <w:t xml:space="preserve">- </w:t>
      </w:r>
      <w:r w:rsidRPr="009711EF">
        <w:rPr>
          <w:rFonts w:eastAsia="Calibri"/>
          <w:sz w:val="28"/>
          <w:szCs w:val="28"/>
          <w:lang w:val="x-none" w:eastAsia="ru-RU"/>
        </w:rPr>
        <w:t>ежемесячн</w:t>
      </w:r>
      <w:r w:rsidRPr="009711EF">
        <w:rPr>
          <w:rFonts w:eastAsia="Calibri"/>
          <w:sz w:val="28"/>
          <w:szCs w:val="28"/>
          <w:lang w:eastAsia="ru-RU"/>
        </w:rPr>
        <w:t>ая</w:t>
      </w:r>
      <w:r w:rsidRPr="009711EF">
        <w:rPr>
          <w:rFonts w:eastAsia="Calibri"/>
          <w:sz w:val="28"/>
          <w:szCs w:val="28"/>
          <w:lang w:val="x-none" w:eastAsia="ru-RU"/>
        </w:rPr>
        <w:t xml:space="preserve"> денежн</w:t>
      </w:r>
      <w:r w:rsidRPr="009711EF">
        <w:rPr>
          <w:rFonts w:eastAsia="Calibri"/>
          <w:sz w:val="28"/>
          <w:szCs w:val="28"/>
          <w:lang w:eastAsia="ru-RU"/>
        </w:rPr>
        <w:t>ая</w:t>
      </w:r>
      <w:r w:rsidRPr="009711EF">
        <w:rPr>
          <w:rFonts w:eastAsia="Calibri"/>
          <w:sz w:val="28"/>
          <w:szCs w:val="28"/>
          <w:lang w:val="x-none" w:eastAsia="ru-RU"/>
        </w:rPr>
        <w:t xml:space="preserve"> выплат</w:t>
      </w:r>
      <w:r w:rsidRPr="009711EF">
        <w:rPr>
          <w:rFonts w:eastAsia="Calibri"/>
          <w:sz w:val="28"/>
          <w:szCs w:val="28"/>
          <w:lang w:eastAsia="ru-RU"/>
        </w:rPr>
        <w:t>а</w:t>
      </w:r>
      <w:r w:rsidRPr="009711EF">
        <w:rPr>
          <w:rFonts w:eastAsia="Calibri"/>
          <w:sz w:val="28"/>
          <w:szCs w:val="28"/>
          <w:lang w:val="x-none" w:eastAsia="ru-RU"/>
        </w:rPr>
        <w:t xml:space="preserve"> </w:t>
      </w:r>
      <w:r w:rsidRPr="009711EF">
        <w:rPr>
          <w:rFonts w:eastAsia="Calibri"/>
          <w:sz w:val="28"/>
          <w:szCs w:val="28"/>
          <w:lang w:eastAsia="ru-RU"/>
        </w:rPr>
        <w:t xml:space="preserve">на ребенка в возрасте от 3 до 7 лет </w:t>
      </w:r>
      <w:r w:rsidRPr="009711EF">
        <w:rPr>
          <w:rFonts w:eastAsia="Calibri"/>
          <w:sz w:val="28"/>
          <w:szCs w:val="28"/>
          <w:lang w:val="x-none" w:eastAsia="ru-RU"/>
        </w:rPr>
        <w:t>в размере 5</w:t>
      </w:r>
      <w:r w:rsidRPr="009711EF">
        <w:rPr>
          <w:rFonts w:eastAsia="Calibri"/>
          <w:sz w:val="28"/>
          <w:szCs w:val="28"/>
          <w:lang w:eastAsia="ru-RU"/>
        </w:rPr>
        <w:t>,357</w:t>
      </w:r>
      <w:r w:rsidRPr="009711EF">
        <w:rPr>
          <w:rFonts w:eastAsia="Calibri"/>
          <w:sz w:val="28"/>
          <w:szCs w:val="28"/>
          <w:lang w:val="x-none" w:eastAsia="ru-RU"/>
        </w:rPr>
        <w:t xml:space="preserve"> тыс. рублей</w:t>
      </w:r>
      <w:r w:rsidR="00EF548B">
        <w:rPr>
          <w:rFonts w:eastAsia="Calibri"/>
          <w:sz w:val="28"/>
          <w:szCs w:val="28"/>
          <w:lang w:eastAsia="ru-RU"/>
        </w:rPr>
        <w:t>.</w:t>
      </w:r>
      <w:r w:rsidRPr="009711EF">
        <w:rPr>
          <w:rFonts w:eastAsia="Calibri"/>
          <w:sz w:val="28"/>
          <w:szCs w:val="28"/>
          <w:lang w:val="x-none" w:eastAsia="ru-RU"/>
        </w:rPr>
        <w:t xml:space="preserve"> </w:t>
      </w:r>
      <w:r w:rsidR="00AB77C5">
        <w:rPr>
          <w:rFonts w:eastAsia="Calibri"/>
          <w:sz w:val="28"/>
          <w:szCs w:val="28"/>
          <w:lang w:eastAsia="ru-RU"/>
        </w:rPr>
        <w:t xml:space="preserve">В 2020 году </w:t>
      </w:r>
      <w:r w:rsidRPr="009711EF">
        <w:rPr>
          <w:rFonts w:eastAsia="Calibri"/>
          <w:sz w:val="28"/>
          <w:szCs w:val="28"/>
          <w:lang w:eastAsia="ru-RU"/>
        </w:rPr>
        <w:t xml:space="preserve">количество получателей – </w:t>
      </w:r>
      <w:r w:rsidR="00DF69C7">
        <w:rPr>
          <w:rFonts w:eastAsia="Calibri"/>
          <w:sz w:val="28"/>
          <w:szCs w:val="28"/>
          <w:lang w:eastAsia="ru-RU"/>
        </w:rPr>
        <w:t>21557</w:t>
      </w:r>
      <w:r w:rsidRPr="009711EF">
        <w:rPr>
          <w:rFonts w:eastAsia="Calibri"/>
          <w:sz w:val="28"/>
          <w:szCs w:val="28"/>
          <w:lang w:val="x-none" w:eastAsia="ru-RU"/>
        </w:rPr>
        <w:t xml:space="preserve">  детей</w:t>
      </w:r>
      <w:r w:rsidRPr="009711EF">
        <w:rPr>
          <w:rFonts w:eastAsia="Calibri"/>
          <w:sz w:val="28"/>
          <w:szCs w:val="28"/>
          <w:lang w:eastAsia="ru-RU"/>
        </w:rPr>
        <w:t>, сумма выплат – 899,6 млн. рублей</w:t>
      </w:r>
      <w:r w:rsidR="00AB77C5">
        <w:rPr>
          <w:rFonts w:eastAsia="Calibri"/>
          <w:sz w:val="28"/>
          <w:szCs w:val="28"/>
          <w:lang w:eastAsia="ru-RU"/>
        </w:rPr>
        <w:t xml:space="preserve">. В 2021 году </w:t>
      </w:r>
      <w:r w:rsidR="00EF548B" w:rsidRPr="009711EF">
        <w:rPr>
          <w:rFonts w:eastAsia="Calibri"/>
          <w:sz w:val="28"/>
          <w:szCs w:val="28"/>
          <w:lang w:eastAsia="ru-RU"/>
        </w:rPr>
        <w:t xml:space="preserve">количество получателей – </w:t>
      </w:r>
      <w:r w:rsidR="00EF548B">
        <w:rPr>
          <w:rFonts w:eastAsia="Calibri"/>
          <w:sz w:val="28"/>
          <w:szCs w:val="28"/>
          <w:lang w:eastAsia="ru-RU"/>
        </w:rPr>
        <w:t xml:space="preserve">21 236 </w:t>
      </w:r>
      <w:r w:rsidR="00EF548B" w:rsidRPr="009711EF">
        <w:rPr>
          <w:rFonts w:eastAsia="Calibri"/>
          <w:sz w:val="28"/>
          <w:szCs w:val="28"/>
          <w:lang w:val="x-none" w:eastAsia="ru-RU"/>
        </w:rPr>
        <w:t xml:space="preserve"> детей</w:t>
      </w:r>
      <w:r w:rsidR="00EF548B" w:rsidRPr="009711EF">
        <w:rPr>
          <w:rFonts w:eastAsia="Calibri"/>
          <w:sz w:val="28"/>
          <w:szCs w:val="28"/>
          <w:lang w:eastAsia="ru-RU"/>
        </w:rPr>
        <w:t xml:space="preserve">, сумма выплат – </w:t>
      </w:r>
      <w:r w:rsidR="00EF548B">
        <w:rPr>
          <w:rFonts w:eastAsia="Calibri"/>
          <w:sz w:val="28"/>
          <w:szCs w:val="28"/>
          <w:lang w:eastAsia="ru-RU"/>
        </w:rPr>
        <w:t>862,9</w:t>
      </w:r>
      <w:r w:rsidR="00EF548B" w:rsidRPr="009711EF">
        <w:rPr>
          <w:rFonts w:eastAsia="Calibri"/>
          <w:sz w:val="28"/>
          <w:szCs w:val="28"/>
          <w:lang w:eastAsia="ru-RU"/>
        </w:rPr>
        <w:t xml:space="preserve"> млн. рублей</w:t>
      </w:r>
      <w:r w:rsidRPr="009711EF">
        <w:rPr>
          <w:rFonts w:eastAsia="Calibri"/>
          <w:sz w:val="28"/>
          <w:szCs w:val="28"/>
          <w:lang w:eastAsia="ru-RU"/>
        </w:rPr>
        <w:t>.</w:t>
      </w:r>
    </w:p>
    <w:p w14:paraId="355BADFC" w14:textId="24362005" w:rsidR="00A775F8" w:rsidRPr="00670823" w:rsidRDefault="00401ABB" w:rsidP="00A775F8">
      <w:pPr>
        <w:pStyle w:val="afb"/>
        <w:numPr>
          <w:ilvl w:val="0"/>
          <w:numId w:val="5"/>
        </w:numPr>
        <w:suppressAutoHyphens w:val="0"/>
        <w:spacing w:line="276" w:lineRule="auto"/>
        <w:ind w:left="0" w:firstLine="709"/>
        <w:contextualSpacing/>
        <w:textAlignment w:val="top"/>
        <w:rPr>
          <w:sz w:val="28"/>
          <w:szCs w:val="28"/>
          <w:lang w:eastAsia="ru-RU"/>
        </w:rPr>
      </w:pPr>
      <w:r w:rsidRPr="00A775F8">
        <w:rPr>
          <w:sz w:val="28"/>
          <w:szCs w:val="28"/>
          <w:lang w:eastAsia="ru-RU"/>
        </w:rPr>
        <w:t>В 2021 году для жителей Самарской области предусмотрено  оказание государственной социальной помощи на основании социального контракта. Право на заключение контракта имеют граждане, проживающие в семьях, где среднедушевой доход на одного члена семьи ниже величины прожиточного минимума.</w:t>
      </w:r>
      <w:r w:rsidRPr="00A775F8">
        <w:rPr>
          <w:rFonts w:eastAsia="Calibri"/>
          <w:b/>
          <w:bCs/>
          <w:kern w:val="24"/>
          <w:sz w:val="36"/>
          <w:szCs w:val="36"/>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0012357A" w:rsidRPr="00A775F8">
        <w:rPr>
          <w:sz w:val="28"/>
          <w:szCs w:val="28"/>
          <w:lang w:eastAsia="ru-RU"/>
        </w:rPr>
        <w:t>Максимальный размер выплаты по социальному контракту - до 250 тыс. рублей</w:t>
      </w:r>
      <w:r w:rsidR="00E22750" w:rsidRPr="00A775F8">
        <w:rPr>
          <w:sz w:val="28"/>
          <w:szCs w:val="28"/>
          <w:lang w:eastAsia="ru-RU"/>
        </w:rPr>
        <w:t>.</w:t>
      </w:r>
      <w:r w:rsidR="0012357A" w:rsidRPr="00A775F8">
        <w:rPr>
          <w:rFonts w:eastAsia="+mn-ea"/>
          <w:b/>
          <w:bCs/>
          <w:color w:val="953735"/>
          <w:kern w:val="24"/>
          <w:sz w:val="32"/>
          <w:szCs w:val="32"/>
        </w:rPr>
        <w:t xml:space="preserve"> </w:t>
      </w:r>
      <w:r w:rsidRPr="00A775F8">
        <w:rPr>
          <w:sz w:val="28"/>
          <w:szCs w:val="28"/>
          <w:lang w:eastAsia="ru-RU"/>
        </w:rPr>
        <w:t xml:space="preserve">По данным территориального отдела Центрального округа министерства социально – демографической и семейной политики Самарской области </w:t>
      </w:r>
      <w:r w:rsidR="00A775F8" w:rsidRPr="00670823">
        <w:rPr>
          <w:sz w:val="28"/>
          <w:szCs w:val="28"/>
          <w:lang w:eastAsia="ru-RU"/>
        </w:rPr>
        <w:t xml:space="preserve">за </w:t>
      </w:r>
      <w:r w:rsidR="00A775F8">
        <w:rPr>
          <w:sz w:val="28"/>
          <w:szCs w:val="28"/>
          <w:lang w:eastAsia="ru-RU"/>
        </w:rPr>
        <w:t>9 месяцев</w:t>
      </w:r>
      <w:r w:rsidR="00A775F8" w:rsidRPr="00670823">
        <w:rPr>
          <w:sz w:val="28"/>
          <w:szCs w:val="28"/>
          <w:lang w:eastAsia="ru-RU"/>
        </w:rPr>
        <w:t xml:space="preserve"> 2021 года заключен </w:t>
      </w:r>
      <w:r w:rsidR="00A775F8">
        <w:rPr>
          <w:sz w:val="28"/>
          <w:szCs w:val="28"/>
          <w:lang w:eastAsia="ru-RU"/>
        </w:rPr>
        <w:t>897</w:t>
      </w:r>
      <w:r w:rsidR="00A775F8" w:rsidRPr="00670823">
        <w:rPr>
          <w:sz w:val="28"/>
          <w:szCs w:val="28"/>
          <w:lang w:eastAsia="ru-RU"/>
        </w:rPr>
        <w:t xml:space="preserve"> социальный контракт с гражданами городского округа Тольятти или </w:t>
      </w:r>
      <w:r w:rsidR="00A775F8">
        <w:rPr>
          <w:sz w:val="28"/>
          <w:szCs w:val="28"/>
          <w:lang w:eastAsia="ru-RU"/>
        </w:rPr>
        <w:t>33,3</w:t>
      </w:r>
      <w:r w:rsidR="00A775F8" w:rsidRPr="00670823">
        <w:rPr>
          <w:sz w:val="28"/>
          <w:szCs w:val="28"/>
          <w:lang w:eastAsia="ru-RU"/>
        </w:rPr>
        <w:t xml:space="preserve">% от контрактов по Самарской области, в том числе  в рамках  содействия в поиске работы – </w:t>
      </w:r>
      <w:r w:rsidR="00A775F8">
        <w:rPr>
          <w:sz w:val="28"/>
          <w:szCs w:val="28"/>
          <w:lang w:eastAsia="ru-RU"/>
        </w:rPr>
        <w:t>237</w:t>
      </w:r>
      <w:r w:rsidR="00A775F8" w:rsidRPr="00670823">
        <w:rPr>
          <w:sz w:val="28"/>
          <w:szCs w:val="28"/>
          <w:lang w:eastAsia="ru-RU"/>
        </w:rPr>
        <w:t xml:space="preserve"> контрактов, по осуществлению индивидуальной предпринимательской деятельности -  </w:t>
      </w:r>
      <w:r w:rsidR="00A775F8">
        <w:rPr>
          <w:sz w:val="28"/>
          <w:szCs w:val="28"/>
          <w:lang w:eastAsia="ru-RU"/>
        </w:rPr>
        <w:t>355</w:t>
      </w:r>
      <w:r w:rsidR="00A775F8" w:rsidRPr="00670823">
        <w:rPr>
          <w:sz w:val="28"/>
          <w:szCs w:val="28"/>
          <w:lang w:eastAsia="ru-RU"/>
        </w:rPr>
        <w:t xml:space="preserve"> контрактов</w:t>
      </w:r>
      <w:r w:rsidR="00A775F8">
        <w:rPr>
          <w:sz w:val="28"/>
          <w:szCs w:val="28"/>
          <w:lang w:eastAsia="ru-RU"/>
        </w:rPr>
        <w:t>, осуществление иных мероприятий, направленных на преодоление гражданами трудной жизненной ситуации – 305 контрактов</w:t>
      </w:r>
      <w:r w:rsidR="00A775F8" w:rsidRPr="00670823">
        <w:rPr>
          <w:sz w:val="28"/>
          <w:szCs w:val="28"/>
          <w:lang w:eastAsia="ru-RU"/>
        </w:rPr>
        <w:t>.</w:t>
      </w:r>
    </w:p>
    <w:p w14:paraId="59132856" w14:textId="192E671A" w:rsidR="0053642F" w:rsidRPr="00A775F8" w:rsidRDefault="0053642F" w:rsidP="00120C25">
      <w:pPr>
        <w:pStyle w:val="afb"/>
        <w:numPr>
          <w:ilvl w:val="0"/>
          <w:numId w:val="5"/>
        </w:numPr>
        <w:suppressAutoHyphens w:val="0"/>
        <w:spacing w:line="276" w:lineRule="auto"/>
        <w:ind w:left="0" w:firstLine="709"/>
        <w:contextualSpacing/>
        <w:textAlignment w:val="top"/>
        <w:rPr>
          <w:sz w:val="28"/>
          <w:szCs w:val="28"/>
          <w:lang w:eastAsia="ru-RU"/>
        </w:rPr>
      </w:pPr>
      <w:r w:rsidRPr="00A775F8">
        <w:rPr>
          <w:sz w:val="28"/>
          <w:szCs w:val="28"/>
          <w:lang w:eastAsia="ru-RU"/>
        </w:rPr>
        <w:t xml:space="preserve">В рамках выполнения мероприятий муниципальной программы городского округа Тольятти «Создание условий для улучшения качества жизни жителей городского округа Тольятти и обеспечения социальной стабильности на 2020-2024 годы», утвержденной постановлением администрации городского округа Тольятти № 2488-п/1 от 13.09.2019, в I полугодии 2021 года на выплату различным льготным категориям граждан направлено 41 686 тыс. рублей, в том числе: семьям с детьми 23 117,1 тыс. </w:t>
      </w:r>
      <w:r w:rsidR="00B23793" w:rsidRPr="00A775F8">
        <w:rPr>
          <w:sz w:val="28"/>
          <w:szCs w:val="28"/>
          <w:lang w:eastAsia="ru-RU"/>
        </w:rPr>
        <w:t>рублей</w:t>
      </w:r>
      <w:r w:rsidRPr="00A775F8">
        <w:rPr>
          <w:sz w:val="28"/>
          <w:szCs w:val="28"/>
          <w:lang w:eastAsia="ru-RU"/>
        </w:rPr>
        <w:t>, из них:</w:t>
      </w:r>
    </w:p>
    <w:p w14:paraId="4EFF5A36" w14:textId="2F87F638" w:rsidR="0053642F" w:rsidRPr="0053642F" w:rsidRDefault="0053642F" w:rsidP="0053642F">
      <w:pPr>
        <w:suppressAutoHyphens w:val="0"/>
        <w:spacing w:line="276" w:lineRule="auto"/>
        <w:rPr>
          <w:sz w:val="28"/>
          <w:szCs w:val="28"/>
          <w:lang w:eastAsia="ru-RU"/>
        </w:rPr>
      </w:pPr>
      <w:r w:rsidRPr="0053642F">
        <w:rPr>
          <w:sz w:val="28"/>
          <w:szCs w:val="28"/>
          <w:lang w:eastAsia="ru-RU"/>
        </w:rPr>
        <w:t>-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по предоставлению бесплатного, льготного питания - 14 424,2 тыс. руб</w:t>
      </w:r>
      <w:r>
        <w:rPr>
          <w:sz w:val="28"/>
          <w:szCs w:val="28"/>
          <w:lang w:eastAsia="ru-RU"/>
        </w:rPr>
        <w:t>лей</w:t>
      </w:r>
      <w:r w:rsidRPr="0053642F">
        <w:rPr>
          <w:sz w:val="28"/>
          <w:szCs w:val="28"/>
          <w:lang w:eastAsia="ru-RU"/>
        </w:rPr>
        <w:t>;</w:t>
      </w:r>
    </w:p>
    <w:p w14:paraId="3534A3D5" w14:textId="42E3FAC9" w:rsidR="0053642F" w:rsidRPr="0053642F" w:rsidRDefault="0053642F" w:rsidP="0053642F">
      <w:pPr>
        <w:suppressAutoHyphens w:val="0"/>
        <w:spacing w:line="276" w:lineRule="auto"/>
        <w:rPr>
          <w:sz w:val="28"/>
          <w:szCs w:val="28"/>
          <w:lang w:eastAsia="ru-RU"/>
        </w:rPr>
      </w:pPr>
      <w:r w:rsidRPr="0053642F">
        <w:rPr>
          <w:sz w:val="28"/>
          <w:szCs w:val="28"/>
          <w:lang w:eastAsia="ru-RU"/>
        </w:rPr>
        <w:t>- ежемесячные денежные выплаты на питание детям-инвалидам -187,0 тыс. руб</w:t>
      </w:r>
      <w:r>
        <w:rPr>
          <w:sz w:val="28"/>
          <w:szCs w:val="28"/>
          <w:lang w:eastAsia="ru-RU"/>
        </w:rPr>
        <w:t>лей</w:t>
      </w:r>
      <w:r w:rsidRPr="0053642F">
        <w:rPr>
          <w:sz w:val="28"/>
          <w:szCs w:val="28"/>
          <w:lang w:eastAsia="ru-RU"/>
        </w:rPr>
        <w:t>;</w:t>
      </w:r>
    </w:p>
    <w:p w14:paraId="3F7DF088" w14:textId="7B7EC58E" w:rsidR="0053642F" w:rsidRPr="0053642F" w:rsidRDefault="0053642F" w:rsidP="0053642F">
      <w:pPr>
        <w:suppressAutoHyphens w:val="0"/>
        <w:spacing w:line="276" w:lineRule="auto"/>
        <w:rPr>
          <w:sz w:val="28"/>
          <w:szCs w:val="28"/>
          <w:lang w:eastAsia="ru-RU"/>
        </w:rPr>
      </w:pPr>
      <w:r w:rsidRPr="0053642F">
        <w:rPr>
          <w:sz w:val="28"/>
          <w:szCs w:val="28"/>
          <w:lang w:eastAsia="ru-RU"/>
        </w:rPr>
        <w:lastRenderedPageBreak/>
        <w:t>- предоставление денежной выплаты в целях компенсации части платы, взимаемой с родителей (законных представителей) за присмотр и уход за детьми в муниципальных образовательных учреждениях городского округа Тольятти, реализующих образовательную программу дошкольного образования  - 5 344,7 тыс.</w:t>
      </w:r>
      <w:r>
        <w:rPr>
          <w:sz w:val="28"/>
          <w:szCs w:val="28"/>
          <w:lang w:eastAsia="ru-RU"/>
        </w:rPr>
        <w:t xml:space="preserve"> </w:t>
      </w:r>
      <w:r w:rsidRPr="0053642F">
        <w:rPr>
          <w:sz w:val="28"/>
          <w:szCs w:val="28"/>
          <w:lang w:eastAsia="ru-RU"/>
        </w:rPr>
        <w:t>руб</w:t>
      </w:r>
      <w:r>
        <w:rPr>
          <w:sz w:val="28"/>
          <w:szCs w:val="28"/>
          <w:lang w:eastAsia="ru-RU"/>
        </w:rPr>
        <w:t>лей</w:t>
      </w:r>
      <w:r w:rsidRPr="0053642F">
        <w:rPr>
          <w:sz w:val="28"/>
          <w:szCs w:val="28"/>
          <w:lang w:eastAsia="ru-RU"/>
        </w:rPr>
        <w:t>;</w:t>
      </w:r>
    </w:p>
    <w:p w14:paraId="5D815630" w14:textId="20648C52" w:rsidR="0053642F" w:rsidRPr="0053642F" w:rsidRDefault="0053642F" w:rsidP="0053642F">
      <w:pPr>
        <w:suppressAutoHyphens w:val="0"/>
        <w:spacing w:line="276" w:lineRule="auto"/>
        <w:rPr>
          <w:sz w:val="28"/>
          <w:szCs w:val="28"/>
          <w:lang w:eastAsia="ru-RU"/>
        </w:rPr>
      </w:pPr>
      <w:r w:rsidRPr="0053642F">
        <w:rPr>
          <w:sz w:val="28"/>
          <w:szCs w:val="28"/>
          <w:lang w:eastAsia="ru-RU"/>
        </w:rPr>
        <w:t>- предоставление ежемесячных денежных выплат для отдельных категорий граждан, имеющих детей, которые имеют право на предоставление мер социальной поддержки, установленных для детей-инвалидов законодательством Российской Федерации - 289,5 тыс.</w:t>
      </w:r>
      <w:r>
        <w:rPr>
          <w:sz w:val="28"/>
          <w:szCs w:val="28"/>
          <w:lang w:eastAsia="ru-RU"/>
        </w:rPr>
        <w:t xml:space="preserve"> </w:t>
      </w:r>
      <w:r w:rsidRPr="0053642F">
        <w:rPr>
          <w:sz w:val="28"/>
          <w:szCs w:val="28"/>
          <w:lang w:eastAsia="ru-RU"/>
        </w:rPr>
        <w:t>руб</w:t>
      </w:r>
      <w:r>
        <w:rPr>
          <w:sz w:val="28"/>
          <w:szCs w:val="28"/>
          <w:lang w:eastAsia="ru-RU"/>
        </w:rPr>
        <w:t>лей</w:t>
      </w:r>
      <w:r w:rsidRPr="0053642F">
        <w:rPr>
          <w:sz w:val="28"/>
          <w:szCs w:val="28"/>
          <w:lang w:eastAsia="ru-RU"/>
        </w:rPr>
        <w:t>;</w:t>
      </w:r>
    </w:p>
    <w:p w14:paraId="45D465E6" w14:textId="59F47923" w:rsidR="0053642F" w:rsidRPr="0053642F" w:rsidRDefault="0053642F" w:rsidP="0053642F">
      <w:pPr>
        <w:suppressAutoHyphens w:val="0"/>
        <w:spacing w:line="276" w:lineRule="auto"/>
        <w:rPr>
          <w:sz w:val="28"/>
          <w:szCs w:val="28"/>
          <w:lang w:eastAsia="ru-RU"/>
        </w:rPr>
      </w:pPr>
      <w:r w:rsidRPr="0053642F">
        <w:rPr>
          <w:sz w:val="28"/>
          <w:szCs w:val="28"/>
          <w:lang w:eastAsia="ru-RU"/>
        </w:rPr>
        <w:t>- предоставление единовременного пособия на первоочередные нужды - 70,0 тыс.</w:t>
      </w:r>
      <w:r>
        <w:rPr>
          <w:sz w:val="28"/>
          <w:szCs w:val="28"/>
          <w:lang w:eastAsia="ru-RU"/>
        </w:rPr>
        <w:t xml:space="preserve"> </w:t>
      </w:r>
      <w:r w:rsidRPr="0053642F">
        <w:rPr>
          <w:sz w:val="28"/>
          <w:szCs w:val="28"/>
          <w:lang w:eastAsia="ru-RU"/>
        </w:rPr>
        <w:t>руб</w:t>
      </w:r>
      <w:r>
        <w:rPr>
          <w:sz w:val="28"/>
          <w:szCs w:val="28"/>
          <w:lang w:eastAsia="ru-RU"/>
        </w:rPr>
        <w:t>лей</w:t>
      </w:r>
      <w:r w:rsidRPr="0053642F">
        <w:rPr>
          <w:sz w:val="28"/>
          <w:szCs w:val="28"/>
          <w:lang w:eastAsia="ru-RU"/>
        </w:rPr>
        <w:t>;</w:t>
      </w:r>
    </w:p>
    <w:p w14:paraId="00560911" w14:textId="0634917B" w:rsidR="0053642F" w:rsidRPr="0053642F" w:rsidRDefault="0053642F" w:rsidP="0053642F">
      <w:pPr>
        <w:suppressAutoHyphens w:val="0"/>
        <w:spacing w:line="276" w:lineRule="auto"/>
        <w:rPr>
          <w:sz w:val="28"/>
          <w:szCs w:val="28"/>
          <w:lang w:eastAsia="ru-RU"/>
        </w:rPr>
      </w:pPr>
      <w:r w:rsidRPr="0053642F">
        <w:rPr>
          <w:sz w:val="28"/>
          <w:szCs w:val="28"/>
          <w:lang w:eastAsia="ru-RU"/>
        </w:rPr>
        <w:t>- предоставление ежемесячного пособия на содержание ребенка, переданного на воспитание в приемную семью, на патронатное воспитание - 2 801,7 тыс.</w:t>
      </w:r>
      <w:r>
        <w:rPr>
          <w:sz w:val="28"/>
          <w:szCs w:val="28"/>
          <w:lang w:eastAsia="ru-RU"/>
        </w:rPr>
        <w:t xml:space="preserve"> </w:t>
      </w:r>
      <w:r w:rsidRPr="0053642F">
        <w:rPr>
          <w:sz w:val="28"/>
          <w:szCs w:val="28"/>
          <w:lang w:eastAsia="ru-RU"/>
        </w:rPr>
        <w:t>руб</w:t>
      </w:r>
      <w:r>
        <w:rPr>
          <w:sz w:val="28"/>
          <w:szCs w:val="28"/>
          <w:lang w:eastAsia="ru-RU"/>
        </w:rPr>
        <w:t>лей</w:t>
      </w:r>
      <w:r w:rsidRPr="0053642F">
        <w:rPr>
          <w:sz w:val="28"/>
          <w:szCs w:val="28"/>
          <w:lang w:eastAsia="ru-RU"/>
        </w:rPr>
        <w:t xml:space="preserve">. </w:t>
      </w:r>
    </w:p>
    <w:p w14:paraId="01CF99D4" w14:textId="7E7F33AB" w:rsidR="000D680D" w:rsidRPr="00DD69F2" w:rsidRDefault="000D680D" w:rsidP="000D680D">
      <w:pPr>
        <w:spacing w:line="276" w:lineRule="auto"/>
        <w:rPr>
          <w:rFonts w:eastAsiaTheme="minorEastAsia"/>
          <w:sz w:val="28"/>
          <w:szCs w:val="28"/>
          <w:lang w:eastAsia="ru-RU"/>
        </w:rPr>
      </w:pPr>
      <w:r>
        <w:rPr>
          <w:rFonts w:eastAsiaTheme="minorEastAsia"/>
          <w:sz w:val="28"/>
          <w:szCs w:val="28"/>
          <w:lang w:eastAsia="ru-RU"/>
        </w:rPr>
        <w:t>Кроме того, в</w:t>
      </w:r>
      <w:r w:rsidRPr="00DD69F2">
        <w:rPr>
          <w:rFonts w:eastAsiaTheme="minorEastAsia"/>
          <w:sz w:val="28"/>
          <w:szCs w:val="28"/>
          <w:lang w:eastAsia="ru-RU"/>
        </w:rPr>
        <w:t xml:space="preserve"> рамках национального проекта «Здравоохранение» в городском округе Тольятти разработаны и включены в муниципальную программу «Создание условий для улучшения качества жизни жителей городского округа Тольятти» на 2020-2024 годы меры социальной поддержки медицинских работников.</w:t>
      </w:r>
    </w:p>
    <w:p w14:paraId="34DEEF06" w14:textId="06AB1020" w:rsidR="00DD69F2" w:rsidRPr="00DD69F2" w:rsidRDefault="00DD69F2" w:rsidP="000D680D">
      <w:pPr>
        <w:spacing w:line="276" w:lineRule="auto"/>
        <w:rPr>
          <w:rFonts w:eastAsiaTheme="minorEastAsia"/>
          <w:sz w:val="28"/>
          <w:szCs w:val="28"/>
          <w:lang w:eastAsia="ru-RU"/>
        </w:rPr>
      </w:pPr>
      <w:r w:rsidRPr="00DD69F2">
        <w:rPr>
          <w:rFonts w:eastAsiaTheme="minorEastAsia"/>
          <w:sz w:val="28"/>
          <w:szCs w:val="28"/>
          <w:lang w:eastAsia="ru-RU"/>
        </w:rPr>
        <w:t>С января 2020 года выплачиваются ежемесячные денежные выплаты (ЕДВ):</w:t>
      </w:r>
    </w:p>
    <w:p w14:paraId="67848993" w14:textId="348A9B33" w:rsidR="00DD69F2" w:rsidRPr="00DD69F2" w:rsidRDefault="00DD69F2" w:rsidP="000D680D">
      <w:pPr>
        <w:spacing w:line="276" w:lineRule="auto"/>
        <w:rPr>
          <w:rFonts w:eastAsiaTheme="minorEastAsia"/>
          <w:sz w:val="28"/>
          <w:szCs w:val="28"/>
          <w:lang w:eastAsia="ru-RU"/>
        </w:rPr>
      </w:pPr>
      <w:r w:rsidRPr="00DD69F2">
        <w:rPr>
          <w:rFonts w:eastAsiaTheme="minorEastAsia"/>
          <w:sz w:val="28"/>
          <w:szCs w:val="28"/>
          <w:lang w:eastAsia="ru-RU"/>
        </w:rPr>
        <w:t>- отдельным категориям врачей, работающим с высокотехнологичным медицинским оборудованием - по 30 тыс.</w:t>
      </w:r>
      <w:r>
        <w:rPr>
          <w:rFonts w:eastAsiaTheme="minorEastAsia"/>
          <w:sz w:val="28"/>
          <w:szCs w:val="28"/>
          <w:lang w:eastAsia="ru-RU"/>
        </w:rPr>
        <w:t xml:space="preserve"> рублей</w:t>
      </w:r>
      <w:r w:rsidRPr="00DD69F2">
        <w:rPr>
          <w:rFonts w:eastAsiaTheme="minorEastAsia"/>
          <w:sz w:val="28"/>
          <w:szCs w:val="28"/>
          <w:lang w:eastAsia="ru-RU"/>
        </w:rPr>
        <w:t xml:space="preserve"> ежемесячно; по состоянию на 01.07.2021 ЕДВ предоставлены 7 врачам на общую сумму 1 260 тыс.</w:t>
      </w:r>
      <w:r>
        <w:rPr>
          <w:rFonts w:eastAsiaTheme="minorEastAsia"/>
          <w:sz w:val="28"/>
          <w:szCs w:val="28"/>
          <w:lang w:eastAsia="ru-RU"/>
        </w:rPr>
        <w:t xml:space="preserve"> </w:t>
      </w:r>
      <w:r w:rsidRPr="00DD69F2">
        <w:rPr>
          <w:rFonts w:eastAsiaTheme="minorEastAsia"/>
          <w:sz w:val="28"/>
          <w:szCs w:val="28"/>
          <w:lang w:eastAsia="ru-RU"/>
        </w:rPr>
        <w:t>руб</w:t>
      </w:r>
      <w:r>
        <w:rPr>
          <w:rFonts w:eastAsiaTheme="minorEastAsia"/>
          <w:sz w:val="28"/>
          <w:szCs w:val="28"/>
          <w:lang w:eastAsia="ru-RU"/>
        </w:rPr>
        <w:t>лей;</w:t>
      </w:r>
    </w:p>
    <w:p w14:paraId="629EC8C8" w14:textId="1073B9B4" w:rsidR="00DD69F2" w:rsidRPr="00DD69F2" w:rsidRDefault="00DD69F2" w:rsidP="000D680D">
      <w:pPr>
        <w:spacing w:line="276" w:lineRule="auto"/>
        <w:rPr>
          <w:rFonts w:eastAsiaTheme="minorEastAsia"/>
          <w:sz w:val="28"/>
          <w:szCs w:val="28"/>
          <w:lang w:eastAsia="ru-RU"/>
        </w:rPr>
      </w:pPr>
      <w:r w:rsidRPr="00DD69F2">
        <w:rPr>
          <w:rFonts w:eastAsiaTheme="minorEastAsia"/>
          <w:sz w:val="28"/>
          <w:szCs w:val="28"/>
          <w:lang w:eastAsia="ru-RU"/>
        </w:rPr>
        <w:t>- на оплату жилого помещения, занимаемого по договору найма жилого помещения - по 1 тыс.</w:t>
      </w:r>
      <w:r w:rsidR="000D680D">
        <w:rPr>
          <w:rFonts w:eastAsiaTheme="minorEastAsia"/>
          <w:sz w:val="28"/>
          <w:szCs w:val="28"/>
          <w:lang w:eastAsia="ru-RU"/>
        </w:rPr>
        <w:t xml:space="preserve"> </w:t>
      </w:r>
      <w:r w:rsidRPr="00DD69F2">
        <w:rPr>
          <w:rFonts w:eastAsiaTheme="minorEastAsia"/>
          <w:sz w:val="28"/>
          <w:szCs w:val="28"/>
          <w:lang w:eastAsia="ru-RU"/>
        </w:rPr>
        <w:t>руб</w:t>
      </w:r>
      <w:r w:rsidR="00AD2510">
        <w:rPr>
          <w:rFonts w:eastAsiaTheme="minorEastAsia"/>
          <w:sz w:val="28"/>
          <w:szCs w:val="28"/>
          <w:lang w:eastAsia="ru-RU"/>
        </w:rPr>
        <w:t>лей</w:t>
      </w:r>
      <w:r w:rsidRPr="00DD69F2">
        <w:rPr>
          <w:rFonts w:eastAsiaTheme="minorEastAsia"/>
          <w:sz w:val="28"/>
          <w:szCs w:val="28"/>
          <w:lang w:eastAsia="ru-RU"/>
        </w:rPr>
        <w:t xml:space="preserve"> ежемесячно; на 2021 год получатели не заявлены.</w:t>
      </w:r>
    </w:p>
    <w:p w14:paraId="00898E95" w14:textId="4B7735E9" w:rsidR="00DD69F2" w:rsidRPr="00DD69F2" w:rsidRDefault="00DD69F2" w:rsidP="000D680D">
      <w:pPr>
        <w:spacing w:line="276" w:lineRule="auto"/>
        <w:rPr>
          <w:rFonts w:eastAsiaTheme="minorEastAsia"/>
          <w:sz w:val="28"/>
          <w:szCs w:val="28"/>
          <w:lang w:eastAsia="ru-RU"/>
        </w:rPr>
      </w:pPr>
      <w:r w:rsidRPr="00DD69F2">
        <w:rPr>
          <w:rFonts w:eastAsiaTheme="minorEastAsia"/>
          <w:sz w:val="28"/>
          <w:szCs w:val="28"/>
          <w:lang w:eastAsia="ru-RU"/>
        </w:rPr>
        <w:t>Медицинским работникам, осуществляющим свою деятельность в государственных учреждениях здравоохранения Самарской области, расположенных на территории городского округа Тольятти, предоставляются служебные жилые помещения муниципального жилищного фонда городского округа Тольятти. В I полугодии 2021 года жилые помещения предоставлены 27 медицинским работникам.</w:t>
      </w:r>
    </w:p>
    <w:p w14:paraId="7BF4D98A" w14:textId="77777777" w:rsidR="00557E4A" w:rsidRPr="0053642F" w:rsidRDefault="00557E4A" w:rsidP="000D680D">
      <w:pPr>
        <w:widowControl w:val="0"/>
        <w:suppressAutoHyphens w:val="0"/>
        <w:autoSpaceDE w:val="0"/>
        <w:autoSpaceDN w:val="0"/>
        <w:adjustRightInd w:val="0"/>
        <w:spacing w:line="276" w:lineRule="auto"/>
        <w:rPr>
          <w:rFonts w:eastAsiaTheme="minorEastAsia"/>
          <w:sz w:val="28"/>
          <w:szCs w:val="28"/>
          <w:lang w:eastAsia="ru-RU"/>
        </w:rPr>
      </w:pPr>
      <w:r w:rsidRPr="0053642F">
        <w:rPr>
          <w:rFonts w:eastAsiaTheme="minorEastAsia"/>
          <w:sz w:val="28"/>
          <w:szCs w:val="28"/>
          <w:lang w:eastAsia="ru-RU"/>
        </w:rPr>
        <w:t>В целях снижения кадрового дефицита в учреждениях здравоохранения Самарской области, министерством здравоохранения реализуются следующие мероприятия.</w:t>
      </w:r>
    </w:p>
    <w:p w14:paraId="7B4A7120" w14:textId="52224EC1" w:rsidR="00557E4A" w:rsidRPr="00557E4A" w:rsidRDefault="00557E4A" w:rsidP="000D680D">
      <w:pPr>
        <w:widowControl w:val="0"/>
        <w:suppressAutoHyphens w:val="0"/>
        <w:autoSpaceDE w:val="0"/>
        <w:autoSpaceDN w:val="0"/>
        <w:adjustRightInd w:val="0"/>
        <w:spacing w:line="276" w:lineRule="auto"/>
        <w:rPr>
          <w:rFonts w:eastAsiaTheme="minorEastAsia"/>
          <w:sz w:val="28"/>
          <w:szCs w:val="28"/>
          <w:lang w:eastAsia="ru-RU"/>
        </w:rPr>
      </w:pPr>
      <w:r w:rsidRPr="0053642F">
        <w:rPr>
          <w:rFonts w:eastAsiaTheme="minorEastAsia"/>
          <w:sz w:val="28"/>
          <w:szCs w:val="28"/>
          <w:lang w:eastAsia="ru-RU"/>
        </w:rPr>
        <w:t>С 2021 года вдвое увеличен объём денежных средств на</w:t>
      </w:r>
      <w:r w:rsidRPr="00557E4A">
        <w:rPr>
          <w:rFonts w:eastAsiaTheme="minorEastAsia"/>
          <w:sz w:val="28"/>
          <w:szCs w:val="28"/>
          <w:lang w:eastAsia="ru-RU"/>
        </w:rPr>
        <w:t xml:space="preserve"> выплаты молодым специалистам наиболее востребованных специальностей. Объём </w:t>
      </w:r>
      <w:r w:rsidRPr="00557E4A">
        <w:rPr>
          <w:rFonts w:eastAsiaTheme="minorEastAsia"/>
          <w:sz w:val="28"/>
          <w:szCs w:val="28"/>
          <w:lang w:eastAsia="ru-RU"/>
        </w:rPr>
        <w:lastRenderedPageBreak/>
        <w:t>выплат в 2021 году составит 90 млн. руб</w:t>
      </w:r>
      <w:r w:rsidR="00B23793">
        <w:rPr>
          <w:rFonts w:eastAsiaTheme="minorEastAsia"/>
          <w:sz w:val="28"/>
          <w:szCs w:val="28"/>
          <w:lang w:eastAsia="ru-RU"/>
        </w:rPr>
        <w:t>лей</w:t>
      </w:r>
      <w:r w:rsidRPr="00557E4A">
        <w:rPr>
          <w:rFonts w:eastAsiaTheme="minorEastAsia"/>
          <w:sz w:val="28"/>
          <w:szCs w:val="28"/>
          <w:lang w:eastAsia="ru-RU"/>
        </w:rPr>
        <w:t>. Это позволит закрепить в отрасли на 50% больше специалистов (426 человек вместо 292), размер выплаты будет повышен до 200 тыс. руб</w:t>
      </w:r>
      <w:r w:rsidR="00B23793">
        <w:rPr>
          <w:rFonts w:eastAsiaTheme="minorEastAsia"/>
          <w:sz w:val="28"/>
          <w:szCs w:val="28"/>
          <w:lang w:eastAsia="ru-RU"/>
        </w:rPr>
        <w:t>лей</w:t>
      </w:r>
      <w:r w:rsidRPr="00557E4A">
        <w:rPr>
          <w:rFonts w:eastAsiaTheme="minorEastAsia"/>
          <w:sz w:val="28"/>
          <w:szCs w:val="28"/>
          <w:lang w:eastAsia="ru-RU"/>
        </w:rPr>
        <w:t>, для врачей общей практики и врачей-специалистов в составе бригад скорой помощи – 300 тыс.</w:t>
      </w:r>
      <w:r w:rsidR="00B23793">
        <w:rPr>
          <w:rFonts w:eastAsiaTheme="minorEastAsia"/>
          <w:sz w:val="28"/>
          <w:szCs w:val="28"/>
          <w:lang w:eastAsia="ru-RU"/>
        </w:rPr>
        <w:t xml:space="preserve"> </w:t>
      </w:r>
      <w:r w:rsidRPr="00557E4A">
        <w:rPr>
          <w:rFonts w:eastAsiaTheme="minorEastAsia"/>
          <w:sz w:val="28"/>
          <w:szCs w:val="28"/>
          <w:lang w:eastAsia="ru-RU"/>
        </w:rPr>
        <w:t>руб</w:t>
      </w:r>
      <w:r w:rsidR="00B23793">
        <w:rPr>
          <w:rFonts w:eastAsiaTheme="minorEastAsia"/>
          <w:sz w:val="28"/>
          <w:szCs w:val="28"/>
          <w:lang w:eastAsia="ru-RU"/>
        </w:rPr>
        <w:t>лей</w:t>
      </w:r>
      <w:r w:rsidRPr="00557E4A">
        <w:rPr>
          <w:rFonts w:eastAsiaTheme="minorEastAsia"/>
          <w:sz w:val="28"/>
          <w:szCs w:val="28"/>
          <w:lang w:eastAsia="ru-RU"/>
        </w:rPr>
        <w:t>.</w:t>
      </w:r>
    </w:p>
    <w:p w14:paraId="71E2CB56" w14:textId="77777777" w:rsidR="00557E4A" w:rsidRPr="00557E4A" w:rsidRDefault="00557E4A" w:rsidP="000D680D">
      <w:pPr>
        <w:widowControl w:val="0"/>
        <w:suppressAutoHyphens w:val="0"/>
        <w:autoSpaceDE w:val="0"/>
        <w:autoSpaceDN w:val="0"/>
        <w:adjustRightInd w:val="0"/>
        <w:spacing w:line="276" w:lineRule="auto"/>
        <w:rPr>
          <w:rFonts w:eastAsiaTheme="minorEastAsia"/>
          <w:sz w:val="28"/>
          <w:szCs w:val="28"/>
          <w:lang w:eastAsia="ru-RU"/>
        </w:rPr>
      </w:pPr>
      <w:r w:rsidRPr="00557E4A">
        <w:rPr>
          <w:rFonts w:eastAsiaTheme="minorEastAsia"/>
          <w:sz w:val="28"/>
          <w:szCs w:val="28"/>
          <w:lang w:eastAsia="ru-RU"/>
        </w:rPr>
        <w:t>С 2021 года врачам в возрасте до 35 лет будет компенсироваться 50% от уплаченных процентов по ипотеке.</w:t>
      </w:r>
    </w:p>
    <w:p w14:paraId="1DFFDF91" w14:textId="77777777" w:rsidR="00A56EE3" w:rsidRDefault="00A56EE3" w:rsidP="00A56EE3">
      <w:pPr>
        <w:pStyle w:val="2a"/>
        <w:spacing w:after="0" w:line="276" w:lineRule="auto"/>
        <w:rPr>
          <w:rFonts w:eastAsia="Calibri"/>
          <w:sz w:val="28"/>
          <w:szCs w:val="28"/>
          <w:lang w:eastAsia="en-US"/>
        </w:rPr>
      </w:pPr>
      <w:r>
        <w:rPr>
          <w:rFonts w:eastAsia="Calibri"/>
          <w:sz w:val="28"/>
          <w:szCs w:val="28"/>
          <w:lang w:eastAsia="en-US"/>
        </w:rPr>
        <w:t>П</w:t>
      </w:r>
      <w:r w:rsidRPr="009711EF">
        <w:rPr>
          <w:rFonts w:eastAsia="Calibri"/>
          <w:sz w:val="28"/>
          <w:szCs w:val="28"/>
          <w:lang w:val="x-none" w:eastAsia="en-US"/>
        </w:rPr>
        <w:t>о данным ГУ - Отделение Пенсионного Фонда РФ по Самарской области, общее количество получателей пенсий в городском окру</w:t>
      </w:r>
      <w:r>
        <w:rPr>
          <w:rFonts w:eastAsia="Calibri"/>
          <w:sz w:val="28"/>
          <w:szCs w:val="28"/>
          <w:lang w:val="x-none" w:eastAsia="en-US"/>
        </w:rPr>
        <w:t>ге Тольятти по состоянию на 01.</w:t>
      </w:r>
      <w:r w:rsidRPr="009711EF">
        <w:rPr>
          <w:rFonts w:eastAsia="Calibri"/>
          <w:sz w:val="28"/>
          <w:szCs w:val="28"/>
          <w:lang w:val="x-none" w:eastAsia="en-US"/>
        </w:rPr>
        <w:t>0</w:t>
      </w:r>
      <w:r>
        <w:rPr>
          <w:rFonts w:eastAsia="Calibri"/>
          <w:sz w:val="28"/>
          <w:szCs w:val="28"/>
          <w:lang w:eastAsia="en-US"/>
        </w:rPr>
        <w:t>1</w:t>
      </w:r>
      <w:r w:rsidRPr="009711EF">
        <w:rPr>
          <w:rFonts w:eastAsia="Calibri"/>
          <w:sz w:val="28"/>
          <w:szCs w:val="28"/>
          <w:lang w:val="x-none" w:eastAsia="en-US"/>
        </w:rPr>
        <w:t>.202</w:t>
      </w:r>
      <w:r>
        <w:rPr>
          <w:rFonts w:eastAsia="Calibri"/>
          <w:sz w:val="28"/>
          <w:szCs w:val="28"/>
          <w:lang w:eastAsia="en-US"/>
        </w:rPr>
        <w:t>1</w:t>
      </w:r>
      <w:r w:rsidRPr="009711EF">
        <w:rPr>
          <w:rFonts w:eastAsia="Calibri"/>
          <w:sz w:val="28"/>
          <w:szCs w:val="28"/>
          <w:lang w:val="x-none" w:eastAsia="en-US"/>
        </w:rPr>
        <w:t xml:space="preserve"> составило </w:t>
      </w:r>
      <w:r>
        <w:rPr>
          <w:rFonts w:eastAsia="Calibri"/>
          <w:sz w:val="28"/>
          <w:szCs w:val="28"/>
          <w:lang w:eastAsia="en-US"/>
        </w:rPr>
        <w:t>206,9</w:t>
      </w:r>
      <w:r w:rsidRPr="009711EF">
        <w:rPr>
          <w:rFonts w:eastAsia="Calibri"/>
          <w:sz w:val="28"/>
          <w:szCs w:val="28"/>
          <w:lang w:val="x-none" w:eastAsia="en-US"/>
        </w:rPr>
        <w:t xml:space="preserve"> тыс. человек (на </w:t>
      </w:r>
      <w:r>
        <w:rPr>
          <w:rFonts w:eastAsia="Calibri"/>
          <w:sz w:val="28"/>
          <w:szCs w:val="28"/>
          <w:lang w:eastAsia="en-US"/>
        </w:rPr>
        <w:t>3,6</w:t>
      </w:r>
      <w:r w:rsidRPr="009711EF">
        <w:rPr>
          <w:rFonts w:eastAsia="Calibri"/>
          <w:sz w:val="28"/>
          <w:szCs w:val="28"/>
          <w:lang w:val="x-none" w:eastAsia="en-US"/>
        </w:rPr>
        <w:t xml:space="preserve"> тыс. человек меньше </w:t>
      </w:r>
      <w:r>
        <w:rPr>
          <w:rFonts w:eastAsia="Calibri"/>
          <w:sz w:val="28"/>
          <w:szCs w:val="28"/>
          <w:lang w:eastAsia="en-US"/>
        </w:rPr>
        <w:t>2020</w:t>
      </w:r>
      <w:r w:rsidRPr="009711EF">
        <w:rPr>
          <w:rFonts w:eastAsia="Calibri"/>
          <w:sz w:val="28"/>
          <w:szCs w:val="28"/>
          <w:lang w:val="x-none" w:eastAsia="en-US"/>
        </w:rPr>
        <w:t xml:space="preserve"> года)</w:t>
      </w:r>
      <w:r>
        <w:rPr>
          <w:rFonts w:eastAsia="Calibri"/>
          <w:sz w:val="28"/>
          <w:szCs w:val="28"/>
          <w:lang w:eastAsia="en-US"/>
        </w:rPr>
        <w:t>, в том числе по старости – 181,5 тыс. человек.</w:t>
      </w:r>
    </w:p>
    <w:p w14:paraId="7C308381" w14:textId="375BFA2C" w:rsidR="00A56EE3" w:rsidRPr="009711EF" w:rsidRDefault="00A56EE3" w:rsidP="00A56EE3">
      <w:pPr>
        <w:pStyle w:val="2a"/>
        <w:spacing w:after="0" w:line="276" w:lineRule="auto"/>
        <w:rPr>
          <w:rFonts w:eastAsia="Calibri"/>
          <w:sz w:val="28"/>
          <w:szCs w:val="28"/>
          <w:lang w:val="x-none" w:eastAsia="en-US"/>
        </w:rPr>
      </w:pPr>
      <w:r>
        <w:rPr>
          <w:rFonts w:eastAsia="Calibri"/>
          <w:sz w:val="28"/>
          <w:szCs w:val="28"/>
          <w:lang w:eastAsia="en-US"/>
        </w:rPr>
        <w:t>По состоянию на 01.07.2021</w:t>
      </w:r>
      <w:r w:rsidRPr="009711EF">
        <w:rPr>
          <w:rFonts w:eastAsia="Calibri"/>
          <w:sz w:val="28"/>
          <w:szCs w:val="28"/>
          <w:lang w:val="x-none" w:eastAsia="en-US"/>
        </w:rPr>
        <w:t xml:space="preserve"> общее количество получателей пенсий в городском окру</w:t>
      </w:r>
      <w:r>
        <w:rPr>
          <w:rFonts w:eastAsia="Calibri"/>
          <w:sz w:val="28"/>
          <w:szCs w:val="28"/>
          <w:lang w:val="x-none" w:eastAsia="en-US"/>
        </w:rPr>
        <w:t xml:space="preserve">ге Тольятти </w:t>
      </w:r>
      <w:r>
        <w:rPr>
          <w:rFonts w:eastAsia="Calibri"/>
          <w:sz w:val="28"/>
          <w:szCs w:val="28"/>
          <w:lang w:eastAsia="en-US"/>
        </w:rPr>
        <w:t>снизилось и составило 203,7 тыс. человек</w:t>
      </w:r>
      <w:r w:rsidRPr="009711EF">
        <w:rPr>
          <w:rFonts w:eastAsia="Calibri"/>
          <w:sz w:val="28"/>
          <w:szCs w:val="28"/>
          <w:lang w:val="x-none" w:eastAsia="en-US"/>
        </w:rPr>
        <w:t>.</w:t>
      </w:r>
    </w:p>
    <w:p w14:paraId="6C31F727" w14:textId="2E7A78D1" w:rsidR="00A56EE3" w:rsidRPr="00DD69F2" w:rsidRDefault="00A56EE3" w:rsidP="00A56EE3">
      <w:pPr>
        <w:widowControl w:val="0"/>
        <w:suppressAutoHyphens w:val="0"/>
        <w:autoSpaceDE w:val="0"/>
        <w:autoSpaceDN w:val="0"/>
        <w:adjustRightInd w:val="0"/>
        <w:spacing w:line="276" w:lineRule="auto"/>
        <w:rPr>
          <w:rFonts w:eastAsiaTheme="minorEastAsia"/>
          <w:sz w:val="28"/>
          <w:szCs w:val="28"/>
          <w:lang w:eastAsia="ru-RU"/>
        </w:rPr>
      </w:pPr>
      <w:r w:rsidRPr="00DD69F2">
        <w:rPr>
          <w:rFonts w:eastAsiaTheme="minorEastAsia"/>
          <w:sz w:val="28"/>
          <w:szCs w:val="28"/>
          <w:lang w:eastAsia="ru-RU"/>
        </w:rPr>
        <w:t>Общий средний размер назначенных пенсий на 01.07.2021 составил 16692 руб</w:t>
      </w:r>
      <w:r>
        <w:rPr>
          <w:rFonts w:eastAsiaTheme="minorEastAsia"/>
          <w:sz w:val="28"/>
          <w:szCs w:val="28"/>
          <w:lang w:eastAsia="ru-RU"/>
        </w:rPr>
        <w:t>ля</w:t>
      </w:r>
      <w:r w:rsidRPr="00DD69F2">
        <w:rPr>
          <w:rFonts w:eastAsiaTheme="minorEastAsia"/>
          <w:sz w:val="28"/>
          <w:szCs w:val="28"/>
          <w:lang w:eastAsia="ru-RU"/>
        </w:rPr>
        <w:t>, что на 6,1% больше аналогичного показателя на 01.07.2020 (15731 руб</w:t>
      </w:r>
      <w:r w:rsidR="00B23793">
        <w:rPr>
          <w:rFonts w:eastAsiaTheme="minorEastAsia"/>
          <w:sz w:val="28"/>
          <w:szCs w:val="28"/>
          <w:lang w:eastAsia="ru-RU"/>
        </w:rPr>
        <w:t>лей</w:t>
      </w:r>
      <w:r w:rsidRPr="00DD69F2">
        <w:rPr>
          <w:rFonts w:eastAsiaTheme="minorEastAsia"/>
          <w:sz w:val="28"/>
          <w:szCs w:val="28"/>
          <w:lang w:eastAsia="ru-RU"/>
        </w:rPr>
        <w:t>).</w:t>
      </w:r>
    </w:p>
    <w:p w14:paraId="53E386C8" w14:textId="0A3B8B56" w:rsidR="00A56EE3" w:rsidRPr="00DD69F2" w:rsidRDefault="00A56EE3" w:rsidP="00A56EE3">
      <w:pPr>
        <w:widowControl w:val="0"/>
        <w:suppressAutoHyphens w:val="0"/>
        <w:autoSpaceDE w:val="0"/>
        <w:autoSpaceDN w:val="0"/>
        <w:adjustRightInd w:val="0"/>
        <w:spacing w:line="276" w:lineRule="auto"/>
        <w:rPr>
          <w:rFonts w:eastAsiaTheme="minorEastAsia"/>
          <w:sz w:val="28"/>
          <w:szCs w:val="28"/>
          <w:lang w:eastAsia="ru-RU"/>
        </w:rPr>
      </w:pPr>
      <w:r w:rsidRPr="00DD69F2">
        <w:rPr>
          <w:rFonts w:eastAsiaTheme="minorEastAsia"/>
          <w:sz w:val="28"/>
          <w:szCs w:val="28"/>
          <w:lang w:eastAsia="ru-RU"/>
        </w:rPr>
        <w:t xml:space="preserve">Коэффициент индексации социальных пенсий с 1 апреля 2021 года составил 1,034 (в соответствии с Постановлением Правительства </w:t>
      </w:r>
      <w:r w:rsidR="00A775F8">
        <w:rPr>
          <w:rFonts w:eastAsiaTheme="minorEastAsia"/>
          <w:sz w:val="28"/>
          <w:szCs w:val="28"/>
          <w:lang w:eastAsia="ru-RU"/>
        </w:rPr>
        <w:t>Российской Федерации</w:t>
      </w:r>
      <w:r w:rsidRPr="00DD69F2">
        <w:rPr>
          <w:rFonts w:eastAsiaTheme="minorEastAsia"/>
          <w:sz w:val="28"/>
          <w:szCs w:val="28"/>
          <w:lang w:eastAsia="ru-RU"/>
        </w:rPr>
        <w:t xml:space="preserve"> от 23 марта 2021 № 443).</w:t>
      </w:r>
    </w:p>
    <w:p w14:paraId="5AB68AFC" w14:textId="5F1AFF04" w:rsidR="00A56EE3" w:rsidRPr="00DD69F2" w:rsidRDefault="00A56EE3" w:rsidP="00282B08">
      <w:pPr>
        <w:widowControl w:val="0"/>
        <w:suppressAutoHyphens w:val="0"/>
        <w:autoSpaceDE w:val="0"/>
        <w:autoSpaceDN w:val="0"/>
        <w:adjustRightInd w:val="0"/>
        <w:spacing w:line="276" w:lineRule="auto"/>
        <w:rPr>
          <w:rFonts w:eastAsiaTheme="minorEastAsia"/>
          <w:sz w:val="28"/>
          <w:szCs w:val="28"/>
          <w:lang w:eastAsia="ru-RU"/>
        </w:rPr>
      </w:pPr>
      <w:r w:rsidRPr="00DD69F2">
        <w:rPr>
          <w:rFonts w:eastAsiaTheme="minorEastAsia"/>
          <w:sz w:val="28"/>
          <w:szCs w:val="28"/>
          <w:lang w:eastAsia="ru-RU"/>
        </w:rPr>
        <w:t xml:space="preserve">Средний размер трудовой пенсии (по старости) по городскому округу Тольятти на 01.07.2021 составил 17554 рублей, что на 6,4% больше аналогичного периода 2020 года. Соотношение среднего размера трудовой пенсии (по старости) к средней заработной плате работников крупных и средних предприятий городского округа Тольятти составило 39,5% (аналогичный показатель предыдущего года </w:t>
      </w:r>
      <w:r w:rsidR="00A775F8">
        <w:rPr>
          <w:rFonts w:eastAsiaTheme="minorEastAsia"/>
          <w:sz w:val="28"/>
          <w:szCs w:val="28"/>
          <w:lang w:eastAsia="ru-RU"/>
        </w:rPr>
        <w:t>-</w:t>
      </w:r>
      <w:r w:rsidRPr="00DD69F2">
        <w:rPr>
          <w:rFonts w:eastAsiaTheme="minorEastAsia"/>
          <w:sz w:val="28"/>
          <w:szCs w:val="28"/>
          <w:lang w:eastAsia="ru-RU"/>
        </w:rPr>
        <w:t xml:space="preserve"> 40,8%).</w:t>
      </w:r>
    </w:p>
    <w:p w14:paraId="27FEC7B4" w14:textId="0E37488C" w:rsidR="00A56EE3" w:rsidRDefault="00A56EE3" w:rsidP="00282B08">
      <w:pPr>
        <w:widowControl w:val="0"/>
        <w:suppressAutoHyphens w:val="0"/>
        <w:autoSpaceDE w:val="0"/>
        <w:autoSpaceDN w:val="0"/>
        <w:adjustRightInd w:val="0"/>
        <w:spacing w:line="276" w:lineRule="auto"/>
        <w:rPr>
          <w:rFonts w:eastAsiaTheme="minorEastAsia"/>
          <w:sz w:val="28"/>
          <w:szCs w:val="28"/>
          <w:lang w:eastAsia="ru-RU"/>
        </w:rPr>
      </w:pPr>
      <w:r w:rsidRPr="00DD69F2">
        <w:rPr>
          <w:rFonts w:eastAsiaTheme="minorEastAsia"/>
          <w:sz w:val="28"/>
          <w:szCs w:val="28"/>
          <w:lang w:eastAsia="ru-RU"/>
        </w:rPr>
        <w:t xml:space="preserve">Величина прожиточного минимума для пенсионеров в Самарской области за </w:t>
      </w:r>
      <w:r w:rsidR="00B81A11">
        <w:rPr>
          <w:rFonts w:eastAsiaTheme="minorEastAsia"/>
          <w:sz w:val="28"/>
          <w:szCs w:val="28"/>
          <w:lang w:val="en-US" w:eastAsia="ru-RU"/>
        </w:rPr>
        <w:t>I</w:t>
      </w:r>
      <w:r w:rsidRPr="00DD69F2">
        <w:rPr>
          <w:rFonts w:eastAsiaTheme="minorEastAsia"/>
          <w:sz w:val="28"/>
          <w:szCs w:val="28"/>
          <w:lang w:eastAsia="ru-RU"/>
        </w:rPr>
        <w:t xml:space="preserve"> полугодие 2021 года составила 9320 руб</w:t>
      </w:r>
      <w:r w:rsidR="00C44F6A">
        <w:rPr>
          <w:rFonts w:eastAsiaTheme="minorEastAsia"/>
          <w:sz w:val="28"/>
          <w:szCs w:val="28"/>
          <w:lang w:eastAsia="ru-RU"/>
        </w:rPr>
        <w:t>лей</w:t>
      </w:r>
      <w:r w:rsidRPr="00DD69F2">
        <w:rPr>
          <w:rFonts w:eastAsiaTheme="minorEastAsia"/>
          <w:sz w:val="28"/>
          <w:szCs w:val="28"/>
          <w:lang w:eastAsia="ru-RU"/>
        </w:rPr>
        <w:t xml:space="preserve">. Величина среднего размера пенсии к величине прожиточного минимума сократилась относительно аналогичного показателя предыдущего года на 1 </w:t>
      </w:r>
      <w:r w:rsidR="00AD2510">
        <w:rPr>
          <w:rFonts w:eastAsiaTheme="minorEastAsia"/>
          <w:sz w:val="28"/>
          <w:szCs w:val="28"/>
          <w:lang w:eastAsia="ru-RU"/>
        </w:rPr>
        <w:t>процентный пункт</w:t>
      </w:r>
      <w:r w:rsidRPr="00DD69F2">
        <w:rPr>
          <w:rFonts w:eastAsiaTheme="minorEastAsia"/>
          <w:sz w:val="28"/>
          <w:szCs w:val="28"/>
          <w:lang w:eastAsia="ru-RU"/>
        </w:rPr>
        <w:t xml:space="preserve"> и составила на 01.07.2021 – 179,1% (01.07.2020 – 179,8%).</w:t>
      </w:r>
    </w:p>
    <w:p w14:paraId="127A582C" w14:textId="7BB06F36" w:rsidR="00A50BA4" w:rsidRPr="00DD69F2" w:rsidRDefault="00A50BA4" w:rsidP="00282B08">
      <w:pPr>
        <w:widowControl w:val="0"/>
        <w:suppressAutoHyphens w:val="0"/>
        <w:autoSpaceDE w:val="0"/>
        <w:autoSpaceDN w:val="0"/>
        <w:adjustRightInd w:val="0"/>
        <w:spacing w:before="120" w:line="276" w:lineRule="auto"/>
        <w:ind w:firstLine="0"/>
        <w:jc w:val="center"/>
        <w:rPr>
          <w:b/>
          <w:sz w:val="28"/>
          <w:szCs w:val="28"/>
        </w:rPr>
      </w:pPr>
      <w:r w:rsidRPr="00DD69F2">
        <w:rPr>
          <w:b/>
          <w:sz w:val="28"/>
          <w:szCs w:val="28"/>
        </w:rPr>
        <w:t>Транспорт</w:t>
      </w:r>
      <w:bookmarkStart w:id="10" w:name="транспорт"/>
      <w:bookmarkEnd w:id="10"/>
    </w:p>
    <w:p w14:paraId="0AD56C5D" w14:textId="4B414D76" w:rsidR="00DD6460" w:rsidRPr="00DD6460" w:rsidRDefault="00DD6460" w:rsidP="00282B08">
      <w:pPr>
        <w:suppressAutoHyphens w:val="0"/>
        <w:spacing w:before="120" w:line="276" w:lineRule="auto"/>
        <w:rPr>
          <w:sz w:val="28"/>
          <w:szCs w:val="28"/>
        </w:rPr>
      </w:pPr>
      <w:r w:rsidRPr="00DD6460">
        <w:rPr>
          <w:sz w:val="28"/>
          <w:szCs w:val="28"/>
          <w:lang w:eastAsia="ru-RU"/>
        </w:rPr>
        <w:t xml:space="preserve">На территории городского округа Тольятти </w:t>
      </w:r>
      <w:r w:rsidRPr="00DD6460">
        <w:rPr>
          <w:sz w:val="28"/>
          <w:szCs w:val="28"/>
        </w:rPr>
        <w:t>функционируют 1</w:t>
      </w:r>
      <w:r w:rsidR="00C71428">
        <w:rPr>
          <w:sz w:val="28"/>
          <w:szCs w:val="28"/>
        </w:rPr>
        <w:t>4</w:t>
      </w:r>
      <w:r w:rsidRPr="00DD6460">
        <w:rPr>
          <w:sz w:val="28"/>
          <w:szCs w:val="28"/>
        </w:rPr>
        <w:t xml:space="preserve">  предприятий </w:t>
      </w:r>
      <w:r w:rsidR="00C71428">
        <w:rPr>
          <w:sz w:val="28"/>
          <w:szCs w:val="28"/>
        </w:rPr>
        <w:t xml:space="preserve">по основному </w:t>
      </w:r>
      <w:r w:rsidR="00C71428">
        <w:rPr>
          <w:sz w:val="28"/>
          <w:szCs w:val="28"/>
          <w:lang w:eastAsia="ru-RU"/>
        </w:rPr>
        <w:t xml:space="preserve">виду экономической деятельности «Деятельность сухопутного транспорта» </w:t>
      </w:r>
      <w:r w:rsidRPr="00DD6460">
        <w:rPr>
          <w:sz w:val="28"/>
          <w:szCs w:val="28"/>
        </w:rPr>
        <w:t>(АО «АВТОВАЗТРАНС», ООО «ТЕХНОВИЗА» и др</w:t>
      </w:r>
      <w:r w:rsidR="00A775F8">
        <w:rPr>
          <w:sz w:val="28"/>
          <w:szCs w:val="28"/>
        </w:rPr>
        <w:t>угие</w:t>
      </w:r>
      <w:r w:rsidRPr="00DD6460">
        <w:rPr>
          <w:sz w:val="28"/>
          <w:szCs w:val="28"/>
        </w:rPr>
        <w:t xml:space="preserve">), </w:t>
      </w:r>
      <w:r w:rsidRPr="00DD6460">
        <w:rPr>
          <w:sz w:val="28"/>
          <w:szCs w:val="28"/>
          <w:lang w:eastAsia="ru-RU"/>
        </w:rPr>
        <w:t>не относящихся к субъектам малого предпринимательства</w:t>
      </w:r>
      <w:r>
        <w:rPr>
          <w:sz w:val="28"/>
          <w:szCs w:val="28"/>
          <w:lang w:eastAsia="ru-RU"/>
        </w:rPr>
        <w:t xml:space="preserve">, а также </w:t>
      </w:r>
      <w:r w:rsidR="00D337E9">
        <w:rPr>
          <w:sz w:val="28"/>
          <w:szCs w:val="28"/>
          <w:lang w:eastAsia="ru-RU"/>
        </w:rPr>
        <w:t>2,6 тыс. субъектов малого предпринимательства</w:t>
      </w:r>
      <w:r w:rsidR="0047186B">
        <w:rPr>
          <w:sz w:val="28"/>
          <w:szCs w:val="28"/>
          <w:lang w:eastAsia="ru-RU"/>
        </w:rPr>
        <w:t xml:space="preserve"> данного вида деятельности</w:t>
      </w:r>
      <w:r w:rsidRPr="00DD6460">
        <w:rPr>
          <w:sz w:val="28"/>
          <w:szCs w:val="28"/>
          <w:lang w:eastAsia="ru-RU"/>
        </w:rPr>
        <w:t>.</w:t>
      </w:r>
    </w:p>
    <w:p w14:paraId="76E2A8A1" w14:textId="3FEC27A1" w:rsidR="007135D6" w:rsidRPr="007135D6" w:rsidRDefault="007135D6" w:rsidP="007135D6">
      <w:pPr>
        <w:widowControl w:val="0"/>
        <w:spacing w:line="276" w:lineRule="auto"/>
        <w:rPr>
          <w:sz w:val="28"/>
          <w:szCs w:val="28"/>
          <w:lang w:eastAsia="ru-RU"/>
        </w:rPr>
      </w:pPr>
      <w:r w:rsidRPr="007135D6">
        <w:rPr>
          <w:sz w:val="28"/>
          <w:szCs w:val="28"/>
          <w:lang w:eastAsia="ru-RU"/>
        </w:rPr>
        <w:t xml:space="preserve">Объем оказанных транспортных услуг предприятиями пассажирского и грузового транспорта в </w:t>
      </w:r>
      <w:r w:rsidR="00B81A11">
        <w:rPr>
          <w:sz w:val="28"/>
          <w:szCs w:val="28"/>
          <w:lang w:val="en-US" w:eastAsia="ru-RU"/>
        </w:rPr>
        <w:t>I</w:t>
      </w:r>
      <w:r w:rsidRPr="007135D6">
        <w:rPr>
          <w:sz w:val="28"/>
          <w:szCs w:val="28"/>
          <w:lang w:eastAsia="ru-RU"/>
        </w:rPr>
        <w:t xml:space="preserve"> полугоди</w:t>
      </w:r>
      <w:r w:rsidR="00A775F8">
        <w:rPr>
          <w:sz w:val="28"/>
          <w:szCs w:val="28"/>
          <w:lang w:eastAsia="ru-RU"/>
        </w:rPr>
        <w:t>и</w:t>
      </w:r>
      <w:r w:rsidRPr="007135D6">
        <w:rPr>
          <w:sz w:val="28"/>
          <w:szCs w:val="28"/>
          <w:lang w:eastAsia="ru-RU"/>
        </w:rPr>
        <w:t xml:space="preserve"> 2021 го</w:t>
      </w:r>
      <w:r w:rsidR="00B23793">
        <w:rPr>
          <w:sz w:val="28"/>
          <w:szCs w:val="28"/>
          <w:lang w:eastAsia="ru-RU"/>
        </w:rPr>
        <w:t>да составил 1493,4 млн. рублей</w:t>
      </w:r>
      <w:r w:rsidRPr="007135D6">
        <w:rPr>
          <w:sz w:val="28"/>
          <w:szCs w:val="28"/>
          <w:lang w:eastAsia="ru-RU"/>
        </w:rPr>
        <w:t xml:space="preserve">, </w:t>
      </w:r>
      <w:r w:rsidRPr="007135D6">
        <w:rPr>
          <w:sz w:val="28"/>
          <w:szCs w:val="28"/>
          <w:lang w:eastAsia="ru-RU"/>
        </w:rPr>
        <w:lastRenderedPageBreak/>
        <w:t>что на 4,1% выше соответствующего периода 2020 года.</w:t>
      </w:r>
    </w:p>
    <w:p w14:paraId="1B856D00" w14:textId="3F3C0A94" w:rsidR="00DD6460" w:rsidRDefault="00DD6460" w:rsidP="00D337E9">
      <w:pPr>
        <w:widowControl w:val="0"/>
        <w:spacing w:line="276" w:lineRule="auto"/>
        <w:rPr>
          <w:rFonts w:eastAsiaTheme="minorEastAsia"/>
          <w:sz w:val="28"/>
          <w:szCs w:val="28"/>
          <w:lang w:eastAsia="ru-RU"/>
        </w:rPr>
      </w:pPr>
      <w:r w:rsidRPr="00DD6460">
        <w:rPr>
          <w:sz w:val="28"/>
          <w:szCs w:val="28"/>
        </w:rPr>
        <w:t xml:space="preserve">За </w:t>
      </w:r>
      <w:r w:rsidR="00B81A11">
        <w:rPr>
          <w:sz w:val="28"/>
          <w:szCs w:val="28"/>
          <w:lang w:val="en-US"/>
        </w:rPr>
        <w:t>I</w:t>
      </w:r>
      <w:r w:rsidRPr="00DD6460">
        <w:rPr>
          <w:sz w:val="28"/>
          <w:szCs w:val="28"/>
        </w:rPr>
        <w:t xml:space="preserve"> полугодие 2021 года предприятиями, </w:t>
      </w:r>
      <w:r w:rsidRPr="00DD6460">
        <w:rPr>
          <w:sz w:val="28"/>
          <w:szCs w:val="28"/>
          <w:lang w:eastAsia="ru-RU"/>
        </w:rPr>
        <w:t>не относящимся к субъектам малого предпринимательства</w:t>
      </w:r>
      <w:r w:rsidR="00D337E9">
        <w:rPr>
          <w:sz w:val="28"/>
          <w:szCs w:val="28"/>
          <w:lang w:eastAsia="ru-RU"/>
        </w:rPr>
        <w:t>,</w:t>
      </w:r>
      <w:r w:rsidRPr="00DD6460">
        <w:rPr>
          <w:sz w:val="28"/>
          <w:szCs w:val="28"/>
        </w:rPr>
        <w:t xml:space="preserve"> перевезено 528,9 тыс. тонн</w:t>
      </w:r>
      <w:r>
        <w:rPr>
          <w:sz w:val="28"/>
          <w:szCs w:val="28"/>
        </w:rPr>
        <w:t xml:space="preserve"> </w:t>
      </w:r>
      <w:r w:rsidRPr="00DD6460">
        <w:rPr>
          <w:sz w:val="28"/>
          <w:szCs w:val="28"/>
        </w:rPr>
        <w:t>грузов, что на 47,2% ниже аналогичного периода прошлого года</w:t>
      </w:r>
      <w:r w:rsidR="00D337E9">
        <w:rPr>
          <w:sz w:val="28"/>
          <w:szCs w:val="28"/>
        </w:rPr>
        <w:t>.</w:t>
      </w:r>
      <w:r w:rsidRPr="00DD6460">
        <w:rPr>
          <w:sz w:val="28"/>
          <w:szCs w:val="28"/>
        </w:rPr>
        <w:t xml:space="preserve"> </w:t>
      </w:r>
      <w:r w:rsidR="00D337E9">
        <w:rPr>
          <w:sz w:val="28"/>
          <w:szCs w:val="28"/>
        </w:rPr>
        <w:t xml:space="preserve">В общем объеме перевезенных грузов доля перевозок, осуществляемых на коммерческой основе, составила 54,1%. </w:t>
      </w:r>
    </w:p>
    <w:p w14:paraId="4E9CC5A4" w14:textId="1B225D53" w:rsidR="001D7EDE" w:rsidRPr="008520D9" w:rsidRDefault="001D7EDE" w:rsidP="001D7EDE">
      <w:pPr>
        <w:suppressAutoHyphens w:val="0"/>
        <w:autoSpaceDE w:val="0"/>
        <w:autoSpaceDN w:val="0"/>
        <w:adjustRightInd w:val="0"/>
        <w:spacing w:line="276" w:lineRule="auto"/>
        <w:rPr>
          <w:rFonts w:eastAsiaTheme="minorEastAsia"/>
          <w:sz w:val="28"/>
          <w:szCs w:val="28"/>
          <w:lang w:eastAsia="ru-RU"/>
        </w:rPr>
      </w:pPr>
      <w:r w:rsidRPr="00B20313">
        <w:rPr>
          <w:rFonts w:eastAsiaTheme="minorEastAsia"/>
          <w:sz w:val="28"/>
          <w:szCs w:val="28"/>
          <w:lang w:eastAsia="ru-RU"/>
        </w:rPr>
        <w:t xml:space="preserve">Грузооборот (без трубопроводного транспорта) в январе–июне 2021 года снизился на 26,3 % и составил 127,3 млн. т. км. </w:t>
      </w:r>
      <w:r w:rsidR="00C71428">
        <w:rPr>
          <w:rFonts w:eastAsiaTheme="minorEastAsia"/>
          <w:sz w:val="28"/>
          <w:szCs w:val="28"/>
          <w:lang w:eastAsia="ru-RU"/>
        </w:rPr>
        <w:t xml:space="preserve">В результате анализа, выявлено, что </w:t>
      </w:r>
      <w:r w:rsidR="00D337E9">
        <w:rPr>
          <w:sz w:val="28"/>
          <w:szCs w:val="28"/>
        </w:rPr>
        <w:t xml:space="preserve">в </w:t>
      </w:r>
      <w:r w:rsidR="00C71428">
        <w:rPr>
          <w:sz w:val="28"/>
          <w:szCs w:val="28"/>
        </w:rPr>
        <w:t>представленном</w:t>
      </w:r>
      <w:r w:rsidR="00D337E9">
        <w:rPr>
          <w:sz w:val="28"/>
          <w:szCs w:val="28"/>
        </w:rPr>
        <w:t xml:space="preserve"> </w:t>
      </w:r>
      <w:r w:rsidR="00D337E9" w:rsidRPr="00DD6460">
        <w:rPr>
          <w:sz w:val="28"/>
          <w:szCs w:val="28"/>
        </w:rPr>
        <w:t>стат</w:t>
      </w:r>
      <w:r w:rsidR="00D337E9">
        <w:rPr>
          <w:sz w:val="28"/>
          <w:szCs w:val="28"/>
        </w:rPr>
        <w:t>истическ</w:t>
      </w:r>
      <w:r w:rsidR="00C71428">
        <w:rPr>
          <w:sz w:val="28"/>
          <w:szCs w:val="28"/>
        </w:rPr>
        <w:t>ом</w:t>
      </w:r>
      <w:r w:rsidR="00D337E9">
        <w:rPr>
          <w:sz w:val="28"/>
          <w:szCs w:val="28"/>
        </w:rPr>
        <w:t xml:space="preserve"> </w:t>
      </w:r>
      <w:r w:rsidR="00C71428">
        <w:rPr>
          <w:sz w:val="28"/>
          <w:szCs w:val="28"/>
        </w:rPr>
        <w:t xml:space="preserve">отчете за </w:t>
      </w:r>
      <w:r w:rsidR="00B81A11">
        <w:rPr>
          <w:sz w:val="28"/>
          <w:szCs w:val="28"/>
          <w:lang w:val="en-US"/>
        </w:rPr>
        <w:t>I</w:t>
      </w:r>
      <w:r w:rsidR="00C71428">
        <w:rPr>
          <w:sz w:val="28"/>
          <w:szCs w:val="28"/>
        </w:rPr>
        <w:t xml:space="preserve"> полугодие 2021 года отсутствуют</w:t>
      </w:r>
      <w:r w:rsidR="00D337E9">
        <w:rPr>
          <w:sz w:val="28"/>
          <w:szCs w:val="28"/>
        </w:rPr>
        <w:t xml:space="preserve"> сведени</w:t>
      </w:r>
      <w:r w:rsidR="00C71428">
        <w:rPr>
          <w:sz w:val="28"/>
          <w:szCs w:val="28"/>
        </w:rPr>
        <w:t>я</w:t>
      </w:r>
      <w:r w:rsidR="00D337E9">
        <w:rPr>
          <w:sz w:val="28"/>
          <w:szCs w:val="28"/>
        </w:rPr>
        <w:t xml:space="preserve"> по одному из крупнейших перевозчиков </w:t>
      </w:r>
      <w:r w:rsidR="00C71428">
        <w:rPr>
          <w:sz w:val="28"/>
          <w:szCs w:val="28"/>
        </w:rPr>
        <w:t xml:space="preserve">грузов, поэтому </w:t>
      </w:r>
      <w:r w:rsidR="00D337E9">
        <w:rPr>
          <w:sz w:val="28"/>
          <w:szCs w:val="28"/>
        </w:rPr>
        <w:t>провести объективный анализ причин снижения показателя не представляется возможным.</w:t>
      </w:r>
    </w:p>
    <w:p w14:paraId="6F56FD11" w14:textId="7ACF8CF9" w:rsidR="001D7EDE" w:rsidRDefault="001D7EDE" w:rsidP="001D7EDE">
      <w:pPr>
        <w:suppressAutoHyphens w:val="0"/>
        <w:autoSpaceDE w:val="0"/>
        <w:autoSpaceDN w:val="0"/>
        <w:adjustRightInd w:val="0"/>
        <w:spacing w:line="276" w:lineRule="auto"/>
        <w:rPr>
          <w:rFonts w:eastAsiaTheme="minorEastAsia"/>
          <w:color w:val="000000"/>
          <w:sz w:val="28"/>
          <w:szCs w:val="28"/>
          <w:lang w:eastAsia="ru-RU"/>
        </w:rPr>
      </w:pPr>
      <w:r w:rsidRPr="008520D9">
        <w:rPr>
          <w:rFonts w:eastAsiaTheme="minorEastAsia"/>
          <w:color w:val="000000"/>
          <w:sz w:val="28"/>
          <w:szCs w:val="28"/>
          <w:lang w:eastAsia="ru-RU"/>
        </w:rPr>
        <w:t xml:space="preserve">В 2021 году регулярные пассажирские перевозки в городском округе Тольятти осуществляют 13 предприятий транспорта: МП «ТТУ» - 11 маршрутов, МП «ТПАТП № 3» - 63 маршрута, общества с ограниченной ответственностью (11 фирм) - 29 маршрутов. Перевозки по </w:t>
      </w:r>
      <w:proofErr w:type="spellStart"/>
      <w:r w:rsidRPr="008520D9">
        <w:rPr>
          <w:rFonts w:eastAsiaTheme="minorEastAsia"/>
          <w:color w:val="000000"/>
          <w:sz w:val="28"/>
          <w:szCs w:val="28"/>
          <w:lang w:eastAsia="ru-RU"/>
        </w:rPr>
        <w:t>внутримуниципальным</w:t>
      </w:r>
      <w:proofErr w:type="spellEnd"/>
      <w:r w:rsidRPr="008520D9">
        <w:rPr>
          <w:rFonts w:eastAsiaTheme="minorEastAsia"/>
          <w:color w:val="000000"/>
          <w:sz w:val="28"/>
          <w:szCs w:val="28"/>
          <w:lang w:eastAsia="ru-RU"/>
        </w:rPr>
        <w:t xml:space="preserve"> маршрутам осуществляются по договорам об осуществлении регулярных перевозок по </w:t>
      </w:r>
      <w:proofErr w:type="spellStart"/>
      <w:r w:rsidRPr="008520D9">
        <w:rPr>
          <w:rFonts w:eastAsiaTheme="minorEastAsia"/>
          <w:color w:val="000000"/>
          <w:sz w:val="28"/>
          <w:szCs w:val="28"/>
          <w:lang w:eastAsia="ru-RU"/>
        </w:rPr>
        <w:t>внутримуниципальным</w:t>
      </w:r>
      <w:proofErr w:type="spellEnd"/>
      <w:r w:rsidRPr="008520D9">
        <w:rPr>
          <w:rFonts w:eastAsiaTheme="minorEastAsia"/>
          <w:color w:val="000000"/>
          <w:sz w:val="28"/>
          <w:szCs w:val="28"/>
          <w:lang w:eastAsia="ru-RU"/>
        </w:rPr>
        <w:t xml:space="preserve"> маршрутам городского округа Тольятти, заключенным до 31.12.2021.</w:t>
      </w:r>
    </w:p>
    <w:p w14:paraId="773762DE" w14:textId="77777777" w:rsidR="001D7EDE" w:rsidRPr="008520D9" w:rsidRDefault="001D7EDE" w:rsidP="001D7EDE">
      <w:pPr>
        <w:widowControl w:val="0"/>
        <w:suppressAutoHyphens w:val="0"/>
        <w:autoSpaceDE w:val="0"/>
        <w:autoSpaceDN w:val="0"/>
        <w:adjustRightInd w:val="0"/>
        <w:spacing w:line="276" w:lineRule="auto"/>
        <w:rPr>
          <w:rFonts w:eastAsiaTheme="minorEastAsia"/>
          <w:color w:val="000000"/>
          <w:sz w:val="28"/>
          <w:szCs w:val="28"/>
          <w:lang w:eastAsia="ru-RU"/>
        </w:rPr>
      </w:pPr>
      <w:r w:rsidRPr="008520D9">
        <w:rPr>
          <w:rFonts w:eastAsiaTheme="minorEastAsia"/>
          <w:color w:val="000000"/>
          <w:sz w:val="28"/>
          <w:szCs w:val="28"/>
          <w:lang w:eastAsia="ru-RU"/>
        </w:rPr>
        <w:t>На 1 июля 2021 года на балансе муниципальных пассажирских предприятий находятся 297 автобусов и 80 троллейбусов, из них полностью начислена амортизация на 187 автобусов и 18 троллейбусов.</w:t>
      </w:r>
    </w:p>
    <w:p w14:paraId="49D164DB" w14:textId="77777777" w:rsidR="0047186B" w:rsidRPr="0047186B" w:rsidRDefault="0047186B" w:rsidP="0047186B">
      <w:pPr>
        <w:widowControl w:val="0"/>
        <w:spacing w:line="276" w:lineRule="auto"/>
        <w:rPr>
          <w:sz w:val="28"/>
          <w:szCs w:val="28"/>
        </w:rPr>
      </w:pPr>
      <w:r w:rsidRPr="0047186B">
        <w:rPr>
          <w:sz w:val="28"/>
          <w:szCs w:val="28"/>
        </w:rPr>
        <w:t xml:space="preserve">По показателю «Перевезено пассажиров транспортом общего пользования» представлены данные по полному кругу транспортных предприятий. </w:t>
      </w:r>
    </w:p>
    <w:p w14:paraId="0116F117" w14:textId="3471F9B6" w:rsidR="0047186B" w:rsidRPr="0047186B" w:rsidRDefault="0047186B" w:rsidP="0047186B">
      <w:pPr>
        <w:widowControl w:val="0"/>
        <w:spacing w:line="276" w:lineRule="auto"/>
        <w:rPr>
          <w:sz w:val="28"/>
          <w:szCs w:val="28"/>
        </w:rPr>
      </w:pPr>
      <w:r w:rsidRPr="0047186B">
        <w:rPr>
          <w:sz w:val="28"/>
          <w:szCs w:val="28"/>
        </w:rPr>
        <w:t xml:space="preserve">В </w:t>
      </w:r>
      <w:r w:rsidR="00242B0C">
        <w:rPr>
          <w:sz w:val="28"/>
          <w:szCs w:val="28"/>
          <w:lang w:val="en-US"/>
        </w:rPr>
        <w:t>I</w:t>
      </w:r>
      <w:r w:rsidRPr="0047186B">
        <w:rPr>
          <w:sz w:val="28"/>
          <w:szCs w:val="28"/>
        </w:rPr>
        <w:t xml:space="preserve"> полугодии 2021 года объем пассажирских перевозок на коммерческой основе предприятиями транспорта общего пользования составил 38,2 млн. человек (на 6,1% ниже </w:t>
      </w:r>
      <w:r w:rsidR="00734557">
        <w:rPr>
          <w:sz w:val="28"/>
          <w:szCs w:val="28"/>
          <w:lang w:val="en-US"/>
        </w:rPr>
        <w:t>I</w:t>
      </w:r>
      <w:r w:rsidRPr="0047186B">
        <w:rPr>
          <w:sz w:val="28"/>
          <w:szCs w:val="28"/>
        </w:rPr>
        <w:t xml:space="preserve"> полугодия 2020 года), в том числе: автобусами – 8,9 млн. человек (на 11% выше аналогичного периода 2020 года), троллейбусами – 2,4 млн. человек (на 5% выше </w:t>
      </w:r>
      <w:r w:rsidR="00734557">
        <w:rPr>
          <w:sz w:val="28"/>
          <w:szCs w:val="28"/>
          <w:lang w:val="en-US"/>
        </w:rPr>
        <w:t>I</w:t>
      </w:r>
      <w:r w:rsidRPr="0047186B">
        <w:rPr>
          <w:sz w:val="28"/>
          <w:szCs w:val="28"/>
        </w:rPr>
        <w:t> полугодия 2020 года), маршрутными такси – 26,9 млн. человек (на 11,7% ниже января-июня 2020 года).</w:t>
      </w:r>
    </w:p>
    <w:p w14:paraId="22D8DBDB" w14:textId="081B9503" w:rsidR="001D7EDE" w:rsidRDefault="001D7EDE" w:rsidP="001D7EDE">
      <w:pPr>
        <w:widowControl w:val="0"/>
        <w:suppressAutoHyphens w:val="0"/>
        <w:autoSpaceDE w:val="0"/>
        <w:autoSpaceDN w:val="0"/>
        <w:adjustRightInd w:val="0"/>
        <w:spacing w:line="276" w:lineRule="auto"/>
        <w:rPr>
          <w:rFonts w:eastAsiaTheme="minorEastAsia"/>
          <w:sz w:val="28"/>
          <w:szCs w:val="28"/>
          <w:lang w:eastAsia="ru-RU"/>
        </w:rPr>
      </w:pPr>
      <w:r w:rsidRPr="00EE19BE">
        <w:rPr>
          <w:rFonts w:eastAsiaTheme="minorEastAsia"/>
          <w:sz w:val="28"/>
          <w:szCs w:val="28"/>
          <w:lang w:eastAsia="ru-RU"/>
        </w:rPr>
        <w:t>Пассажирооборот транспорта общего пользования в отчетном периоде снизился на 6,3% к январю – июню 2020 году до 465,5 млн. пассажиро-километров.</w:t>
      </w:r>
    </w:p>
    <w:p w14:paraId="4C2435D0" w14:textId="77777777" w:rsidR="0047186B" w:rsidRPr="0047186B" w:rsidRDefault="0047186B" w:rsidP="0047186B">
      <w:pPr>
        <w:widowControl w:val="0"/>
        <w:spacing w:line="276" w:lineRule="auto"/>
        <w:rPr>
          <w:sz w:val="28"/>
          <w:szCs w:val="28"/>
        </w:rPr>
      </w:pPr>
      <w:r w:rsidRPr="0047186B">
        <w:rPr>
          <w:sz w:val="28"/>
          <w:szCs w:val="28"/>
        </w:rPr>
        <w:t>Система организации городского пассажирского транспорта сформирована по следующим принципам:</w:t>
      </w:r>
    </w:p>
    <w:p w14:paraId="2431437B" w14:textId="77777777" w:rsidR="0047186B" w:rsidRPr="0047186B" w:rsidRDefault="0047186B" w:rsidP="0047186B">
      <w:pPr>
        <w:widowControl w:val="0"/>
        <w:spacing w:line="276" w:lineRule="auto"/>
        <w:rPr>
          <w:sz w:val="28"/>
          <w:szCs w:val="28"/>
        </w:rPr>
      </w:pPr>
      <w:r w:rsidRPr="0047186B">
        <w:rPr>
          <w:sz w:val="28"/>
          <w:szCs w:val="28"/>
        </w:rPr>
        <w:t>- исключение дублирования маршрутов;</w:t>
      </w:r>
    </w:p>
    <w:p w14:paraId="10F69423" w14:textId="77777777" w:rsidR="0047186B" w:rsidRPr="0047186B" w:rsidRDefault="0047186B" w:rsidP="0047186B">
      <w:pPr>
        <w:widowControl w:val="0"/>
        <w:spacing w:line="276" w:lineRule="auto"/>
        <w:rPr>
          <w:sz w:val="28"/>
          <w:szCs w:val="28"/>
        </w:rPr>
      </w:pPr>
      <w:r w:rsidRPr="0047186B">
        <w:rPr>
          <w:sz w:val="28"/>
          <w:szCs w:val="28"/>
        </w:rPr>
        <w:t xml:space="preserve">- создание равных условий и возможностей для осуществления </w:t>
      </w:r>
      <w:r w:rsidRPr="0047186B">
        <w:rPr>
          <w:sz w:val="28"/>
          <w:szCs w:val="28"/>
        </w:rPr>
        <w:lastRenderedPageBreak/>
        <w:t>регулярных перевозок по маршрутам организациям различных организационно-правовых форм и форм собственности (муниципальные предприятия, коммерческие организации).</w:t>
      </w:r>
    </w:p>
    <w:p w14:paraId="1A4ACC49" w14:textId="77777777" w:rsidR="001D7EDE" w:rsidRPr="005F5A67" w:rsidRDefault="001D7EDE" w:rsidP="001D7EDE">
      <w:pPr>
        <w:widowControl w:val="0"/>
        <w:suppressAutoHyphens w:val="0"/>
        <w:autoSpaceDE w:val="0"/>
        <w:autoSpaceDN w:val="0"/>
        <w:adjustRightInd w:val="0"/>
        <w:spacing w:line="276" w:lineRule="auto"/>
        <w:rPr>
          <w:rFonts w:eastAsiaTheme="minorEastAsia"/>
          <w:sz w:val="28"/>
          <w:szCs w:val="28"/>
          <w:shd w:val="clear" w:color="auto" w:fill="FFFF00"/>
          <w:lang w:eastAsia="ru-RU"/>
        </w:rPr>
      </w:pPr>
      <w:r w:rsidRPr="005F5A67">
        <w:rPr>
          <w:rFonts w:eastAsiaTheme="minorEastAsia"/>
          <w:sz w:val="28"/>
          <w:szCs w:val="28"/>
          <w:lang w:eastAsia="ru-RU"/>
        </w:rPr>
        <w:t>В текущем периоде продолжена работа по обеспечению более комфортных условий перевозок пассажиров, в том числе работа по обновлению подвижного состава муниципальных предприятий пассажирского транспорта: в целях</w:t>
      </w:r>
      <w:r w:rsidRPr="005F5A67">
        <w:rPr>
          <w:rFonts w:eastAsiaTheme="minorEastAsia"/>
          <w:color w:val="000000"/>
          <w:sz w:val="28"/>
          <w:szCs w:val="28"/>
          <w:lang w:eastAsia="ru-RU"/>
        </w:rPr>
        <w:t xml:space="preserve"> реализации мероприятий по обновлению подвижного состава наземного общественного пассажирского транспорта, предусмотренного национальным проектом «Безопасные и качественные автомобильные дороги», в министерство транспорта и автомобильных дорог Самарской области </w:t>
      </w:r>
      <w:r w:rsidRPr="0089394B">
        <w:rPr>
          <w:rFonts w:eastAsiaTheme="minorEastAsia"/>
          <w:color w:val="000000"/>
          <w:sz w:val="28"/>
          <w:szCs w:val="28"/>
          <w:lang w:eastAsia="ru-RU"/>
        </w:rPr>
        <w:t xml:space="preserve">направлена информация о потребности городского округа в приобретении 64 </w:t>
      </w:r>
      <w:r w:rsidRPr="0089394B">
        <w:rPr>
          <w:rFonts w:eastAsiaTheme="minorEastAsia"/>
          <w:sz w:val="28"/>
          <w:szCs w:val="28"/>
          <w:lang w:eastAsia="ru-RU"/>
        </w:rPr>
        <w:t>автобусов большой вместимости, работающих на газомоторном топливе.</w:t>
      </w:r>
    </w:p>
    <w:p w14:paraId="077C5DDD" w14:textId="5ADE0B79" w:rsidR="001D7EDE" w:rsidRPr="00EE19BE" w:rsidRDefault="001D7EDE" w:rsidP="001D7EDE">
      <w:pPr>
        <w:pStyle w:val="aff0"/>
        <w:spacing w:line="276" w:lineRule="auto"/>
        <w:ind w:firstLine="0"/>
        <w:jc w:val="center"/>
        <w:rPr>
          <w:szCs w:val="28"/>
        </w:rPr>
      </w:pPr>
      <w:r w:rsidRPr="00EE19BE">
        <w:rPr>
          <w:szCs w:val="28"/>
        </w:rPr>
        <w:t xml:space="preserve">Ожидаемое выполнение прогнозных показателей </w:t>
      </w:r>
    </w:p>
    <w:p w14:paraId="492993B8" w14:textId="77777777" w:rsidR="001D7EDE" w:rsidRPr="00EE19BE" w:rsidRDefault="001D7EDE" w:rsidP="001D7EDE">
      <w:pPr>
        <w:pStyle w:val="aff0"/>
        <w:spacing w:line="276" w:lineRule="auto"/>
        <w:ind w:firstLine="0"/>
        <w:jc w:val="center"/>
        <w:rPr>
          <w:szCs w:val="28"/>
        </w:rPr>
      </w:pPr>
      <w:r w:rsidRPr="00EE19BE">
        <w:rPr>
          <w:szCs w:val="28"/>
        </w:rPr>
        <w:t>по разделу «Транспорт» на 2021 год</w:t>
      </w:r>
    </w:p>
    <w:tbl>
      <w:tblPr>
        <w:tblW w:w="9325" w:type="dxa"/>
        <w:tblInd w:w="108" w:type="dxa"/>
        <w:tblLayout w:type="fixed"/>
        <w:tblLook w:val="0000" w:firstRow="0" w:lastRow="0" w:firstColumn="0" w:lastColumn="0" w:noHBand="0" w:noVBand="0"/>
      </w:tblPr>
      <w:tblGrid>
        <w:gridCol w:w="3039"/>
        <w:gridCol w:w="1599"/>
        <w:gridCol w:w="1600"/>
        <w:gridCol w:w="1600"/>
        <w:gridCol w:w="1487"/>
      </w:tblGrid>
      <w:tr w:rsidR="001D7EDE" w:rsidRPr="00EE19BE" w14:paraId="4484DE54" w14:textId="77777777" w:rsidTr="00147A4E">
        <w:trPr>
          <w:trHeight w:val="331"/>
        </w:trPr>
        <w:tc>
          <w:tcPr>
            <w:tcW w:w="3039" w:type="dxa"/>
            <w:vMerge w:val="restart"/>
            <w:tcBorders>
              <w:top w:val="single" w:sz="4" w:space="0" w:color="000000"/>
              <w:left w:val="single" w:sz="4" w:space="0" w:color="000000"/>
              <w:bottom w:val="single" w:sz="4" w:space="0" w:color="000000"/>
            </w:tcBorders>
            <w:vAlign w:val="center"/>
          </w:tcPr>
          <w:p w14:paraId="5B14C8AB" w14:textId="77777777" w:rsidR="001D7EDE" w:rsidRPr="00EE19BE" w:rsidRDefault="001D7EDE" w:rsidP="00147A4E">
            <w:pPr>
              <w:pStyle w:val="aff0"/>
              <w:spacing w:line="240" w:lineRule="auto"/>
              <w:ind w:firstLine="0"/>
              <w:jc w:val="center"/>
              <w:rPr>
                <w:szCs w:val="28"/>
              </w:rPr>
            </w:pPr>
            <w:r w:rsidRPr="00EE19BE">
              <w:rPr>
                <w:szCs w:val="28"/>
              </w:rPr>
              <w:t>Показатели</w:t>
            </w:r>
          </w:p>
        </w:tc>
        <w:tc>
          <w:tcPr>
            <w:tcW w:w="1599" w:type="dxa"/>
            <w:vMerge w:val="restart"/>
            <w:tcBorders>
              <w:top w:val="single" w:sz="4" w:space="0" w:color="000000"/>
              <w:left w:val="single" w:sz="4" w:space="0" w:color="000000"/>
              <w:bottom w:val="single" w:sz="4" w:space="0" w:color="000000"/>
            </w:tcBorders>
            <w:vAlign w:val="center"/>
          </w:tcPr>
          <w:p w14:paraId="47632542" w14:textId="77777777" w:rsidR="001D7EDE" w:rsidRPr="00EE19BE" w:rsidRDefault="001D7EDE" w:rsidP="00147A4E">
            <w:pPr>
              <w:pStyle w:val="aff0"/>
              <w:spacing w:line="240" w:lineRule="auto"/>
              <w:ind w:firstLine="0"/>
              <w:jc w:val="center"/>
              <w:rPr>
                <w:szCs w:val="28"/>
              </w:rPr>
            </w:pPr>
            <w:r w:rsidRPr="00EE19BE">
              <w:rPr>
                <w:szCs w:val="28"/>
              </w:rPr>
              <w:t>Единица измерения</w:t>
            </w:r>
          </w:p>
        </w:tc>
        <w:tc>
          <w:tcPr>
            <w:tcW w:w="3200" w:type="dxa"/>
            <w:gridSpan w:val="2"/>
            <w:tcBorders>
              <w:top w:val="single" w:sz="4" w:space="0" w:color="000000"/>
              <w:left w:val="single" w:sz="4" w:space="0" w:color="000000"/>
              <w:bottom w:val="single" w:sz="4" w:space="0" w:color="000000"/>
            </w:tcBorders>
            <w:vAlign w:val="center"/>
          </w:tcPr>
          <w:p w14:paraId="41992659" w14:textId="77777777" w:rsidR="001D7EDE" w:rsidRPr="00EE19BE" w:rsidRDefault="001D7EDE" w:rsidP="00147A4E">
            <w:pPr>
              <w:pStyle w:val="aff0"/>
              <w:spacing w:line="240" w:lineRule="auto"/>
              <w:ind w:firstLine="0"/>
              <w:jc w:val="center"/>
              <w:rPr>
                <w:szCs w:val="28"/>
              </w:rPr>
            </w:pPr>
            <w:r w:rsidRPr="00EE19BE">
              <w:rPr>
                <w:szCs w:val="28"/>
              </w:rPr>
              <w:t>Прогноз на 2021 год</w:t>
            </w:r>
          </w:p>
        </w:tc>
        <w:tc>
          <w:tcPr>
            <w:tcW w:w="1487" w:type="dxa"/>
            <w:vMerge w:val="restart"/>
            <w:tcBorders>
              <w:top w:val="single" w:sz="4" w:space="0" w:color="000000"/>
              <w:left w:val="single" w:sz="4" w:space="0" w:color="000000"/>
              <w:bottom w:val="single" w:sz="4" w:space="0" w:color="000000"/>
              <w:right w:val="single" w:sz="4" w:space="0" w:color="000000"/>
            </w:tcBorders>
            <w:vAlign w:val="center"/>
          </w:tcPr>
          <w:p w14:paraId="2B610837" w14:textId="77777777" w:rsidR="001D7EDE" w:rsidRPr="00EE19BE" w:rsidRDefault="001D7EDE" w:rsidP="00147A4E">
            <w:pPr>
              <w:pStyle w:val="aff0"/>
              <w:spacing w:line="240" w:lineRule="auto"/>
              <w:ind w:firstLine="0"/>
              <w:jc w:val="center"/>
              <w:rPr>
                <w:szCs w:val="28"/>
              </w:rPr>
            </w:pPr>
            <w:r w:rsidRPr="00EE19BE">
              <w:rPr>
                <w:szCs w:val="28"/>
              </w:rPr>
              <w:t>2021 год (оценка)</w:t>
            </w:r>
          </w:p>
        </w:tc>
      </w:tr>
      <w:tr w:rsidR="001D7EDE" w:rsidRPr="00EE19BE" w14:paraId="43891EB6" w14:textId="77777777" w:rsidTr="00147A4E">
        <w:trPr>
          <w:trHeight w:val="249"/>
        </w:trPr>
        <w:tc>
          <w:tcPr>
            <w:tcW w:w="3039" w:type="dxa"/>
            <w:vMerge/>
            <w:tcBorders>
              <w:top w:val="single" w:sz="4" w:space="0" w:color="000000"/>
              <w:left w:val="single" w:sz="4" w:space="0" w:color="000000"/>
              <w:bottom w:val="single" w:sz="4" w:space="0" w:color="000000"/>
            </w:tcBorders>
          </w:tcPr>
          <w:p w14:paraId="385206C5" w14:textId="77777777" w:rsidR="001D7EDE" w:rsidRPr="00EE19BE" w:rsidRDefault="001D7EDE" w:rsidP="00147A4E">
            <w:pPr>
              <w:pStyle w:val="aff0"/>
              <w:spacing w:line="300" w:lineRule="auto"/>
              <w:rPr>
                <w:szCs w:val="28"/>
              </w:rPr>
            </w:pPr>
          </w:p>
        </w:tc>
        <w:tc>
          <w:tcPr>
            <w:tcW w:w="1599" w:type="dxa"/>
            <w:vMerge/>
            <w:tcBorders>
              <w:top w:val="single" w:sz="4" w:space="0" w:color="000000"/>
              <w:left w:val="single" w:sz="4" w:space="0" w:color="000000"/>
              <w:bottom w:val="single" w:sz="4" w:space="0" w:color="000000"/>
            </w:tcBorders>
          </w:tcPr>
          <w:p w14:paraId="3DDA8DA1" w14:textId="77777777" w:rsidR="001D7EDE" w:rsidRPr="00EE19BE" w:rsidRDefault="001D7EDE" w:rsidP="00147A4E">
            <w:pPr>
              <w:pStyle w:val="aff0"/>
              <w:spacing w:line="300" w:lineRule="auto"/>
              <w:rPr>
                <w:szCs w:val="28"/>
              </w:rPr>
            </w:pPr>
          </w:p>
        </w:tc>
        <w:tc>
          <w:tcPr>
            <w:tcW w:w="1600" w:type="dxa"/>
            <w:tcBorders>
              <w:top w:val="single" w:sz="4" w:space="0" w:color="000000"/>
              <w:left w:val="single" w:sz="4" w:space="0" w:color="000000"/>
              <w:bottom w:val="single" w:sz="4" w:space="0" w:color="000000"/>
            </w:tcBorders>
            <w:vAlign w:val="center"/>
          </w:tcPr>
          <w:p w14:paraId="04784012" w14:textId="77777777" w:rsidR="001D7EDE" w:rsidRPr="00EE19BE" w:rsidRDefault="001D7EDE" w:rsidP="00147A4E">
            <w:pPr>
              <w:pStyle w:val="aff0"/>
              <w:spacing w:line="300" w:lineRule="auto"/>
              <w:ind w:firstLine="0"/>
              <w:jc w:val="center"/>
              <w:rPr>
                <w:szCs w:val="28"/>
              </w:rPr>
            </w:pPr>
            <w:r w:rsidRPr="00EE19BE">
              <w:rPr>
                <w:szCs w:val="28"/>
              </w:rPr>
              <w:t>1 вариант</w:t>
            </w:r>
          </w:p>
        </w:tc>
        <w:tc>
          <w:tcPr>
            <w:tcW w:w="1600" w:type="dxa"/>
            <w:tcBorders>
              <w:top w:val="single" w:sz="4" w:space="0" w:color="000000"/>
              <w:left w:val="single" w:sz="4" w:space="0" w:color="000000"/>
              <w:bottom w:val="single" w:sz="4" w:space="0" w:color="000000"/>
            </w:tcBorders>
            <w:vAlign w:val="center"/>
          </w:tcPr>
          <w:p w14:paraId="143E9934" w14:textId="77777777" w:rsidR="001D7EDE" w:rsidRPr="00EE19BE" w:rsidRDefault="001D7EDE" w:rsidP="00147A4E">
            <w:pPr>
              <w:pStyle w:val="aff0"/>
              <w:spacing w:line="300" w:lineRule="auto"/>
              <w:ind w:firstLine="0"/>
              <w:jc w:val="center"/>
              <w:rPr>
                <w:szCs w:val="28"/>
              </w:rPr>
            </w:pPr>
            <w:r w:rsidRPr="00EE19BE">
              <w:rPr>
                <w:szCs w:val="28"/>
              </w:rPr>
              <w:t>2 вариант</w:t>
            </w:r>
          </w:p>
        </w:tc>
        <w:tc>
          <w:tcPr>
            <w:tcW w:w="1487" w:type="dxa"/>
            <w:vMerge/>
            <w:tcBorders>
              <w:top w:val="single" w:sz="4" w:space="0" w:color="000000"/>
              <w:left w:val="single" w:sz="4" w:space="0" w:color="000000"/>
              <w:bottom w:val="single" w:sz="4" w:space="0" w:color="000000"/>
              <w:right w:val="single" w:sz="4" w:space="0" w:color="000000"/>
            </w:tcBorders>
          </w:tcPr>
          <w:p w14:paraId="40882F3D" w14:textId="77777777" w:rsidR="001D7EDE" w:rsidRPr="00EE19BE" w:rsidRDefault="001D7EDE" w:rsidP="00147A4E">
            <w:pPr>
              <w:pStyle w:val="aff0"/>
              <w:spacing w:line="300" w:lineRule="auto"/>
              <w:rPr>
                <w:szCs w:val="28"/>
              </w:rPr>
            </w:pPr>
          </w:p>
        </w:tc>
      </w:tr>
      <w:tr w:rsidR="001D7EDE" w:rsidRPr="00EE19BE" w14:paraId="72DB0D82" w14:textId="77777777" w:rsidTr="00147A4E">
        <w:trPr>
          <w:trHeight w:val="765"/>
        </w:trPr>
        <w:tc>
          <w:tcPr>
            <w:tcW w:w="3039" w:type="dxa"/>
            <w:tcBorders>
              <w:top w:val="single" w:sz="4" w:space="0" w:color="000000"/>
              <w:left w:val="single" w:sz="4" w:space="0" w:color="000000"/>
              <w:bottom w:val="single" w:sz="4" w:space="0" w:color="000000"/>
            </w:tcBorders>
          </w:tcPr>
          <w:p w14:paraId="7E6C0700" w14:textId="77777777" w:rsidR="001D7EDE" w:rsidRPr="00EE19BE" w:rsidRDefault="001D7EDE" w:rsidP="00147A4E">
            <w:pPr>
              <w:pStyle w:val="aff0"/>
              <w:spacing w:line="240" w:lineRule="auto"/>
              <w:ind w:firstLine="0"/>
              <w:rPr>
                <w:szCs w:val="28"/>
              </w:rPr>
            </w:pPr>
            <w:r w:rsidRPr="00EE19BE">
              <w:rPr>
                <w:szCs w:val="28"/>
              </w:rPr>
              <w:t>Грузооборот транспорта (без трубопроводного)</w:t>
            </w:r>
          </w:p>
        </w:tc>
        <w:tc>
          <w:tcPr>
            <w:tcW w:w="1599" w:type="dxa"/>
            <w:tcBorders>
              <w:top w:val="single" w:sz="4" w:space="0" w:color="000000"/>
              <w:left w:val="single" w:sz="4" w:space="0" w:color="000000"/>
              <w:bottom w:val="single" w:sz="4" w:space="0" w:color="000000"/>
            </w:tcBorders>
            <w:vAlign w:val="center"/>
          </w:tcPr>
          <w:p w14:paraId="115597DE" w14:textId="77777777" w:rsidR="001D7EDE" w:rsidRPr="00EE19BE" w:rsidRDefault="001D7EDE" w:rsidP="00147A4E">
            <w:pPr>
              <w:pStyle w:val="aff0"/>
              <w:spacing w:line="240" w:lineRule="auto"/>
              <w:ind w:firstLine="0"/>
              <w:jc w:val="center"/>
              <w:rPr>
                <w:szCs w:val="28"/>
              </w:rPr>
            </w:pPr>
            <w:r w:rsidRPr="00EE19BE">
              <w:rPr>
                <w:szCs w:val="28"/>
              </w:rPr>
              <w:t>млн. т. км</w:t>
            </w:r>
          </w:p>
        </w:tc>
        <w:tc>
          <w:tcPr>
            <w:tcW w:w="1600" w:type="dxa"/>
            <w:tcBorders>
              <w:top w:val="single" w:sz="4" w:space="0" w:color="000000"/>
              <w:left w:val="single" w:sz="4" w:space="0" w:color="000000"/>
              <w:bottom w:val="single" w:sz="4" w:space="0" w:color="000000"/>
            </w:tcBorders>
            <w:vAlign w:val="center"/>
          </w:tcPr>
          <w:p w14:paraId="1BAFE5B5" w14:textId="77777777" w:rsidR="001D7EDE" w:rsidRPr="00EE19BE" w:rsidRDefault="001D7EDE" w:rsidP="00147A4E">
            <w:pPr>
              <w:pStyle w:val="aff0"/>
              <w:spacing w:line="240" w:lineRule="auto"/>
              <w:ind w:firstLine="0"/>
              <w:jc w:val="center"/>
              <w:rPr>
                <w:szCs w:val="28"/>
              </w:rPr>
            </w:pPr>
            <w:r w:rsidRPr="00EE19BE">
              <w:rPr>
                <w:szCs w:val="28"/>
              </w:rPr>
              <w:t>198,0</w:t>
            </w:r>
          </w:p>
        </w:tc>
        <w:tc>
          <w:tcPr>
            <w:tcW w:w="1600" w:type="dxa"/>
            <w:tcBorders>
              <w:top w:val="single" w:sz="4" w:space="0" w:color="000000"/>
              <w:left w:val="single" w:sz="4" w:space="0" w:color="000000"/>
              <w:bottom w:val="single" w:sz="4" w:space="0" w:color="000000"/>
            </w:tcBorders>
            <w:vAlign w:val="center"/>
          </w:tcPr>
          <w:p w14:paraId="460C2439" w14:textId="77777777" w:rsidR="001D7EDE" w:rsidRPr="00EE19BE" w:rsidRDefault="001D7EDE" w:rsidP="00147A4E">
            <w:pPr>
              <w:pStyle w:val="aff0"/>
              <w:spacing w:line="240" w:lineRule="auto"/>
              <w:ind w:firstLine="0"/>
              <w:jc w:val="center"/>
              <w:rPr>
                <w:szCs w:val="28"/>
              </w:rPr>
            </w:pPr>
            <w:r w:rsidRPr="00EE19BE">
              <w:rPr>
                <w:szCs w:val="28"/>
              </w:rPr>
              <w:t>205,0</w:t>
            </w:r>
          </w:p>
        </w:tc>
        <w:tc>
          <w:tcPr>
            <w:tcW w:w="1487" w:type="dxa"/>
            <w:tcBorders>
              <w:top w:val="single" w:sz="4" w:space="0" w:color="000000"/>
              <w:left w:val="single" w:sz="4" w:space="0" w:color="000000"/>
              <w:bottom w:val="single" w:sz="4" w:space="0" w:color="000000"/>
              <w:right w:val="single" w:sz="4" w:space="0" w:color="000000"/>
            </w:tcBorders>
            <w:vAlign w:val="center"/>
          </w:tcPr>
          <w:p w14:paraId="5AD685E2" w14:textId="77777777" w:rsidR="001D7EDE" w:rsidRPr="00EE19BE" w:rsidRDefault="001D7EDE" w:rsidP="00147A4E">
            <w:pPr>
              <w:pStyle w:val="aff0"/>
              <w:spacing w:line="240" w:lineRule="auto"/>
              <w:ind w:firstLine="0"/>
              <w:jc w:val="center"/>
              <w:rPr>
                <w:szCs w:val="28"/>
              </w:rPr>
            </w:pPr>
            <w:r>
              <w:rPr>
                <w:szCs w:val="28"/>
              </w:rPr>
              <w:t>306,0</w:t>
            </w:r>
          </w:p>
        </w:tc>
      </w:tr>
      <w:tr w:rsidR="001D7EDE" w:rsidRPr="008253D3" w14:paraId="66425892" w14:textId="77777777" w:rsidTr="00147A4E">
        <w:trPr>
          <w:trHeight w:val="776"/>
        </w:trPr>
        <w:tc>
          <w:tcPr>
            <w:tcW w:w="3039" w:type="dxa"/>
            <w:tcBorders>
              <w:top w:val="single" w:sz="4" w:space="0" w:color="000000"/>
              <w:left w:val="single" w:sz="4" w:space="0" w:color="000000"/>
              <w:bottom w:val="single" w:sz="4" w:space="0" w:color="000000"/>
            </w:tcBorders>
          </w:tcPr>
          <w:p w14:paraId="58A22F55" w14:textId="77777777" w:rsidR="001D7EDE" w:rsidRPr="00EE19BE" w:rsidRDefault="001D7EDE" w:rsidP="00147A4E">
            <w:pPr>
              <w:pStyle w:val="aff0"/>
              <w:spacing w:line="240" w:lineRule="auto"/>
              <w:ind w:firstLine="0"/>
              <w:rPr>
                <w:szCs w:val="28"/>
              </w:rPr>
            </w:pPr>
            <w:r w:rsidRPr="00EE19BE">
              <w:rPr>
                <w:szCs w:val="28"/>
              </w:rPr>
              <w:t>Пассажирооборот транспорта общего пользования</w:t>
            </w:r>
          </w:p>
        </w:tc>
        <w:tc>
          <w:tcPr>
            <w:tcW w:w="1599" w:type="dxa"/>
            <w:tcBorders>
              <w:top w:val="single" w:sz="4" w:space="0" w:color="000000"/>
              <w:left w:val="single" w:sz="4" w:space="0" w:color="000000"/>
              <w:bottom w:val="single" w:sz="4" w:space="0" w:color="auto"/>
            </w:tcBorders>
            <w:vAlign w:val="center"/>
          </w:tcPr>
          <w:p w14:paraId="60FEBA80" w14:textId="77777777" w:rsidR="001D7EDE" w:rsidRPr="00EE19BE" w:rsidRDefault="001D7EDE" w:rsidP="00147A4E">
            <w:pPr>
              <w:pStyle w:val="aff0"/>
              <w:spacing w:line="240" w:lineRule="auto"/>
              <w:ind w:firstLine="0"/>
              <w:jc w:val="center"/>
              <w:rPr>
                <w:szCs w:val="28"/>
              </w:rPr>
            </w:pPr>
            <w:r w:rsidRPr="00EE19BE">
              <w:rPr>
                <w:szCs w:val="28"/>
              </w:rPr>
              <w:t>млн. пасс. км</w:t>
            </w:r>
          </w:p>
        </w:tc>
        <w:tc>
          <w:tcPr>
            <w:tcW w:w="1600" w:type="dxa"/>
            <w:tcBorders>
              <w:top w:val="single" w:sz="4" w:space="0" w:color="000000"/>
              <w:left w:val="single" w:sz="4" w:space="0" w:color="000000"/>
              <w:bottom w:val="single" w:sz="4" w:space="0" w:color="auto"/>
            </w:tcBorders>
            <w:vAlign w:val="center"/>
          </w:tcPr>
          <w:p w14:paraId="2745AC8C" w14:textId="77777777" w:rsidR="001D7EDE" w:rsidRPr="00EE19BE" w:rsidRDefault="001D7EDE" w:rsidP="00147A4E">
            <w:pPr>
              <w:pStyle w:val="aff0"/>
              <w:spacing w:line="240" w:lineRule="auto"/>
              <w:ind w:firstLine="0"/>
              <w:jc w:val="center"/>
              <w:rPr>
                <w:szCs w:val="28"/>
              </w:rPr>
            </w:pPr>
            <w:r w:rsidRPr="00EE19BE">
              <w:rPr>
                <w:szCs w:val="28"/>
              </w:rPr>
              <w:t>1 103,6</w:t>
            </w:r>
          </w:p>
        </w:tc>
        <w:tc>
          <w:tcPr>
            <w:tcW w:w="1600" w:type="dxa"/>
            <w:tcBorders>
              <w:top w:val="single" w:sz="4" w:space="0" w:color="000000"/>
              <w:left w:val="single" w:sz="4" w:space="0" w:color="000000"/>
              <w:bottom w:val="single" w:sz="4" w:space="0" w:color="auto"/>
            </w:tcBorders>
            <w:vAlign w:val="center"/>
          </w:tcPr>
          <w:p w14:paraId="36F94DDA" w14:textId="77777777" w:rsidR="001D7EDE" w:rsidRPr="00EE19BE" w:rsidRDefault="001D7EDE" w:rsidP="00147A4E">
            <w:pPr>
              <w:pStyle w:val="aff0"/>
              <w:spacing w:line="240" w:lineRule="auto"/>
              <w:ind w:firstLine="0"/>
              <w:jc w:val="center"/>
              <w:rPr>
                <w:szCs w:val="28"/>
              </w:rPr>
            </w:pPr>
            <w:r w:rsidRPr="00EE19BE">
              <w:rPr>
                <w:szCs w:val="28"/>
              </w:rPr>
              <w:t>1 116,8</w:t>
            </w:r>
          </w:p>
        </w:tc>
        <w:tc>
          <w:tcPr>
            <w:tcW w:w="1487" w:type="dxa"/>
            <w:tcBorders>
              <w:top w:val="single" w:sz="4" w:space="0" w:color="000000"/>
              <w:left w:val="single" w:sz="4" w:space="0" w:color="000000"/>
              <w:bottom w:val="single" w:sz="4" w:space="0" w:color="auto"/>
              <w:right w:val="single" w:sz="4" w:space="0" w:color="000000"/>
            </w:tcBorders>
            <w:vAlign w:val="center"/>
          </w:tcPr>
          <w:p w14:paraId="152C799E" w14:textId="77777777" w:rsidR="001D7EDE" w:rsidRPr="00EE19BE" w:rsidRDefault="001D7EDE" w:rsidP="00147A4E">
            <w:pPr>
              <w:pStyle w:val="aff0"/>
              <w:spacing w:line="240" w:lineRule="auto"/>
              <w:ind w:firstLine="0"/>
              <w:jc w:val="center"/>
              <w:rPr>
                <w:szCs w:val="28"/>
              </w:rPr>
            </w:pPr>
            <w:r w:rsidRPr="00EE19BE">
              <w:rPr>
                <w:szCs w:val="28"/>
              </w:rPr>
              <w:t>993,5</w:t>
            </w:r>
          </w:p>
        </w:tc>
      </w:tr>
    </w:tbl>
    <w:p w14:paraId="18708706" w14:textId="77777777" w:rsidR="004246A5" w:rsidRDefault="004246A5" w:rsidP="001D7EDE">
      <w:pPr>
        <w:pStyle w:val="aff0"/>
        <w:spacing w:line="276" w:lineRule="auto"/>
        <w:rPr>
          <w:szCs w:val="28"/>
        </w:rPr>
      </w:pPr>
    </w:p>
    <w:p w14:paraId="66EB3046" w14:textId="4858F9B6" w:rsidR="001D7EDE" w:rsidRDefault="00F76AC5" w:rsidP="001D7EDE">
      <w:pPr>
        <w:pStyle w:val="aff0"/>
        <w:spacing w:line="276" w:lineRule="auto"/>
        <w:rPr>
          <w:szCs w:val="28"/>
        </w:rPr>
      </w:pPr>
      <w:r>
        <w:rPr>
          <w:szCs w:val="28"/>
        </w:rPr>
        <w:t>В целях наиболее полного учета показателя, в оценку показателя на 2021 год включены объемы грузооборота по всем предприятиям, осуществляющим грузовые перевозки, тогда как п</w:t>
      </w:r>
      <w:r w:rsidR="001D7EDE">
        <w:rPr>
          <w:szCs w:val="28"/>
        </w:rPr>
        <w:t>рогноз</w:t>
      </w:r>
      <w:r>
        <w:rPr>
          <w:szCs w:val="28"/>
        </w:rPr>
        <w:t>ные данные</w:t>
      </w:r>
      <w:r w:rsidR="001D7EDE">
        <w:rPr>
          <w:szCs w:val="28"/>
        </w:rPr>
        <w:t xml:space="preserve"> на 2021 год был</w:t>
      </w:r>
      <w:r>
        <w:rPr>
          <w:szCs w:val="28"/>
        </w:rPr>
        <w:t>и</w:t>
      </w:r>
      <w:r w:rsidR="001D7EDE">
        <w:rPr>
          <w:szCs w:val="28"/>
        </w:rPr>
        <w:t xml:space="preserve"> рассчитан</w:t>
      </w:r>
      <w:r>
        <w:rPr>
          <w:szCs w:val="28"/>
        </w:rPr>
        <w:t xml:space="preserve">ы в 2020 году </w:t>
      </w:r>
      <w:r w:rsidR="001D7EDE">
        <w:rPr>
          <w:szCs w:val="28"/>
        </w:rPr>
        <w:t xml:space="preserve">только </w:t>
      </w:r>
      <w:r>
        <w:rPr>
          <w:szCs w:val="28"/>
        </w:rPr>
        <w:t>в отношении организаций</w:t>
      </w:r>
      <w:r w:rsidR="001D7EDE">
        <w:rPr>
          <w:szCs w:val="28"/>
        </w:rPr>
        <w:t>, осуществляющ</w:t>
      </w:r>
      <w:r>
        <w:rPr>
          <w:szCs w:val="28"/>
        </w:rPr>
        <w:t>их</w:t>
      </w:r>
      <w:r w:rsidR="001D7EDE">
        <w:rPr>
          <w:szCs w:val="28"/>
        </w:rPr>
        <w:t xml:space="preserve"> грузовые перевозки на коммерческой основе.</w:t>
      </w:r>
      <w:r>
        <w:rPr>
          <w:szCs w:val="28"/>
        </w:rPr>
        <w:t xml:space="preserve"> Таким образом, сравнение показателей не целесообразно ввиду разного круга предприятий.</w:t>
      </w:r>
    </w:p>
    <w:p w14:paraId="67A7D3DB" w14:textId="41EE0231" w:rsidR="001D7EDE" w:rsidRPr="002F6950" w:rsidRDefault="001D7EDE" w:rsidP="001D7EDE">
      <w:pPr>
        <w:pStyle w:val="aff0"/>
        <w:spacing w:line="276" w:lineRule="auto"/>
        <w:rPr>
          <w:szCs w:val="28"/>
        </w:rPr>
      </w:pPr>
      <w:r w:rsidRPr="002F6950">
        <w:rPr>
          <w:szCs w:val="28"/>
        </w:rPr>
        <w:t xml:space="preserve">С учетом сложившегося значения показателя за </w:t>
      </w:r>
      <w:r w:rsidR="00B81A11">
        <w:rPr>
          <w:szCs w:val="28"/>
          <w:lang w:val="en-US"/>
        </w:rPr>
        <w:t>I</w:t>
      </w:r>
      <w:r w:rsidRPr="002F6950">
        <w:rPr>
          <w:szCs w:val="28"/>
        </w:rPr>
        <w:t xml:space="preserve"> полугодие 2021 года, исходя из оценки текущей ситуации на рынке транспортных услуг, оценочное значение показателя грузооборота транспорта на 2021 год </w:t>
      </w:r>
      <w:r>
        <w:rPr>
          <w:szCs w:val="28"/>
        </w:rPr>
        <w:t>составит</w:t>
      </w:r>
      <w:r w:rsidRPr="002F6950">
        <w:rPr>
          <w:szCs w:val="28"/>
        </w:rPr>
        <w:t xml:space="preserve"> </w:t>
      </w:r>
      <w:r>
        <w:rPr>
          <w:szCs w:val="28"/>
        </w:rPr>
        <w:t>306</w:t>
      </w:r>
      <w:r w:rsidRPr="002F6950">
        <w:rPr>
          <w:szCs w:val="28"/>
        </w:rPr>
        <w:t>,0 млн. т. км.</w:t>
      </w:r>
    </w:p>
    <w:p w14:paraId="2C775E03" w14:textId="573C84B6" w:rsidR="001D7EDE" w:rsidRDefault="00C40964" w:rsidP="001D7EDE">
      <w:pPr>
        <w:widowControl w:val="0"/>
        <w:suppressAutoHyphens w:val="0"/>
        <w:autoSpaceDE w:val="0"/>
        <w:autoSpaceDN w:val="0"/>
        <w:adjustRightInd w:val="0"/>
        <w:spacing w:line="276" w:lineRule="auto"/>
        <w:rPr>
          <w:rFonts w:eastAsiaTheme="minorEastAsia"/>
          <w:sz w:val="28"/>
          <w:szCs w:val="28"/>
          <w:lang w:eastAsia="ru-RU"/>
        </w:rPr>
      </w:pPr>
      <w:r>
        <w:rPr>
          <w:rFonts w:eastAsiaTheme="minorEastAsia"/>
          <w:sz w:val="28"/>
          <w:szCs w:val="28"/>
          <w:lang w:eastAsia="ru-RU"/>
        </w:rPr>
        <w:t>По оценке, в</w:t>
      </w:r>
      <w:r w:rsidR="001D7EDE" w:rsidRPr="002F6950">
        <w:rPr>
          <w:rFonts w:eastAsiaTheme="minorEastAsia"/>
          <w:sz w:val="28"/>
          <w:szCs w:val="28"/>
          <w:lang w:eastAsia="ru-RU"/>
        </w:rPr>
        <w:t xml:space="preserve"> 2021 году пассажирооборот транспорта общего пользования </w:t>
      </w:r>
      <w:r>
        <w:rPr>
          <w:rFonts w:eastAsiaTheme="minorEastAsia"/>
          <w:sz w:val="28"/>
          <w:szCs w:val="28"/>
          <w:lang w:eastAsia="ru-RU"/>
        </w:rPr>
        <w:t xml:space="preserve">незначительно </w:t>
      </w:r>
      <w:r w:rsidR="001D7EDE" w:rsidRPr="00457B6D">
        <w:rPr>
          <w:rFonts w:eastAsiaTheme="minorEastAsia"/>
          <w:sz w:val="28"/>
          <w:szCs w:val="28"/>
          <w:lang w:eastAsia="ru-RU"/>
        </w:rPr>
        <w:t xml:space="preserve">увеличится на 1,2% к уровню 2020 года </w:t>
      </w:r>
      <w:r w:rsidRPr="00457B6D">
        <w:rPr>
          <w:rFonts w:eastAsiaTheme="minorEastAsia"/>
          <w:sz w:val="28"/>
          <w:szCs w:val="28"/>
          <w:lang w:eastAsia="ru-RU"/>
        </w:rPr>
        <w:t>(981,8 мл</w:t>
      </w:r>
      <w:r w:rsidR="006155DE">
        <w:rPr>
          <w:rFonts w:eastAsiaTheme="minorEastAsia"/>
          <w:sz w:val="28"/>
          <w:szCs w:val="28"/>
          <w:lang w:eastAsia="ru-RU"/>
        </w:rPr>
        <w:t>н</w:t>
      </w:r>
      <w:r w:rsidRPr="00457B6D">
        <w:rPr>
          <w:rFonts w:eastAsiaTheme="minorEastAsia"/>
          <w:sz w:val="28"/>
          <w:szCs w:val="28"/>
          <w:lang w:eastAsia="ru-RU"/>
        </w:rPr>
        <w:t>.</w:t>
      </w:r>
      <w:r w:rsidR="006155DE">
        <w:rPr>
          <w:rFonts w:eastAsiaTheme="minorEastAsia"/>
          <w:sz w:val="28"/>
          <w:szCs w:val="28"/>
          <w:lang w:eastAsia="ru-RU"/>
        </w:rPr>
        <w:t xml:space="preserve"> </w:t>
      </w:r>
      <w:r w:rsidRPr="00457B6D">
        <w:rPr>
          <w:rFonts w:eastAsiaTheme="minorEastAsia"/>
          <w:sz w:val="28"/>
          <w:szCs w:val="28"/>
          <w:lang w:eastAsia="ru-RU"/>
        </w:rPr>
        <w:t>пасс.</w:t>
      </w:r>
      <w:r w:rsidR="006155DE">
        <w:rPr>
          <w:rFonts w:eastAsiaTheme="minorEastAsia"/>
          <w:sz w:val="28"/>
          <w:szCs w:val="28"/>
          <w:lang w:eastAsia="ru-RU"/>
        </w:rPr>
        <w:t xml:space="preserve"> </w:t>
      </w:r>
      <w:r w:rsidRPr="00457B6D">
        <w:rPr>
          <w:rFonts w:eastAsiaTheme="minorEastAsia"/>
          <w:sz w:val="28"/>
          <w:szCs w:val="28"/>
          <w:lang w:eastAsia="ru-RU"/>
        </w:rPr>
        <w:t>км) с учетом низкой базы 2020 года в период введения ограничительных мер и</w:t>
      </w:r>
      <w:r w:rsidR="001D7EDE" w:rsidRPr="00457B6D">
        <w:rPr>
          <w:rFonts w:eastAsiaTheme="minorEastAsia"/>
          <w:sz w:val="28"/>
          <w:szCs w:val="28"/>
          <w:lang w:eastAsia="ru-RU"/>
        </w:rPr>
        <w:t xml:space="preserve"> составит 993,5 млн.</w:t>
      </w:r>
      <w:r w:rsidR="001D7EDE" w:rsidRPr="002F6950">
        <w:rPr>
          <w:rFonts w:eastAsiaTheme="minorEastAsia"/>
          <w:sz w:val="28"/>
          <w:szCs w:val="28"/>
          <w:lang w:eastAsia="ru-RU"/>
        </w:rPr>
        <w:t xml:space="preserve"> пасс. км, что ниже значений, </w:t>
      </w:r>
      <w:r w:rsidR="001D7EDE" w:rsidRPr="002F6950">
        <w:rPr>
          <w:rFonts w:eastAsiaTheme="minorEastAsia"/>
          <w:sz w:val="28"/>
          <w:szCs w:val="28"/>
          <w:lang w:eastAsia="ru-RU"/>
        </w:rPr>
        <w:lastRenderedPageBreak/>
        <w:t>прогнозируемых ранее.</w:t>
      </w:r>
    </w:p>
    <w:p w14:paraId="46944C23" w14:textId="340418E3" w:rsidR="0047186B" w:rsidRDefault="0047186B" w:rsidP="0047186B">
      <w:pPr>
        <w:spacing w:line="276" w:lineRule="auto"/>
        <w:ind w:firstLine="708"/>
        <w:contextualSpacing/>
        <w:rPr>
          <w:color w:val="000000"/>
          <w:sz w:val="28"/>
          <w:szCs w:val="28"/>
          <w:lang w:eastAsia="ru-RU"/>
        </w:rPr>
      </w:pPr>
      <w:r w:rsidRPr="0047186B">
        <w:rPr>
          <w:color w:val="000000"/>
          <w:sz w:val="28"/>
          <w:szCs w:val="28"/>
          <w:lang w:eastAsia="ru-RU"/>
        </w:rPr>
        <w:t xml:space="preserve">Основой дорожной сети городского округа Тольятти является сеть автомобильных дорог, включающая магистральные автодороги, дороги промышленно-коммунальной зоны, внутриквартальные проезды и бульвары, дороги частного сектора. </w:t>
      </w:r>
    </w:p>
    <w:p w14:paraId="4239BF32" w14:textId="753D4A00" w:rsidR="0047186B" w:rsidRDefault="0047186B" w:rsidP="0047186B">
      <w:pPr>
        <w:suppressAutoHyphens w:val="0"/>
        <w:spacing w:line="276" w:lineRule="auto"/>
        <w:rPr>
          <w:color w:val="000000"/>
          <w:sz w:val="28"/>
          <w:szCs w:val="28"/>
          <w:lang w:eastAsia="ru-RU"/>
        </w:rPr>
      </w:pPr>
      <w:r w:rsidRPr="0047186B">
        <w:rPr>
          <w:color w:val="000000"/>
          <w:sz w:val="28"/>
          <w:szCs w:val="28"/>
          <w:lang w:eastAsia="ru-RU"/>
        </w:rPr>
        <w:t xml:space="preserve">Общая протяженность дорог на 01.01.2021 составляет 888,5 км, в том числе с твердым покрытием – 887,5 км. </w:t>
      </w:r>
    </w:p>
    <w:p w14:paraId="5D80AE3A" w14:textId="79D5F30D" w:rsidR="007135D6" w:rsidRPr="007135D6" w:rsidRDefault="007135D6" w:rsidP="007135D6">
      <w:pPr>
        <w:widowControl w:val="0"/>
        <w:spacing w:line="276" w:lineRule="auto"/>
        <w:rPr>
          <w:color w:val="000000"/>
          <w:sz w:val="28"/>
          <w:szCs w:val="28"/>
          <w:lang w:eastAsia="ru-RU"/>
        </w:rPr>
      </w:pPr>
      <w:r w:rsidRPr="007135D6">
        <w:rPr>
          <w:color w:val="000000"/>
          <w:sz w:val="28"/>
          <w:szCs w:val="28"/>
          <w:lang w:eastAsia="ru-RU"/>
        </w:rPr>
        <w:t xml:space="preserve">В </w:t>
      </w:r>
      <w:r w:rsidR="004F3625">
        <w:rPr>
          <w:color w:val="000000"/>
          <w:sz w:val="28"/>
          <w:szCs w:val="28"/>
          <w:lang w:val="en-US" w:eastAsia="ru-RU"/>
        </w:rPr>
        <w:t>I</w:t>
      </w:r>
      <w:r w:rsidRPr="007135D6">
        <w:rPr>
          <w:color w:val="000000"/>
          <w:sz w:val="28"/>
          <w:szCs w:val="28"/>
          <w:lang w:eastAsia="ru-RU"/>
        </w:rPr>
        <w:t xml:space="preserve"> полугодии 2021 года комплексное содержание объектов дорожного хозяйства обеспечивалось на площади 6198,4 тыс. кв. м, в том числе магистральных – 5013,5 тыс. кв. м, внутриквартальных – 1184,9 тыс. кв. м. Площадь содержания осталась на уровне аналогичного периода 2020 года. </w:t>
      </w:r>
    </w:p>
    <w:p w14:paraId="3C68AAE5" w14:textId="77777777" w:rsidR="0047186B" w:rsidRPr="0047186B" w:rsidRDefault="0047186B" w:rsidP="0047186B">
      <w:pPr>
        <w:widowControl w:val="0"/>
        <w:suppressAutoHyphens w:val="0"/>
        <w:spacing w:line="276" w:lineRule="auto"/>
        <w:rPr>
          <w:color w:val="000000"/>
          <w:sz w:val="28"/>
          <w:szCs w:val="28"/>
          <w:lang w:eastAsia="ru-RU"/>
        </w:rPr>
      </w:pPr>
      <w:r w:rsidRPr="0047186B">
        <w:rPr>
          <w:color w:val="000000"/>
          <w:sz w:val="28"/>
          <w:szCs w:val="28"/>
          <w:lang w:eastAsia="ru-RU"/>
        </w:rPr>
        <w:t>В границах городского округа Тольятти расположен отрезок дороги общего пользования федерального значения (трасса М-5 «Москва – Самара – Уфа - Челябинск») протяженностью 5,5 км и отрезок дороги общего пользования регионального значения (Обводное шоссе) протяженностью 19,7 км.</w:t>
      </w:r>
    </w:p>
    <w:p w14:paraId="7A5E70AE" w14:textId="330AC3C0" w:rsidR="001D7EDE" w:rsidRDefault="001D7EDE" w:rsidP="001D7EDE">
      <w:pPr>
        <w:widowControl w:val="0"/>
        <w:suppressAutoHyphens w:val="0"/>
        <w:autoSpaceDE w:val="0"/>
        <w:autoSpaceDN w:val="0"/>
        <w:adjustRightInd w:val="0"/>
        <w:spacing w:line="276" w:lineRule="auto"/>
        <w:rPr>
          <w:rFonts w:eastAsiaTheme="minorEastAsia"/>
          <w:sz w:val="28"/>
          <w:szCs w:val="28"/>
          <w:highlight w:val="yellow"/>
          <w:lang w:eastAsia="ru-RU"/>
        </w:rPr>
      </w:pPr>
      <w:r w:rsidRPr="005F5A67">
        <w:rPr>
          <w:rFonts w:eastAsiaTheme="minorEastAsia"/>
          <w:sz w:val="28"/>
          <w:szCs w:val="28"/>
          <w:lang w:eastAsia="ru-RU"/>
        </w:rPr>
        <w:t xml:space="preserve">В городском округе Тольятти разработана и утверждена постановлением администрации </w:t>
      </w:r>
      <w:r w:rsidR="007135D6">
        <w:rPr>
          <w:rFonts w:eastAsiaTheme="minorEastAsia"/>
          <w:sz w:val="28"/>
          <w:szCs w:val="28"/>
          <w:lang w:eastAsia="ru-RU"/>
        </w:rPr>
        <w:t xml:space="preserve">городского округа Тольятти </w:t>
      </w:r>
      <w:r w:rsidRPr="005F5A67">
        <w:rPr>
          <w:rFonts w:eastAsiaTheme="minorEastAsia"/>
          <w:sz w:val="28"/>
          <w:szCs w:val="28"/>
          <w:lang w:eastAsia="ru-RU"/>
        </w:rPr>
        <w:t xml:space="preserve">от 14.10.2020 № 3118-п/1 муниципальная программа </w:t>
      </w:r>
      <w:r w:rsidR="00597F88">
        <w:rPr>
          <w:rFonts w:eastAsiaTheme="minorEastAsia"/>
          <w:sz w:val="28"/>
          <w:szCs w:val="28"/>
          <w:lang w:eastAsia="ru-RU"/>
        </w:rPr>
        <w:t xml:space="preserve">городского округа Тольятти </w:t>
      </w:r>
      <w:r w:rsidRPr="005F5A67">
        <w:rPr>
          <w:rFonts w:eastAsiaTheme="minorEastAsia"/>
          <w:sz w:val="28"/>
          <w:szCs w:val="28"/>
          <w:lang w:eastAsia="ru-RU"/>
        </w:rPr>
        <w:t xml:space="preserve">«Развитие транспортной системы и дорожного хозяйства городского округа Тольятти на 2021-2025 гг.», которая включает в себя подпрограмму </w:t>
      </w:r>
      <w:r w:rsidR="00F76AC5">
        <w:rPr>
          <w:sz w:val="28"/>
          <w:szCs w:val="28"/>
        </w:rPr>
        <w:t>«</w:t>
      </w:r>
      <w:r w:rsidRPr="00F65D47">
        <w:rPr>
          <w:sz w:val="28"/>
          <w:szCs w:val="28"/>
        </w:rPr>
        <w:t>Модернизация и развитие автомобильных дорог общего пользования местного значения, а также автомобильных дорог, расположенных в зоне застройки индивидуальными жилыми домами городского округа Тольятти, на 2021-2025 гг.</w:t>
      </w:r>
      <w:r w:rsidR="00F76AC5">
        <w:rPr>
          <w:sz w:val="28"/>
          <w:szCs w:val="28"/>
        </w:rPr>
        <w:t>»</w:t>
      </w:r>
      <w:r>
        <w:rPr>
          <w:sz w:val="28"/>
          <w:szCs w:val="28"/>
        </w:rPr>
        <w:t>.</w:t>
      </w:r>
    </w:p>
    <w:p w14:paraId="1415AA04" w14:textId="0CA1F2A1" w:rsidR="001D7EDE" w:rsidRPr="005F5A67" w:rsidRDefault="001D7EDE" w:rsidP="001D7EDE">
      <w:pPr>
        <w:widowControl w:val="0"/>
        <w:suppressAutoHyphens w:val="0"/>
        <w:autoSpaceDE w:val="0"/>
        <w:autoSpaceDN w:val="0"/>
        <w:adjustRightInd w:val="0"/>
        <w:spacing w:line="276" w:lineRule="auto"/>
        <w:rPr>
          <w:rFonts w:eastAsiaTheme="minorEastAsia"/>
          <w:sz w:val="28"/>
          <w:szCs w:val="28"/>
          <w:lang w:eastAsia="ru-RU"/>
        </w:rPr>
      </w:pPr>
      <w:r w:rsidRPr="005F5A67">
        <w:rPr>
          <w:rFonts w:eastAsiaTheme="minorEastAsia"/>
          <w:sz w:val="28"/>
          <w:szCs w:val="28"/>
          <w:lang w:eastAsia="ru-RU"/>
        </w:rPr>
        <w:t>В 2021 году в рамках национального проекта «Безопасные качественные автомобильные дороги» предусмотрено выполнение ремонта автомобильных дорог общего пользования местного значения протяженностью 17,6 км.</w:t>
      </w:r>
    </w:p>
    <w:p w14:paraId="1E281706" w14:textId="77777777" w:rsidR="001D7EDE" w:rsidRPr="00F60114" w:rsidRDefault="001D7EDE" w:rsidP="001D7EDE">
      <w:pPr>
        <w:widowControl w:val="0"/>
        <w:suppressAutoHyphens w:val="0"/>
        <w:autoSpaceDE w:val="0"/>
        <w:autoSpaceDN w:val="0"/>
        <w:adjustRightInd w:val="0"/>
        <w:spacing w:line="276" w:lineRule="auto"/>
        <w:rPr>
          <w:rFonts w:eastAsiaTheme="minorEastAsia"/>
          <w:sz w:val="28"/>
          <w:szCs w:val="28"/>
          <w:lang w:eastAsia="ru-RU"/>
        </w:rPr>
      </w:pPr>
      <w:r w:rsidRPr="00F60114">
        <w:rPr>
          <w:rFonts w:eastAsiaTheme="minorEastAsia"/>
          <w:sz w:val="28"/>
          <w:szCs w:val="28"/>
          <w:lang w:eastAsia="ru-RU"/>
        </w:rPr>
        <w:t>Также, в рамках ремонта автомобильных дорог запланированы мероприятия по приведению в нормативное состояние автомобильных дорог, снижению уровня перегрузки и ликвидации мест концентрации дорожно-транспортных происшествий.</w:t>
      </w:r>
    </w:p>
    <w:p w14:paraId="04890F53" w14:textId="191D8AF1" w:rsidR="00282B08" w:rsidRDefault="001D7EDE" w:rsidP="00282B08">
      <w:pPr>
        <w:widowControl w:val="0"/>
        <w:suppressAutoHyphens w:val="0"/>
        <w:autoSpaceDE w:val="0"/>
        <w:autoSpaceDN w:val="0"/>
        <w:adjustRightInd w:val="0"/>
        <w:spacing w:line="276" w:lineRule="auto"/>
        <w:rPr>
          <w:rFonts w:eastAsiaTheme="minorEastAsia"/>
          <w:sz w:val="28"/>
          <w:szCs w:val="28"/>
          <w:lang w:eastAsia="ru-RU"/>
        </w:rPr>
      </w:pPr>
      <w:r w:rsidRPr="00F60114">
        <w:rPr>
          <w:rFonts w:eastAsiaTheme="minorEastAsia"/>
          <w:sz w:val="28"/>
          <w:szCs w:val="28"/>
          <w:lang w:eastAsia="ru-RU"/>
        </w:rPr>
        <w:t>Планом мероприятий, связанных с празднованием 50-летия производства первого легкового автомобиля ВАЗ в городском округе Тольятти продолжены работы по строительству магистральной улицы общегородского значения регулируемого движения ул. Офицерской (0,58 км).</w:t>
      </w:r>
    </w:p>
    <w:p w14:paraId="508C6B8F" w14:textId="77777777" w:rsidR="00282B08" w:rsidRDefault="00282B08" w:rsidP="00282B08">
      <w:pPr>
        <w:widowControl w:val="0"/>
        <w:suppressAutoHyphens w:val="0"/>
        <w:autoSpaceDE w:val="0"/>
        <w:autoSpaceDN w:val="0"/>
        <w:adjustRightInd w:val="0"/>
        <w:spacing w:line="276" w:lineRule="auto"/>
        <w:rPr>
          <w:sz w:val="28"/>
          <w:szCs w:val="28"/>
        </w:rPr>
      </w:pPr>
    </w:p>
    <w:p w14:paraId="7B5BA8F0" w14:textId="77777777" w:rsidR="001D7EDE" w:rsidRPr="00A460DA" w:rsidRDefault="001D7EDE" w:rsidP="001D7EDE">
      <w:pPr>
        <w:pStyle w:val="3"/>
        <w:ind w:left="0" w:firstLine="0"/>
        <w:rPr>
          <w:sz w:val="28"/>
          <w:szCs w:val="28"/>
        </w:rPr>
      </w:pPr>
      <w:r w:rsidRPr="00A460DA">
        <w:rPr>
          <w:sz w:val="28"/>
          <w:szCs w:val="28"/>
        </w:rPr>
        <w:lastRenderedPageBreak/>
        <w:t>Связь</w:t>
      </w:r>
      <w:bookmarkStart w:id="11" w:name="связь"/>
      <w:bookmarkEnd w:id="11"/>
    </w:p>
    <w:p w14:paraId="066CFAC0" w14:textId="77777777" w:rsidR="001D7EDE" w:rsidRPr="00A460DA" w:rsidRDefault="001D7EDE" w:rsidP="001D7EDE">
      <w:pPr>
        <w:spacing w:line="276" w:lineRule="auto"/>
        <w:jc w:val="center"/>
        <w:rPr>
          <w:b/>
          <w:sz w:val="28"/>
          <w:szCs w:val="28"/>
        </w:rPr>
      </w:pPr>
    </w:p>
    <w:p w14:paraId="1DDC3918" w14:textId="266FD6C1" w:rsidR="001D7EDE" w:rsidRPr="00A460DA" w:rsidRDefault="001D7EDE" w:rsidP="001D7EDE">
      <w:pPr>
        <w:widowControl w:val="0"/>
        <w:suppressAutoHyphens w:val="0"/>
        <w:autoSpaceDE w:val="0"/>
        <w:autoSpaceDN w:val="0"/>
        <w:adjustRightInd w:val="0"/>
        <w:spacing w:line="276" w:lineRule="auto"/>
        <w:rPr>
          <w:rFonts w:eastAsiaTheme="minorEastAsia"/>
          <w:sz w:val="28"/>
          <w:szCs w:val="28"/>
          <w:shd w:val="clear" w:color="auto" w:fill="FFFF00"/>
          <w:lang w:eastAsia="ru-RU"/>
        </w:rPr>
      </w:pPr>
      <w:r w:rsidRPr="00A460DA">
        <w:rPr>
          <w:rFonts w:eastAsiaTheme="minorEastAsia"/>
          <w:sz w:val="28"/>
          <w:szCs w:val="28"/>
          <w:lang w:eastAsia="ru-RU"/>
        </w:rPr>
        <w:t xml:space="preserve">В 2021 году услуги почтовой и курьерской связи, телевизионного и радиовещания, а также услуги в сфере телекоммуникаций оказывают 15 организаций. По итогам </w:t>
      </w:r>
      <w:r w:rsidR="004F3625">
        <w:rPr>
          <w:rFonts w:eastAsiaTheme="minorEastAsia"/>
          <w:sz w:val="28"/>
          <w:szCs w:val="28"/>
          <w:lang w:val="en-US" w:eastAsia="ru-RU"/>
        </w:rPr>
        <w:t>I</w:t>
      </w:r>
      <w:r w:rsidRPr="00A460DA">
        <w:rPr>
          <w:rFonts w:eastAsiaTheme="minorEastAsia"/>
          <w:sz w:val="28"/>
          <w:szCs w:val="28"/>
          <w:lang w:eastAsia="ru-RU"/>
        </w:rPr>
        <w:t> полугодия 2021 года объем услуг, оказанных предприятиями связи, составил 1 738,6 млн. рублей (105,2% в действующих ценах к уровню аналогичного периода предыдущего года).</w:t>
      </w:r>
      <w:r w:rsidRPr="00A460DA">
        <w:rPr>
          <w:rFonts w:eastAsiaTheme="minorEastAsia"/>
          <w:sz w:val="28"/>
          <w:szCs w:val="28"/>
          <w:shd w:val="clear" w:color="auto" w:fill="FFFF00"/>
          <w:lang w:eastAsia="ru-RU"/>
        </w:rPr>
        <w:t xml:space="preserve"> </w:t>
      </w:r>
    </w:p>
    <w:p w14:paraId="2487210A" w14:textId="1097D0CC" w:rsidR="001D7EDE" w:rsidRPr="00A460DA" w:rsidRDefault="001D7EDE" w:rsidP="001D7EDE">
      <w:pPr>
        <w:widowControl w:val="0"/>
        <w:suppressAutoHyphens w:val="0"/>
        <w:autoSpaceDE w:val="0"/>
        <w:autoSpaceDN w:val="0"/>
        <w:adjustRightInd w:val="0"/>
        <w:spacing w:line="276" w:lineRule="auto"/>
        <w:ind w:firstLine="708"/>
        <w:rPr>
          <w:rFonts w:eastAsiaTheme="minorEastAsia"/>
          <w:sz w:val="28"/>
          <w:szCs w:val="28"/>
          <w:lang w:eastAsia="ru-RU"/>
        </w:rPr>
      </w:pPr>
      <w:r w:rsidRPr="00A460DA">
        <w:rPr>
          <w:rFonts w:eastAsiaTheme="minorEastAsia"/>
          <w:sz w:val="28"/>
          <w:szCs w:val="28"/>
          <w:lang w:eastAsia="ru-RU"/>
        </w:rPr>
        <w:t xml:space="preserve">Объем услуг почтовой связи и курьерской деятельности в </w:t>
      </w:r>
      <w:r w:rsidR="004F3625">
        <w:rPr>
          <w:rFonts w:eastAsiaTheme="minorEastAsia"/>
          <w:sz w:val="28"/>
          <w:szCs w:val="28"/>
          <w:lang w:val="en-US" w:eastAsia="ru-RU"/>
        </w:rPr>
        <w:t>I</w:t>
      </w:r>
      <w:r w:rsidRPr="00A460DA">
        <w:rPr>
          <w:rFonts w:eastAsiaTheme="minorEastAsia"/>
          <w:sz w:val="28"/>
          <w:szCs w:val="28"/>
          <w:lang w:eastAsia="ru-RU"/>
        </w:rPr>
        <w:t xml:space="preserve"> полугодии 2021 года увеличился на 9,3% к соответствующему периоду 2020 года и составил 384,0 млн. рублей. </w:t>
      </w:r>
    </w:p>
    <w:p w14:paraId="6F0B55DF" w14:textId="77777777" w:rsidR="001D7EDE" w:rsidRPr="00A460DA" w:rsidRDefault="001D7EDE" w:rsidP="001D7EDE">
      <w:pPr>
        <w:widowControl w:val="0"/>
        <w:suppressAutoHyphens w:val="0"/>
        <w:autoSpaceDE w:val="0"/>
        <w:autoSpaceDN w:val="0"/>
        <w:adjustRightInd w:val="0"/>
        <w:spacing w:line="276" w:lineRule="auto"/>
        <w:rPr>
          <w:rFonts w:eastAsiaTheme="minorEastAsia"/>
          <w:sz w:val="28"/>
          <w:szCs w:val="28"/>
          <w:lang w:eastAsia="ru-RU"/>
        </w:rPr>
      </w:pPr>
      <w:r w:rsidRPr="00A460DA">
        <w:rPr>
          <w:rFonts w:eastAsiaTheme="minorEastAsia"/>
          <w:sz w:val="28"/>
          <w:szCs w:val="28"/>
          <w:lang w:eastAsia="ru-RU"/>
        </w:rPr>
        <w:t>Объем услуг в области телевизионного и радиовещания, а также в сфере телекоммуникаций составил 1 354,6 млн. рублей, что на 3% выше соответствующего периода 2020 года. На территории городского округа Тольятти в данной сфере осуществляют деятельность такие операторы, как ОАО «Лада Медиа», ООО «ЛИК», ПАО «Мегафон», ООО «</w:t>
      </w:r>
      <w:proofErr w:type="spellStart"/>
      <w:r w:rsidRPr="00A460DA">
        <w:rPr>
          <w:rFonts w:eastAsiaTheme="minorEastAsia"/>
          <w:sz w:val="28"/>
          <w:szCs w:val="28"/>
          <w:lang w:eastAsia="ru-RU"/>
        </w:rPr>
        <w:t>ИнфоЛада</w:t>
      </w:r>
      <w:proofErr w:type="spellEnd"/>
      <w:r w:rsidRPr="00A460DA">
        <w:rPr>
          <w:rFonts w:eastAsiaTheme="minorEastAsia"/>
          <w:sz w:val="28"/>
          <w:szCs w:val="28"/>
          <w:lang w:eastAsia="ru-RU"/>
        </w:rPr>
        <w:t xml:space="preserve">», ПАО «МТС» и другие. </w:t>
      </w:r>
    </w:p>
    <w:p w14:paraId="53A677E7" w14:textId="77777777" w:rsidR="001D7EDE" w:rsidRPr="00E85D7F" w:rsidRDefault="001D7EDE" w:rsidP="001D7EDE">
      <w:pPr>
        <w:pStyle w:val="aff0"/>
        <w:spacing w:before="120" w:after="120" w:line="276" w:lineRule="auto"/>
        <w:jc w:val="center"/>
        <w:rPr>
          <w:bCs/>
          <w:szCs w:val="28"/>
        </w:rPr>
      </w:pPr>
      <w:r w:rsidRPr="00E85D7F">
        <w:rPr>
          <w:bCs/>
          <w:szCs w:val="28"/>
        </w:rPr>
        <w:t>Ожидаемое выполнение прогнозных показателей по разделу «Связь» на 2021 год</w:t>
      </w:r>
    </w:p>
    <w:tbl>
      <w:tblPr>
        <w:tblW w:w="9274" w:type="dxa"/>
        <w:jc w:val="center"/>
        <w:tblLayout w:type="fixed"/>
        <w:tblLook w:val="00A0" w:firstRow="1" w:lastRow="0" w:firstColumn="1" w:lastColumn="0" w:noHBand="0" w:noVBand="0"/>
      </w:tblPr>
      <w:tblGrid>
        <w:gridCol w:w="3426"/>
        <w:gridCol w:w="1420"/>
        <w:gridCol w:w="1556"/>
        <w:gridCol w:w="1475"/>
        <w:gridCol w:w="1397"/>
      </w:tblGrid>
      <w:tr w:rsidR="001D7EDE" w:rsidRPr="00E85D7F" w14:paraId="4B5CBAC2" w14:textId="77777777" w:rsidTr="00147A4E">
        <w:trPr>
          <w:cantSplit/>
          <w:trHeight w:val="256"/>
          <w:jc w:val="center"/>
        </w:trPr>
        <w:tc>
          <w:tcPr>
            <w:tcW w:w="3426" w:type="dxa"/>
            <w:vMerge w:val="restart"/>
            <w:tcBorders>
              <w:top w:val="single" w:sz="4" w:space="0" w:color="000000"/>
              <w:left w:val="single" w:sz="4" w:space="0" w:color="000000"/>
              <w:bottom w:val="single" w:sz="4" w:space="0" w:color="000000"/>
              <w:right w:val="nil"/>
            </w:tcBorders>
            <w:vAlign w:val="center"/>
          </w:tcPr>
          <w:p w14:paraId="3452B215" w14:textId="77777777" w:rsidR="001D7EDE" w:rsidRPr="00E85D7F" w:rsidRDefault="001D7EDE" w:rsidP="00147A4E">
            <w:pPr>
              <w:pStyle w:val="230"/>
              <w:keepNext/>
              <w:keepLines/>
              <w:spacing w:after="0" w:line="240" w:lineRule="auto"/>
              <w:ind w:left="0" w:firstLine="0"/>
              <w:jc w:val="center"/>
              <w:rPr>
                <w:sz w:val="28"/>
                <w:szCs w:val="28"/>
              </w:rPr>
            </w:pPr>
            <w:r w:rsidRPr="00E85D7F">
              <w:rPr>
                <w:sz w:val="28"/>
                <w:szCs w:val="28"/>
              </w:rPr>
              <w:t>Показатели</w:t>
            </w:r>
          </w:p>
        </w:tc>
        <w:tc>
          <w:tcPr>
            <w:tcW w:w="1420" w:type="dxa"/>
            <w:vMerge w:val="restart"/>
            <w:tcBorders>
              <w:top w:val="single" w:sz="4" w:space="0" w:color="000000"/>
              <w:left w:val="single" w:sz="4" w:space="0" w:color="000000"/>
              <w:bottom w:val="single" w:sz="4" w:space="0" w:color="000000"/>
              <w:right w:val="nil"/>
            </w:tcBorders>
            <w:vAlign w:val="center"/>
          </w:tcPr>
          <w:p w14:paraId="6386AF4F" w14:textId="77777777" w:rsidR="001D7EDE" w:rsidRPr="00E85D7F" w:rsidRDefault="001D7EDE" w:rsidP="00147A4E">
            <w:pPr>
              <w:pStyle w:val="230"/>
              <w:keepNext/>
              <w:keepLines/>
              <w:spacing w:after="0" w:line="240" w:lineRule="auto"/>
              <w:ind w:left="0" w:firstLine="0"/>
              <w:jc w:val="center"/>
              <w:rPr>
                <w:sz w:val="28"/>
                <w:szCs w:val="28"/>
              </w:rPr>
            </w:pPr>
            <w:r w:rsidRPr="00E85D7F">
              <w:rPr>
                <w:sz w:val="28"/>
                <w:szCs w:val="28"/>
              </w:rPr>
              <w:t>Ед. изм.</w:t>
            </w:r>
          </w:p>
        </w:tc>
        <w:tc>
          <w:tcPr>
            <w:tcW w:w="3031" w:type="dxa"/>
            <w:gridSpan w:val="2"/>
            <w:tcBorders>
              <w:top w:val="single" w:sz="4" w:space="0" w:color="000000"/>
              <w:left w:val="single" w:sz="4" w:space="0" w:color="000000"/>
              <w:bottom w:val="single" w:sz="4" w:space="0" w:color="000000"/>
              <w:right w:val="single" w:sz="4" w:space="0" w:color="000000"/>
            </w:tcBorders>
          </w:tcPr>
          <w:p w14:paraId="4100682E" w14:textId="77777777" w:rsidR="001D7EDE" w:rsidRPr="00E85D7F" w:rsidRDefault="001D7EDE" w:rsidP="00147A4E">
            <w:pPr>
              <w:pStyle w:val="230"/>
              <w:keepNext/>
              <w:keepLines/>
              <w:spacing w:after="0" w:line="240" w:lineRule="auto"/>
              <w:ind w:left="0" w:firstLine="0"/>
              <w:jc w:val="center"/>
              <w:rPr>
                <w:sz w:val="28"/>
                <w:szCs w:val="28"/>
              </w:rPr>
            </w:pPr>
            <w:r w:rsidRPr="00E85D7F">
              <w:rPr>
                <w:sz w:val="28"/>
                <w:szCs w:val="28"/>
              </w:rPr>
              <w:t>Прогноз на 2021 год</w:t>
            </w:r>
          </w:p>
        </w:tc>
        <w:tc>
          <w:tcPr>
            <w:tcW w:w="1397" w:type="dxa"/>
            <w:vMerge w:val="restart"/>
            <w:tcBorders>
              <w:top w:val="single" w:sz="4" w:space="0" w:color="000000"/>
              <w:left w:val="single" w:sz="4" w:space="0" w:color="000000"/>
              <w:bottom w:val="single" w:sz="4" w:space="0" w:color="000000"/>
              <w:right w:val="single" w:sz="4" w:space="0" w:color="000000"/>
            </w:tcBorders>
          </w:tcPr>
          <w:p w14:paraId="47A97790" w14:textId="77777777" w:rsidR="001D7EDE" w:rsidRPr="00E85D7F" w:rsidRDefault="001D7EDE" w:rsidP="00147A4E">
            <w:pPr>
              <w:pStyle w:val="230"/>
              <w:keepNext/>
              <w:keepLines/>
              <w:spacing w:after="0" w:line="240" w:lineRule="auto"/>
              <w:ind w:left="0" w:firstLine="0"/>
              <w:jc w:val="center"/>
              <w:rPr>
                <w:sz w:val="28"/>
                <w:szCs w:val="28"/>
              </w:rPr>
            </w:pPr>
            <w:r w:rsidRPr="00E85D7F">
              <w:rPr>
                <w:sz w:val="28"/>
                <w:szCs w:val="28"/>
              </w:rPr>
              <w:t>2021 год (оценка)</w:t>
            </w:r>
          </w:p>
        </w:tc>
      </w:tr>
      <w:tr w:rsidR="001D7EDE" w:rsidRPr="00E85D7F" w14:paraId="42A46118" w14:textId="77777777" w:rsidTr="00147A4E">
        <w:trPr>
          <w:cantSplit/>
          <w:trHeight w:val="283"/>
          <w:jc w:val="center"/>
        </w:trPr>
        <w:tc>
          <w:tcPr>
            <w:tcW w:w="3426" w:type="dxa"/>
            <w:vMerge/>
            <w:tcBorders>
              <w:top w:val="single" w:sz="4" w:space="0" w:color="000000"/>
              <w:left w:val="single" w:sz="4" w:space="0" w:color="000000"/>
              <w:bottom w:val="single" w:sz="4" w:space="0" w:color="000000"/>
              <w:right w:val="nil"/>
            </w:tcBorders>
            <w:vAlign w:val="center"/>
          </w:tcPr>
          <w:p w14:paraId="3F759073" w14:textId="77777777" w:rsidR="001D7EDE" w:rsidRPr="00E85D7F" w:rsidRDefault="001D7EDE" w:rsidP="00147A4E">
            <w:pPr>
              <w:suppressAutoHyphens w:val="0"/>
              <w:ind w:firstLine="0"/>
              <w:jc w:val="center"/>
              <w:rPr>
                <w:sz w:val="28"/>
                <w:szCs w:val="28"/>
              </w:rPr>
            </w:pPr>
          </w:p>
        </w:tc>
        <w:tc>
          <w:tcPr>
            <w:tcW w:w="1420" w:type="dxa"/>
            <w:vMerge/>
            <w:tcBorders>
              <w:top w:val="single" w:sz="4" w:space="0" w:color="000000"/>
              <w:left w:val="single" w:sz="4" w:space="0" w:color="000000"/>
              <w:bottom w:val="single" w:sz="4" w:space="0" w:color="000000"/>
              <w:right w:val="nil"/>
            </w:tcBorders>
            <w:vAlign w:val="center"/>
          </w:tcPr>
          <w:p w14:paraId="1C335BCE" w14:textId="77777777" w:rsidR="001D7EDE" w:rsidRPr="00E85D7F" w:rsidRDefault="001D7EDE" w:rsidP="00147A4E">
            <w:pPr>
              <w:suppressAutoHyphens w:val="0"/>
              <w:ind w:firstLine="0"/>
              <w:jc w:val="center"/>
              <w:rPr>
                <w:sz w:val="28"/>
                <w:szCs w:val="28"/>
              </w:rPr>
            </w:pPr>
          </w:p>
        </w:tc>
        <w:tc>
          <w:tcPr>
            <w:tcW w:w="1556" w:type="dxa"/>
            <w:tcBorders>
              <w:top w:val="single" w:sz="4" w:space="0" w:color="000000"/>
              <w:left w:val="single" w:sz="4" w:space="0" w:color="000000"/>
              <w:bottom w:val="single" w:sz="4" w:space="0" w:color="000000"/>
              <w:right w:val="nil"/>
            </w:tcBorders>
            <w:vAlign w:val="center"/>
          </w:tcPr>
          <w:p w14:paraId="7955A102" w14:textId="77777777" w:rsidR="001D7EDE" w:rsidRPr="00E85D7F" w:rsidRDefault="001D7EDE" w:rsidP="00147A4E">
            <w:pPr>
              <w:pStyle w:val="230"/>
              <w:keepNext/>
              <w:keepLines/>
              <w:spacing w:after="0" w:line="276" w:lineRule="auto"/>
              <w:ind w:left="0" w:firstLine="0"/>
              <w:jc w:val="center"/>
              <w:rPr>
                <w:sz w:val="28"/>
                <w:szCs w:val="28"/>
              </w:rPr>
            </w:pPr>
            <w:r w:rsidRPr="00E85D7F">
              <w:rPr>
                <w:sz w:val="28"/>
                <w:szCs w:val="28"/>
              </w:rPr>
              <w:t>1 вариант</w:t>
            </w:r>
          </w:p>
        </w:tc>
        <w:tc>
          <w:tcPr>
            <w:tcW w:w="1475" w:type="dxa"/>
            <w:tcBorders>
              <w:top w:val="single" w:sz="4" w:space="0" w:color="000000"/>
              <w:left w:val="single" w:sz="4" w:space="0" w:color="000000"/>
              <w:bottom w:val="single" w:sz="4" w:space="0" w:color="000000"/>
              <w:right w:val="nil"/>
            </w:tcBorders>
            <w:vAlign w:val="center"/>
          </w:tcPr>
          <w:p w14:paraId="650ECC40" w14:textId="77777777" w:rsidR="001D7EDE" w:rsidRPr="00E85D7F" w:rsidRDefault="001D7EDE" w:rsidP="00147A4E">
            <w:pPr>
              <w:pStyle w:val="230"/>
              <w:keepNext/>
              <w:keepLines/>
              <w:spacing w:after="0" w:line="276" w:lineRule="auto"/>
              <w:ind w:left="0" w:firstLine="0"/>
              <w:jc w:val="center"/>
              <w:rPr>
                <w:sz w:val="28"/>
                <w:szCs w:val="28"/>
              </w:rPr>
            </w:pPr>
            <w:r w:rsidRPr="00E85D7F">
              <w:rPr>
                <w:sz w:val="28"/>
                <w:szCs w:val="28"/>
              </w:rPr>
              <w:t>2 вариант</w:t>
            </w:r>
          </w:p>
        </w:tc>
        <w:tc>
          <w:tcPr>
            <w:tcW w:w="1397" w:type="dxa"/>
            <w:vMerge/>
            <w:tcBorders>
              <w:top w:val="single" w:sz="4" w:space="0" w:color="000000"/>
              <w:left w:val="single" w:sz="4" w:space="0" w:color="000000"/>
              <w:bottom w:val="single" w:sz="4" w:space="0" w:color="000000"/>
              <w:right w:val="single" w:sz="4" w:space="0" w:color="000000"/>
            </w:tcBorders>
            <w:vAlign w:val="center"/>
          </w:tcPr>
          <w:p w14:paraId="03BE9D47" w14:textId="77777777" w:rsidR="001D7EDE" w:rsidRPr="00E85D7F" w:rsidRDefault="001D7EDE" w:rsidP="00147A4E">
            <w:pPr>
              <w:suppressAutoHyphens w:val="0"/>
              <w:ind w:firstLine="0"/>
              <w:jc w:val="center"/>
              <w:rPr>
                <w:sz w:val="28"/>
                <w:szCs w:val="28"/>
              </w:rPr>
            </w:pPr>
          </w:p>
        </w:tc>
      </w:tr>
      <w:tr w:rsidR="001D7EDE" w:rsidRPr="008253D3" w14:paraId="741C2A92" w14:textId="77777777" w:rsidTr="00147A4E">
        <w:trPr>
          <w:trHeight w:val="400"/>
          <w:jc w:val="center"/>
        </w:trPr>
        <w:tc>
          <w:tcPr>
            <w:tcW w:w="3426" w:type="dxa"/>
            <w:tcBorders>
              <w:top w:val="single" w:sz="4" w:space="0" w:color="000000"/>
              <w:left w:val="single" w:sz="4" w:space="0" w:color="000000"/>
              <w:bottom w:val="single" w:sz="4" w:space="0" w:color="000000"/>
              <w:right w:val="nil"/>
            </w:tcBorders>
            <w:vAlign w:val="center"/>
          </w:tcPr>
          <w:p w14:paraId="372DA751" w14:textId="77777777" w:rsidR="001D7EDE" w:rsidRPr="00E85D7F" w:rsidRDefault="001D7EDE" w:rsidP="00147A4E">
            <w:pPr>
              <w:pStyle w:val="230"/>
              <w:keepNext/>
              <w:keepLines/>
              <w:spacing w:after="0" w:line="276" w:lineRule="auto"/>
              <w:ind w:left="0" w:firstLine="0"/>
              <w:rPr>
                <w:sz w:val="28"/>
                <w:szCs w:val="28"/>
              </w:rPr>
            </w:pPr>
            <w:r w:rsidRPr="00E85D7F">
              <w:rPr>
                <w:sz w:val="28"/>
                <w:szCs w:val="28"/>
              </w:rPr>
              <w:t>Объем услуг связи</w:t>
            </w:r>
          </w:p>
        </w:tc>
        <w:tc>
          <w:tcPr>
            <w:tcW w:w="1420" w:type="dxa"/>
            <w:tcBorders>
              <w:top w:val="single" w:sz="4" w:space="0" w:color="000000"/>
              <w:left w:val="single" w:sz="4" w:space="0" w:color="000000"/>
              <w:bottom w:val="single" w:sz="4" w:space="0" w:color="000000"/>
              <w:right w:val="nil"/>
            </w:tcBorders>
            <w:vAlign w:val="center"/>
          </w:tcPr>
          <w:p w14:paraId="6D78A0D8" w14:textId="77777777" w:rsidR="001D7EDE" w:rsidRPr="00E85D7F" w:rsidRDefault="001D7EDE" w:rsidP="00147A4E">
            <w:pPr>
              <w:pStyle w:val="230"/>
              <w:keepNext/>
              <w:keepLines/>
              <w:spacing w:after="0" w:line="276" w:lineRule="auto"/>
              <w:ind w:left="0" w:firstLine="0"/>
              <w:jc w:val="center"/>
              <w:rPr>
                <w:sz w:val="28"/>
                <w:szCs w:val="28"/>
              </w:rPr>
            </w:pPr>
            <w:r w:rsidRPr="00E85D7F">
              <w:rPr>
                <w:sz w:val="28"/>
                <w:szCs w:val="28"/>
              </w:rPr>
              <w:t>млн. рублей</w:t>
            </w:r>
          </w:p>
        </w:tc>
        <w:tc>
          <w:tcPr>
            <w:tcW w:w="1556" w:type="dxa"/>
            <w:tcBorders>
              <w:top w:val="single" w:sz="4" w:space="0" w:color="000000"/>
              <w:left w:val="single" w:sz="4" w:space="0" w:color="000000"/>
              <w:bottom w:val="single" w:sz="4" w:space="0" w:color="000000"/>
              <w:right w:val="nil"/>
            </w:tcBorders>
            <w:vAlign w:val="center"/>
          </w:tcPr>
          <w:p w14:paraId="47BF772E" w14:textId="77777777" w:rsidR="001D7EDE" w:rsidRPr="00E85D7F" w:rsidRDefault="001D7EDE" w:rsidP="00147A4E">
            <w:pPr>
              <w:pStyle w:val="230"/>
              <w:keepNext/>
              <w:keepLines/>
              <w:spacing w:after="0" w:line="240" w:lineRule="auto"/>
              <w:ind w:left="0" w:firstLine="0"/>
              <w:jc w:val="center"/>
              <w:rPr>
                <w:sz w:val="28"/>
                <w:szCs w:val="28"/>
              </w:rPr>
            </w:pPr>
            <w:r w:rsidRPr="00E85D7F">
              <w:rPr>
                <w:sz w:val="28"/>
                <w:szCs w:val="28"/>
              </w:rPr>
              <w:t>3 546,9</w:t>
            </w:r>
          </w:p>
        </w:tc>
        <w:tc>
          <w:tcPr>
            <w:tcW w:w="1475" w:type="dxa"/>
            <w:tcBorders>
              <w:top w:val="single" w:sz="4" w:space="0" w:color="000000"/>
              <w:left w:val="single" w:sz="4" w:space="0" w:color="000000"/>
              <w:bottom w:val="single" w:sz="4" w:space="0" w:color="000000"/>
              <w:right w:val="nil"/>
            </w:tcBorders>
            <w:vAlign w:val="center"/>
          </w:tcPr>
          <w:p w14:paraId="174BEB2B" w14:textId="77777777" w:rsidR="001D7EDE" w:rsidRPr="00E85D7F" w:rsidRDefault="001D7EDE" w:rsidP="00147A4E">
            <w:pPr>
              <w:pStyle w:val="230"/>
              <w:keepNext/>
              <w:keepLines/>
              <w:spacing w:after="0" w:line="240" w:lineRule="auto"/>
              <w:ind w:left="0" w:firstLine="0"/>
              <w:jc w:val="center"/>
              <w:rPr>
                <w:sz w:val="28"/>
                <w:szCs w:val="28"/>
              </w:rPr>
            </w:pPr>
            <w:r w:rsidRPr="00E85D7F">
              <w:rPr>
                <w:sz w:val="28"/>
                <w:szCs w:val="28"/>
              </w:rPr>
              <w:t>3 790,8</w:t>
            </w:r>
          </w:p>
        </w:tc>
        <w:tc>
          <w:tcPr>
            <w:tcW w:w="1397" w:type="dxa"/>
            <w:tcBorders>
              <w:top w:val="single" w:sz="4" w:space="0" w:color="000000"/>
              <w:left w:val="single" w:sz="4" w:space="0" w:color="000000"/>
              <w:bottom w:val="single" w:sz="4" w:space="0" w:color="000000"/>
              <w:right w:val="single" w:sz="4" w:space="0" w:color="000000"/>
            </w:tcBorders>
            <w:vAlign w:val="center"/>
          </w:tcPr>
          <w:p w14:paraId="568980B9" w14:textId="77777777" w:rsidR="001D7EDE" w:rsidRPr="00E85D7F" w:rsidRDefault="001D7EDE" w:rsidP="00147A4E">
            <w:pPr>
              <w:pStyle w:val="230"/>
              <w:keepNext/>
              <w:keepLines/>
              <w:spacing w:after="0" w:line="240" w:lineRule="auto"/>
              <w:ind w:left="0" w:firstLine="0"/>
              <w:jc w:val="center"/>
              <w:rPr>
                <w:sz w:val="28"/>
                <w:szCs w:val="28"/>
              </w:rPr>
            </w:pPr>
            <w:r w:rsidRPr="00E85D7F">
              <w:rPr>
                <w:sz w:val="28"/>
                <w:szCs w:val="28"/>
              </w:rPr>
              <w:t>3 582,3</w:t>
            </w:r>
          </w:p>
        </w:tc>
      </w:tr>
    </w:tbl>
    <w:p w14:paraId="779A1C6B" w14:textId="77777777" w:rsidR="001D7EDE" w:rsidRPr="008253D3" w:rsidRDefault="001D7EDE" w:rsidP="001D7EDE">
      <w:pPr>
        <w:pStyle w:val="112"/>
        <w:spacing w:line="276" w:lineRule="auto"/>
        <w:ind w:firstLine="0"/>
        <w:jc w:val="center"/>
        <w:rPr>
          <w:rFonts w:ascii="Times New Roman" w:hAnsi="Times New Roman" w:cs="Times New Roman"/>
          <w:b/>
          <w:sz w:val="28"/>
          <w:szCs w:val="28"/>
          <w:highlight w:val="yellow"/>
        </w:rPr>
      </w:pPr>
    </w:p>
    <w:p w14:paraId="6E413EF6" w14:textId="77777777" w:rsidR="001D7EDE" w:rsidRPr="00E85D7F" w:rsidRDefault="001D7EDE" w:rsidP="00282B08">
      <w:pPr>
        <w:widowControl w:val="0"/>
        <w:suppressAutoHyphens w:val="0"/>
        <w:autoSpaceDE w:val="0"/>
        <w:autoSpaceDN w:val="0"/>
        <w:adjustRightInd w:val="0"/>
        <w:spacing w:line="276" w:lineRule="auto"/>
        <w:rPr>
          <w:rFonts w:eastAsiaTheme="minorEastAsia"/>
          <w:sz w:val="28"/>
          <w:szCs w:val="28"/>
          <w:lang w:eastAsia="ru-RU"/>
        </w:rPr>
      </w:pPr>
      <w:r w:rsidRPr="00E85D7F">
        <w:rPr>
          <w:rFonts w:eastAsiaTheme="minorEastAsia"/>
          <w:sz w:val="28"/>
          <w:szCs w:val="28"/>
          <w:lang w:eastAsia="ru-RU"/>
        </w:rPr>
        <w:t xml:space="preserve">В итоге, исходя из оценки текущей ситуации на рынке услуг связи, оценочное значение объема услуг, оказанных предприятиями связи по городскому округу Тольятти </w:t>
      </w:r>
      <w:proofErr w:type="gramStart"/>
      <w:r w:rsidRPr="00E85D7F">
        <w:rPr>
          <w:rFonts w:eastAsiaTheme="minorEastAsia"/>
          <w:sz w:val="28"/>
          <w:szCs w:val="28"/>
          <w:lang w:eastAsia="ru-RU"/>
        </w:rPr>
        <w:t>в 202</w:t>
      </w:r>
      <w:r>
        <w:rPr>
          <w:rFonts w:eastAsiaTheme="minorEastAsia"/>
          <w:sz w:val="28"/>
          <w:szCs w:val="28"/>
          <w:lang w:eastAsia="ru-RU"/>
        </w:rPr>
        <w:t>1</w:t>
      </w:r>
      <w:r w:rsidRPr="00E85D7F">
        <w:rPr>
          <w:rFonts w:eastAsiaTheme="minorEastAsia"/>
          <w:sz w:val="28"/>
          <w:szCs w:val="28"/>
          <w:lang w:eastAsia="ru-RU"/>
        </w:rPr>
        <w:t xml:space="preserve"> году</w:t>
      </w:r>
      <w:proofErr w:type="gramEnd"/>
      <w:r w:rsidRPr="00E85D7F">
        <w:rPr>
          <w:rFonts w:eastAsiaTheme="minorEastAsia"/>
          <w:sz w:val="28"/>
          <w:szCs w:val="28"/>
          <w:lang w:eastAsia="ru-RU"/>
        </w:rPr>
        <w:t xml:space="preserve"> составит 3 582,3 млн. рублей, что на 5,2% больше уровня прошлого года.   </w:t>
      </w:r>
    </w:p>
    <w:p w14:paraId="58195A94" w14:textId="4B7F6C2E" w:rsidR="001D7EDE" w:rsidRPr="00FC1D81" w:rsidRDefault="001D7EDE" w:rsidP="00282B08">
      <w:pPr>
        <w:widowControl w:val="0"/>
        <w:suppressAutoHyphens w:val="0"/>
        <w:autoSpaceDE w:val="0"/>
        <w:autoSpaceDN w:val="0"/>
        <w:adjustRightInd w:val="0"/>
        <w:spacing w:line="276" w:lineRule="auto"/>
        <w:rPr>
          <w:rFonts w:eastAsiaTheme="minorEastAsia"/>
          <w:sz w:val="28"/>
          <w:szCs w:val="28"/>
          <w:lang w:eastAsia="ru-RU"/>
        </w:rPr>
      </w:pPr>
      <w:r w:rsidRPr="00FC1D81">
        <w:rPr>
          <w:rFonts w:eastAsiaTheme="minorEastAsia"/>
          <w:sz w:val="28"/>
          <w:szCs w:val="28"/>
          <w:lang w:eastAsia="ru-RU"/>
        </w:rPr>
        <w:t>Приоритетными направлениями деятельности операторов сотовой связи в 2021 году останутся: расширение зоны покрытия с целью улучшения качества сотовой связи, разработка новых тарифных предложений, ориентированных на различные целевые группы населения, поддержание конкурентных цен на услуги связи; активизация работы по привлечению корпоративных клиентов, расширение сети офисов продаж, экспресс обслуживания, организация услуг самообслуживания и др</w:t>
      </w:r>
      <w:r w:rsidR="00597F88">
        <w:rPr>
          <w:rFonts w:eastAsiaTheme="minorEastAsia"/>
          <w:sz w:val="28"/>
          <w:szCs w:val="28"/>
          <w:lang w:eastAsia="ru-RU"/>
        </w:rPr>
        <w:t>угое</w:t>
      </w:r>
      <w:r w:rsidRPr="00FC1D81">
        <w:rPr>
          <w:rFonts w:eastAsiaTheme="minorEastAsia"/>
          <w:sz w:val="28"/>
          <w:szCs w:val="28"/>
          <w:lang w:eastAsia="ru-RU"/>
        </w:rPr>
        <w:t>.</w:t>
      </w:r>
    </w:p>
    <w:p w14:paraId="0C993248" w14:textId="77777777" w:rsidR="00186591" w:rsidRDefault="00186591" w:rsidP="00282B08">
      <w:pPr>
        <w:pStyle w:val="3"/>
        <w:spacing w:before="120"/>
        <w:rPr>
          <w:sz w:val="28"/>
          <w:szCs w:val="28"/>
        </w:rPr>
      </w:pPr>
      <w:r w:rsidRPr="00147A4E">
        <w:rPr>
          <w:sz w:val="28"/>
          <w:szCs w:val="28"/>
        </w:rPr>
        <w:t>Образование</w:t>
      </w:r>
    </w:p>
    <w:p w14:paraId="428CAF9E" w14:textId="1289998F" w:rsidR="00147A4E" w:rsidRPr="00147A4E" w:rsidRDefault="00147A4E" w:rsidP="00282B08">
      <w:pPr>
        <w:spacing w:before="120" w:line="276" w:lineRule="auto"/>
        <w:rPr>
          <w:rFonts w:eastAsiaTheme="minorEastAsia"/>
          <w:sz w:val="28"/>
          <w:szCs w:val="28"/>
          <w:lang w:eastAsia="ru-RU"/>
        </w:rPr>
      </w:pPr>
      <w:r w:rsidRPr="00147A4E">
        <w:rPr>
          <w:rFonts w:eastAsiaTheme="minorEastAsia"/>
          <w:sz w:val="28"/>
          <w:szCs w:val="28"/>
          <w:lang w:eastAsia="ru-RU"/>
        </w:rPr>
        <w:t xml:space="preserve">В городском округе Тольятти услуги дошкольного образования предоставляют 73 образовательные организации разных форм собственности, реализующие образовательные программы дошкольного образования: 51 </w:t>
      </w:r>
      <w:r w:rsidRPr="00147A4E">
        <w:rPr>
          <w:rFonts w:eastAsiaTheme="minorEastAsia"/>
          <w:sz w:val="28"/>
          <w:szCs w:val="28"/>
          <w:lang w:eastAsia="ru-RU"/>
        </w:rPr>
        <w:lastRenderedPageBreak/>
        <w:t xml:space="preserve">муниципальное дошкольное образовательное учреждение (далее </w:t>
      </w:r>
      <w:r w:rsidR="00597F88">
        <w:rPr>
          <w:rFonts w:eastAsiaTheme="minorEastAsia"/>
          <w:sz w:val="28"/>
          <w:szCs w:val="28"/>
          <w:lang w:eastAsia="ru-RU"/>
        </w:rPr>
        <w:t xml:space="preserve">по разделу </w:t>
      </w:r>
      <w:r w:rsidRPr="00147A4E">
        <w:rPr>
          <w:rFonts w:eastAsiaTheme="minorEastAsia"/>
          <w:sz w:val="28"/>
          <w:szCs w:val="28"/>
          <w:lang w:eastAsia="ru-RU"/>
        </w:rPr>
        <w:t>- МОУ), 13 структурных подразделений муниципальных общеобразовательных учреждений, реализующих образовательные программы дошкольного образования, 8 образовательных организаций и учреждений, реализующих образовательные программы дошкольного образования и 1 ведомственный детский сад.</w:t>
      </w:r>
    </w:p>
    <w:p w14:paraId="2A3A2926" w14:textId="77777777" w:rsidR="00147A4E" w:rsidRPr="00147A4E" w:rsidRDefault="00147A4E" w:rsidP="00147A4E">
      <w:pPr>
        <w:tabs>
          <w:tab w:val="left" w:pos="-360"/>
          <w:tab w:val="left" w:pos="360"/>
          <w:tab w:val="left" w:pos="567"/>
          <w:tab w:val="left" w:pos="1260"/>
          <w:tab w:val="num" w:pos="2106"/>
        </w:tabs>
        <w:spacing w:line="276" w:lineRule="auto"/>
        <w:rPr>
          <w:rFonts w:eastAsiaTheme="minorEastAsia"/>
          <w:sz w:val="28"/>
          <w:szCs w:val="28"/>
          <w:lang w:eastAsia="ru-RU"/>
        </w:rPr>
      </w:pPr>
      <w:r w:rsidRPr="00147A4E">
        <w:rPr>
          <w:rFonts w:eastAsiaTheme="minorEastAsia"/>
          <w:sz w:val="28"/>
          <w:szCs w:val="28"/>
          <w:lang w:eastAsia="ru-RU"/>
        </w:rPr>
        <w:t>Услугами дошкольного образования по состоянию на 01.07.2021 охвачено 37,1 тыс. детей в возрасте от 9 месяцев до 7 лет, что на 5,9% меньше аналогичного периода 2020 года по причине 100% охвата дошкольным образованием детей в возрасте старше 3-х лет в условиях сокращения количества детей дошкольного возраста. Охват детей дошкольным образованием в городском округе Тольятти составляет 74,5%.</w:t>
      </w:r>
    </w:p>
    <w:p w14:paraId="14496E19" w14:textId="77777777" w:rsidR="00147A4E" w:rsidRPr="00147A4E" w:rsidRDefault="00147A4E" w:rsidP="00147A4E">
      <w:pPr>
        <w:tabs>
          <w:tab w:val="left" w:pos="-360"/>
          <w:tab w:val="left" w:pos="360"/>
          <w:tab w:val="left" w:pos="567"/>
          <w:tab w:val="left" w:pos="1260"/>
          <w:tab w:val="num" w:pos="2106"/>
        </w:tabs>
        <w:spacing w:line="276" w:lineRule="auto"/>
        <w:rPr>
          <w:rFonts w:eastAsiaTheme="minorEastAsia"/>
          <w:sz w:val="28"/>
          <w:szCs w:val="28"/>
          <w:lang w:eastAsia="ru-RU"/>
        </w:rPr>
      </w:pPr>
      <w:r w:rsidRPr="00147A4E">
        <w:rPr>
          <w:rFonts w:eastAsiaTheme="minorEastAsia"/>
          <w:sz w:val="28"/>
          <w:szCs w:val="28"/>
          <w:lang w:eastAsia="ru-RU"/>
        </w:rPr>
        <w:t xml:space="preserve">Из общего количества организованных детей дошкольного возраста: </w:t>
      </w:r>
    </w:p>
    <w:p w14:paraId="60118002" w14:textId="77777777" w:rsidR="00147A4E" w:rsidRPr="00147A4E" w:rsidRDefault="00147A4E" w:rsidP="00147A4E">
      <w:pPr>
        <w:spacing w:line="276" w:lineRule="auto"/>
        <w:rPr>
          <w:rFonts w:eastAsiaTheme="minorEastAsia"/>
          <w:sz w:val="28"/>
          <w:szCs w:val="28"/>
          <w:lang w:eastAsia="ru-RU"/>
        </w:rPr>
      </w:pPr>
      <w:r w:rsidRPr="00147A4E">
        <w:rPr>
          <w:rFonts w:eastAsiaTheme="minorEastAsia"/>
          <w:sz w:val="28"/>
          <w:szCs w:val="28"/>
          <w:lang w:eastAsia="ru-RU"/>
        </w:rPr>
        <w:t>- 23,2 тыс. детей посещают муниципальные образовательные учреждения, реализующие образовательные программы дошкольного образования, в т. ч. 12 детей – группы кратковременного пребывания;</w:t>
      </w:r>
    </w:p>
    <w:p w14:paraId="1A68BF25" w14:textId="77777777" w:rsidR="00147A4E" w:rsidRPr="00147A4E" w:rsidRDefault="00147A4E" w:rsidP="00147A4E">
      <w:pPr>
        <w:tabs>
          <w:tab w:val="left" w:pos="567"/>
          <w:tab w:val="left" w:pos="709"/>
        </w:tabs>
        <w:spacing w:line="276" w:lineRule="auto"/>
        <w:contextualSpacing/>
        <w:rPr>
          <w:rFonts w:eastAsiaTheme="minorEastAsia"/>
          <w:sz w:val="28"/>
          <w:szCs w:val="28"/>
          <w:lang w:eastAsia="ru-RU"/>
        </w:rPr>
      </w:pPr>
      <w:r w:rsidRPr="00147A4E">
        <w:rPr>
          <w:rFonts w:eastAsiaTheme="minorEastAsia"/>
          <w:sz w:val="28"/>
          <w:szCs w:val="28"/>
          <w:lang w:eastAsia="ru-RU"/>
        </w:rPr>
        <w:t xml:space="preserve">- 13,4 тыс. детей посещают детские сады АНО ДО «Планета детства «Лада»; </w:t>
      </w:r>
    </w:p>
    <w:p w14:paraId="3F79AFEE" w14:textId="77777777" w:rsidR="00147A4E" w:rsidRPr="00147A4E" w:rsidRDefault="00147A4E" w:rsidP="00147A4E">
      <w:pPr>
        <w:tabs>
          <w:tab w:val="left" w:pos="567"/>
          <w:tab w:val="left" w:pos="709"/>
        </w:tabs>
        <w:spacing w:line="276" w:lineRule="auto"/>
        <w:contextualSpacing/>
        <w:rPr>
          <w:rFonts w:eastAsiaTheme="minorEastAsia"/>
          <w:sz w:val="28"/>
          <w:szCs w:val="28"/>
          <w:lang w:eastAsia="ru-RU"/>
        </w:rPr>
      </w:pPr>
      <w:r w:rsidRPr="00147A4E">
        <w:rPr>
          <w:rFonts w:eastAsiaTheme="minorEastAsia"/>
          <w:sz w:val="28"/>
          <w:szCs w:val="28"/>
          <w:lang w:eastAsia="ru-RU"/>
        </w:rPr>
        <w:t xml:space="preserve">- 546 детей получают образовательные услуги, посещая частные образовательные учреждения, ведомственный детский сад; </w:t>
      </w:r>
    </w:p>
    <w:p w14:paraId="3A5F0DDC" w14:textId="77777777" w:rsidR="00147A4E" w:rsidRPr="00147A4E" w:rsidRDefault="00147A4E" w:rsidP="00147A4E">
      <w:pPr>
        <w:tabs>
          <w:tab w:val="left" w:pos="567"/>
          <w:tab w:val="left" w:pos="709"/>
        </w:tabs>
        <w:spacing w:line="276" w:lineRule="auto"/>
        <w:contextualSpacing/>
        <w:rPr>
          <w:rFonts w:eastAsiaTheme="minorEastAsia"/>
          <w:sz w:val="28"/>
          <w:szCs w:val="28"/>
          <w:lang w:eastAsia="ru-RU"/>
        </w:rPr>
      </w:pPr>
      <w:r w:rsidRPr="00147A4E">
        <w:rPr>
          <w:rFonts w:eastAsiaTheme="minorEastAsia"/>
          <w:sz w:val="28"/>
          <w:szCs w:val="28"/>
          <w:lang w:eastAsia="ru-RU"/>
        </w:rPr>
        <w:t>- 80 детей получают образовательные услуги в структурном подразделении государственного образовательного учреждения (Государственное автономное профессиональное образовательное учреждение Самарской области «Тольяттинский колледж сервисных технологий и предпринимательства»).</w:t>
      </w:r>
    </w:p>
    <w:p w14:paraId="6BA386F0" w14:textId="77777777" w:rsidR="00147A4E" w:rsidRPr="00147A4E" w:rsidRDefault="00147A4E" w:rsidP="00147A4E">
      <w:pPr>
        <w:spacing w:line="276" w:lineRule="auto"/>
        <w:rPr>
          <w:rFonts w:eastAsiaTheme="minorEastAsia"/>
          <w:sz w:val="28"/>
          <w:szCs w:val="28"/>
          <w:lang w:eastAsia="ru-RU"/>
        </w:rPr>
      </w:pPr>
      <w:r w:rsidRPr="00147A4E">
        <w:rPr>
          <w:rFonts w:eastAsiaTheme="minorEastAsia"/>
          <w:sz w:val="28"/>
          <w:szCs w:val="28"/>
          <w:lang w:eastAsia="ru-RU"/>
        </w:rPr>
        <w:t xml:space="preserve">Для детей в возрасте от 1,5 до 7 лет создано достаточное количество мест в детских садах для 100% охвата, но без гарантии предоставления места в конкретном детском саду. Остается актуальной проблема нехватки мест для детей на территориях новостроек и в приближенных к ним кварталах. </w:t>
      </w:r>
    </w:p>
    <w:p w14:paraId="7B7C931B" w14:textId="43D4AD49" w:rsidR="00147A4E" w:rsidRPr="00147A4E" w:rsidRDefault="00147A4E" w:rsidP="00147A4E">
      <w:pPr>
        <w:spacing w:line="276" w:lineRule="auto"/>
        <w:rPr>
          <w:rFonts w:eastAsiaTheme="minorEastAsia"/>
          <w:sz w:val="28"/>
          <w:szCs w:val="28"/>
          <w:lang w:eastAsia="ru-RU"/>
        </w:rPr>
      </w:pPr>
      <w:r w:rsidRPr="00147A4E">
        <w:rPr>
          <w:rFonts w:eastAsiaTheme="minorEastAsia"/>
          <w:sz w:val="28"/>
          <w:szCs w:val="28"/>
          <w:lang w:eastAsia="ru-RU"/>
        </w:rPr>
        <w:t xml:space="preserve">По оценке 2021 года численность детей 1-6 лет может составить 45,7 тыс. человек, что на 3 тыс. человек меньше прошлого года (расчет произведен по данным </w:t>
      </w:r>
      <w:proofErr w:type="spellStart"/>
      <w:r w:rsidR="00F76AC5">
        <w:rPr>
          <w:rFonts w:eastAsiaTheme="minorEastAsia"/>
          <w:sz w:val="28"/>
          <w:szCs w:val="28"/>
          <w:lang w:eastAsia="ru-RU"/>
        </w:rPr>
        <w:t>Самарастата</w:t>
      </w:r>
      <w:proofErr w:type="spellEnd"/>
      <w:r w:rsidRPr="00147A4E">
        <w:rPr>
          <w:rFonts w:eastAsiaTheme="minorEastAsia"/>
          <w:sz w:val="28"/>
          <w:szCs w:val="28"/>
          <w:lang w:eastAsia="ru-RU"/>
        </w:rPr>
        <w:t xml:space="preserve"> о количестве детей в разбивке по возрастным группам), численность детей 3-6 лет снизится на 1,8 тыс. человек и составит 33,4 тыс. человек. </w:t>
      </w:r>
    </w:p>
    <w:p w14:paraId="75245EA1" w14:textId="514ACACB" w:rsidR="00147A4E" w:rsidRPr="00147A4E" w:rsidRDefault="00147A4E" w:rsidP="00147A4E">
      <w:pPr>
        <w:pStyle w:val="af9"/>
        <w:spacing w:after="0" w:line="276" w:lineRule="auto"/>
        <w:rPr>
          <w:rFonts w:eastAsiaTheme="minorEastAsia"/>
          <w:sz w:val="28"/>
          <w:szCs w:val="28"/>
          <w:lang w:eastAsia="ru-RU"/>
        </w:rPr>
      </w:pPr>
      <w:r w:rsidRPr="00147A4E">
        <w:rPr>
          <w:rFonts w:eastAsiaTheme="minorEastAsia"/>
          <w:sz w:val="28"/>
          <w:szCs w:val="28"/>
          <w:lang w:eastAsia="ru-RU"/>
        </w:rPr>
        <w:t xml:space="preserve">Численность детей в дошкольных образовательных учреждениях снизится на 2,2 тыс. человек относительно 2020 года и составит 35,0 тыс. человек в связи со снижением численности детей в возрасте 1-6 лет, а также за счет, перепрофилирования групп общеразвивающей направленности в группы компенсирующей и комбинированной направленности с меньшей </w:t>
      </w:r>
      <w:r w:rsidRPr="00147A4E">
        <w:rPr>
          <w:rFonts w:eastAsiaTheme="minorEastAsia"/>
          <w:sz w:val="28"/>
          <w:szCs w:val="28"/>
          <w:lang w:eastAsia="ru-RU"/>
        </w:rPr>
        <w:lastRenderedPageBreak/>
        <w:t>наполняемостью. В 2021 году количество мест для детей 3-6 лет в дошкольных учреждениях останется на уровне 2020 года и составит 32,6 тыс. единиц.</w:t>
      </w:r>
    </w:p>
    <w:p w14:paraId="0F4F2F04" w14:textId="77777777" w:rsidR="00147A4E" w:rsidRPr="00147A4E" w:rsidRDefault="00147A4E" w:rsidP="00597F88">
      <w:pPr>
        <w:spacing w:line="276" w:lineRule="auto"/>
        <w:rPr>
          <w:rFonts w:eastAsiaTheme="minorEastAsia"/>
          <w:sz w:val="28"/>
          <w:szCs w:val="28"/>
          <w:lang w:eastAsia="ru-RU"/>
        </w:rPr>
      </w:pPr>
      <w:r w:rsidRPr="00147A4E">
        <w:rPr>
          <w:rFonts w:eastAsiaTheme="minorEastAsia"/>
          <w:sz w:val="28"/>
          <w:szCs w:val="28"/>
          <w:lang w:eastAsia="ru-RU"/>
        </w:rPr>
        <w:t xml:space="preserve">Таким образом, обеспеченность дошкольными образовательными учреждениями увеличится в 2021 году до 975 мест на 1000 детей в возрасте 3-6 лет (в 2020 году – 925), в связи со снижением численности детей данной возрастной категории. </w:t>
      </w:r>
    </w:p>
    <w:p w14:paraId="6BCB6EEA" w14:textId="77777777" w:rsidR="00147A4E" w:rsidRPr="00147A4E" w:rsidRDefault="00147A4E" w:rsidP="00597F88">
      <w:pPr>
        <w:spacing w:line="276" w:lineRule="auto"/>
        <w:rPr>
          <w:rFonts w:eastAsiaTheme="minorEastAsia"/>
          <w:sz w:val="28"/>
          <w:szCs w:val="28"/>
          <w:lang w:eastAsia="ru-RU"/>
        </w:rPr>
      </w:pPr>
      <w:r w:rsidRPr="00147A4E">
        <w:rPr>
          <w:rFonts w:eastAsiaTheme="minorEastAsia"/>
          <w:sz w:val="28"/>
          <w:szCs w:val="28"/>
          <w:lang w:eastAsia="ru-RU"/>
        </w:rPr>
        <w:t xml:space="preserve">Количество учащихся в муниципальных бюджетных общеобразовательных учреждениях по </w:t>
      </w:r>
      <w:r w:rsidRPr="0089394B">
        <w:rPr>
          <w:rFonts w:eastAsiaTheme="minorEastAsia"/>
          <w:sz w:val="28"/>
          <w:szCs w:val="28"/>
          <w:lang w:eastAsia="ru-RU"/>
        </w:rPr>
        <w:t>состоянию на 31.05.2021 составляет 72,2 тыс. человек, что на 1,2% меньше количества учащихся по состоянию на 31.05.2020. Сокращение количества обучающихся</w:t>
      </w:r>
      <w:r w:rsidRPr="00147A4E">
        <w:rPr>
          <w:rFonts w:eastAsiaTheme="minorEastAsia"/>
          <w:sz w:val="28"/>
          <w:szCs w:val="28"/>
          <w:lang w:eastAsia="ru-RU"/>
        </w:rPr>
        <w:t xml:space="preserve"> связано с тем, что МБУ «Лицей № 57» поменяло свой статус и является теперь государственным учреждением. </w:t>
      </w:r>
    </w:p>
    <w:p w14:paraId="766AE544" w14:textId="241FBE58" w:rsidR="00147A4E" w:rsidRPr="00147A4E" w:rsidRDefault="00147A4E" w:rsidP="00597F88">
      <w:pPr>
        <w:spacing w:line="276" w:lineRule="auto"/>
        <w:rPr>
          <w:rFonts w:eastAsiaTheme="minorEastAsia"/>
          <w:sz w:val="28"/>
          <w:szCs w:val="28"/>
          <w:lang w:eastAsia="ru-RU"/>
        </w:rPr>
      </w:pPr>
      <w:r w:rsidRPr="00147A4E">
        <w:rPr>
          <w:rFonts w:eastAsiaTheme="minorEastAsia"/>
          <w:sz w:val="28"/>
          <w:szCs w:val="28"/>
          <w:lang w:eastAsia="ru-RU"/>
        </w:rPr>
        <w:t xml:space="preserve">Численность детей 7-17 лет в 2021 году увеличится на 2,4% и составит 85,4 тыс. человек. Прогнозируемое количество учащихся муниципальных бюджетных учреждений в возрасте от 7 до 17 лет (в </w:t>
      </w:r>
      <w:r w:rsidR="00597F88">
        <w:rPr>
          <w:rFonts w:eastAsiaTheme="minorEastAsia"/>
          <w:sz w:val="28"/>
          <w:szCs w:val="28"/>
          <w:lang w:eastAsia="ru-RU"/>
        </w:rPr>
        <w:t>том числе</w:t>
      </w:r>
      <w:r w:rsidRPr="00147A4E">
        <w:rPr>
          <w:rFonts w:eastAsiaTheme="minorEastAsia"/>
          <w:sz w:val="28"/>
          <w:szCs w:val="28"/>
          <w:lang w:eastAsia="ru-RU"/>
        </w:rPr>
        <w:t xml:space="preserve">  на очно-заочной и семейной форме обучения) составит 74,1 тыс. человек. Доля обучающихся в первую смену по оценке 2021 года увеличится на 0,6 </w:t>
      </w:r>
      <w:r w:rsidR="00597F88">
        <w:rPr>
          <w:rFonts w:eastAsiaTheme="minorEastAsia"/>
          <w:sz w:val="28"/>
          <w:szCs w:val="28"/>
          <w:lang w:eastAsia="ru-RU"/>
        </w:rPr>
        <w:t>процентных пункта</w:t>
      </w:r>
      <w:r w:rsidRPr="00147A4E">
        <w:rPr>
          <w:rFonts w:eastAsiaTheme="minorEastAsia"/>
          <w:sz w:val="28"/>
          <w:szCs w:val="28"/>
          <w:lang w:eastAsia="ru-RU"/>
        </w:rPr>
        <w:t xml:space="preserve"> относительно 2020 года и составит 96,3%.</w:t>
      </w:r>
    </w:p>
    <w:p w14:paraId="7DEA4F05" w14:textId="77777777" w:rsidR="00147A4E" w:rsidRPr="00147A4E" w:rsidRDefault="00147A4E" w:rsidP="00597F88">
      <w:pPr>
        <w:tabs>
          <w:tab w:val="left" w:pos="0"/>
        </w:tabs>
        <w:spacing w:line="276" w:lineRule="auto"/>
        <w:rPr>
          <w:rFonts w:eastAsiaTheme="minorEastAsia"/>
          <w:sz w:val="28"/>
          <w:szCs w:val="28"/>
          <w:lang w:eastAsia="ru-RU"/>
        </w:rPr>
      </w:pPr>
      <w:r w:rsidRPr="00147A4E">
        <w:rPr>
          <w:rFonts w:eastAsiaTheme="minorEastAsia"/>
          <w:sz w:val="28"/>
          <w:szCs w:val="28"/>
          <w:lang w:eastAsia="ru-RU"/>
        </w:rPr>
        <w:t>На территории городского округа Тольятти на протяжении ряда лет сохраняется положительная динамика изменения количественного состава учащихся в начальной школе в сторону увеличения, что приводит к увеличению численности детей в целом по образовательным учреждениям и соответственно по городу.</w:t>
      </w:r>
    </w:p>
    <w:p w14:paraId="20E6739F" w14:textId="77777777" w:rsidR="00147A4E" w:rsidRPr="00147A4E" w:rsidRDefault="00147A4E" w:rsidP="00597F88">
      <w:pPr>
        <w:shd w:val="clear" w:color="auto" w:fill="FFFFFF"/>
        <w:spacing w:line="276" w:lineRule="auto"/>
        <w:rPr>
          <w:rFonts w:eastAsiaTheme="minorEastAsia"/>
          <w:sz w:val="28"/>
          <w:szCs w:val="28"/>
          <w:lang w:eastAsia="ru-RU"/>
        </w:rPr>
      </w:pPr>
      <w:r w:rsidRPr="00147A4E">
        <w:rPr>
          <w:rFonts w:eastAsiaTheme="minorEastAsia"/>
          <w:sz w:val="28"/>
          <w:szCs w:val="28"/>
          <w:lang w:eastAsia="ru-RU"/>
        </w:rPr>
        <w:t xml:space="preserve">Ключевыми задачами системы дополнительного образования  городского округа Тольятти являются формирование технологического мышления, воспитание будущих инженерных кадров, создание условий для активизации исследовательской и проектной деятельности обучающихся, повышения интереса к  изучению ими естественных, физико-математических и технических наук, создание современной инфраструктуры  для занятия  научно-техническим творчеством, организации тематического отдыха и сетевого проектного взаимодействия. Особую актуальность приобретает решение задач по совершенствованию дополнительных образовательных программ, созданию особых пространств и форм для интеллектуального развития детей и молодежи, их подготовки по программам инженерной направленности. </w:t>
      </w:r>
    </w:p>
    <w:p w14:paraId="43EE5787" w14:textId="77777777" w:rsidR="00147A4E" w:rsidRPr="00147A4E" w:rsidRDefault="00147A4E" w:rsidP="00147A4E">
      <w:pPr>
        <w:spacing w:line="276" w:lineRule="auto"/>
        <w:rPr>
          <w:rFonts w:eastAsiaTheme="minorEastAsia"/>
          <w:sz w:val="28"/>
          <w:szCs w:val="28"/>
          <w:lang w:eastAsia="ru-RU"/>
        </w:rPr>
      </w:pPr>
      <w:r w:rsidRPr="00147A4E">
        <w:rPr>
          <w:rFonts w:eastAsiaTheme="minorEastAsia"/>
          <w:sz w:val="28"/>
          <w:szCs w:val="28"/>
          <w:lang w:eastAsia="ru-RU"/>
        </w:rPr>
        <w:t xml:space="preserve">Количество обучающихся 12 муниципальных образовательных учреждений и 16 структурных подразделений дополнительного образования </w:t>
      </w:r>
      <w:r w:rsidRPr="00147A4E">
        <w:rPr>
          <w:rFonts w:eastAsiaTheme="minorEastAsia"/>
          <w:sz w:val="28"/>
          <w:szCs w:val="28"/>
          <w:lang w:eastAsia="ru-RU"/>
        </w:rPr>
        <w:lastRenderedPageBreak/>
        <w:t>муниципальных бюджетных учреждений в возрасте от 5 до 18 лет составляет:</w:t>
      </w:r>
    </w:p>
    <w:p w14:paraId="29A0BBCC" w14:textId="77777777" w:rsidR="00147A4E" w:rsidRPr="00147A4E" w:rsidRDefault="00147A4E" w:rsidP="00147A4E">
      <w:pPr>
        <w:shd w:val="clear" w:color="auto" w:fill="FFFFFF"/>
        <w:spacing w:line="276" w:lineRule="auto"/>
        <w:rPr>
          <w:rFonts w:eastAsiaTheme="minorEastAsia"/>
          <w:sz w:val="28"/>
          <w:szCs w:val="28"/>
          <w:lang w:eastAsia="ru-RU"/>
        </w:rPr>
      </w:pPr>
      <w:r w:rsidRPr="00147A4E">
        <w:rPr>
          <w:rFonts w:eastAsiaTheme="minorEastAsia"/>
          <w:sz w:val="28"/>
          <w:szCs w:val="28"/>
          <w:lang w:eastAsia="ru-RU"/>
        </w:rPr>
        <w:t>- в МБОУ ДО – 47,7 тыс. человек (по муниципальному заданию);</w:t>
      </w:r>
    </w:p>
    <w:p w14:paraId="16514E37" w14:textId="77777777" w:rsidR="00147A4E" w:rsidRPr="00147A4E" w:rsidRDefault="00147A4E" w:rsidP="00147A4E">
      <w:pPr>
        <w:shd w:val="clear" w:color="auto" w:fill="FFFFFF"/>
        <w:spacing w:line="276" w:lineRule="auto"/>
        <w:rPr>
          <w:rFonts w:eastAsiaTheme="minorEastAsia"/>
          <w:sz w:val="28"/>
          <w:szCs w:val="28"/>
          <w:lang w:eastAsia="ru-RU"/>
        </w:rPr>
      </w:pPr>
      <w:r w:rsidRPr="00147A4E">
        <w:rPr>
          <w:rFonts w:eastAsiaTheme="minorEastAsia"/>
          <w:sz w:val="28"/>
          <w:szCs w:val="28"/>
          <w:lang w:eastAsia="ru-RU"/>
        </w:rPr>
        <w:t>- в структурных подразделениях дополнительного образования МБУ –                          11,1 тыс. человек.</w:t>
      </w:r>
    </w:p>
    <w:p w14:paraId="483243EF" w14:textId="77777777" w:rsidR="00147A4E" w:rsidRPr="00147A4E" w:rsidRDefault="00147A4E" w:rsidP="00147A4E">
      <w:pPr>
        <w:shd w:val="clear" w:color="auto" w:fill="FFFFFF"/>
        <w:spacing w:line="276" w:lineRule="auto"/>
        <w:rPr>
          <w:rFonts w:eastAsiaTheme="minorEastAsia"/>
          <w:sz w:val="28"/>
          <w:szCs w:val="28"/>
          <w:lang w:eastAsia="ru-RU"/>
        </w:rPr>
      </w:pPr>
      <w:r w:rsidRPr="00147A4E">
        <w:rPr>
          <w:rFonts w:eastAsiaTheme="minorEastAsia"/>
          <w:sz w:val="28"/>
          <w:szCs w:val="28"/>
          <w:lang w:eastAsia="ru-RU"/>
        </w:rPr>
        <w:t>В 2021 году количество обучающихся в муниципальных образовательных учреждениях и структурных подразделениях дополнительного образования муниципальных бюджетных учреждений сохранится на уровне 2020 года.</w:t>
      </w:r>
    </w:p>
    <w:p w14:paraId="4B650B41" w14:textId="77777777" w:rsidR="00147A4E" w:rsidRPr="00147A4E" w:rsidRDefault="00147A4E" w:rsidP="00147A4E">
      <w:pPr>
        <w:shd w:val="clear" w:color="auto" w:fill="FFFFFF"/>
        <w:spacing w:line="276" w:lineRule="auto"/>
        <w:rPr>
          <w:rFonts w:eastAsiaTheme="minorEastAsia"/>
          <w:sz w:val="28"/>
          <w:szCs w:val="28"/>
          <w:lang w:eastAsia="ru-RU"/>
        </w:rPr>
      </w:pPr>
      <w:r w:rsidRPr="00147A4E">
        <w:rPr>
          <w:rFonts w:eastAsiaTheme="minorEastAsia"/>
          <w:sz w:val="28"/>
          <w:szCs w:val="28"/>
          <w:lang w:eastAsia="ru-RU"/>
        </w:rPr>
        <w:t>На базе Технопарка «Жигулёвская долина» реализует деятельность Детский Технопарк «Кванториум-63 регион»: для более 1,0 обучающихся организовано обучение по 5-ти направлениям (IT-</w:t>
      </w:r>
      <w:proofErr w:type="spellStart"/>
      <w:r w:rsidRPr="00147A4E">
        <w:rPr>
          <w:rFonts w:eastAsiaTheme="minorEastAsia"/>
          <w:sz w:val="28"/>
          <w:szCs w:val="28"/>
          <w:lang w:eastAsia="ru-RU"/>
        </w:rPr>
        <w:t>квантум</w:t>
      </w:r>
      <w:proofErr w:type="spellEnd"/>
      <w:r w:rsidRPr="00147A4E">
        <w:rPr>
          <w:rFonts w:eastAsiaTheme="minorEastAsia"/>
          <w:sz w:val="28"/>
          <w:szCs w:val="28"/>
          <w:lang w:eastAsia="ru-RU"/>
        </w:rPr>
        <w:t xml:space="preserve">, </w:t>
      </w:r>
      <w:proofErr w:type="spellStart"/>
      <w:r w:rsidRPr="00147A4E">
        <w:rPr>
          <w:rFonts w:eastAsiaTheme="minorEastAsia"/>
          <w:sz w:val="28"/>
          <w:szCs w:val="28"/>
          <w:lang w:eastAsia="ru-RU"/>
        </w:rPr>
        <w:t>робоквантум</w:t>
      </w:r>
      <w:proofErr w:type="spellEnd"/>
      <w:r w:rsidRPr="00147A4E">
        <w:rPr>
          <w:rFonts w:eastAsiaTheme="minorEastAsia"/>
          <w:sz w:val="28"/>
          <w:szCs w:val="28"/>
          <w:lang w:eastAsia="ru-RU"/>
        </w:rPr>
        <w:t xml:space="preserve">, </w:t>
      </w:r>
      <w:proofErr w:type="spellStart"/>
      <w:r w:rsidRPr="00147A4E">
        <w:rPr>
          <w:rFonts w:eastAsiaTheme="minorEastAsia"/>
          <w:sz w:val="28"/>
          <w:szCs w:val="28"/>
          <w:lang w:eastAsia="ru-RU"/>
        </w:rPr>
        <w:t>наноквантум</w:t>
      </w:r>
      <w:proofErr w:type="spellEnd"/>
      <w:r w:rsidRPr="00147A4E">
        <w:rPr>
          <w:rFonts w:eastAsiaTheme="minorEastAsia"/>
          <w:sz w:val="28"/>
          <w:szCs w:val="28"/>
          <w:lang w:eastAsia="ru-RU"/>
        </w:rPr>
        <w:t xml:space="preserve">, </w:t>
      </w:r>
      <w:proofErr w:type="spellStart"/>
      <w:r w:rsidRPr="00147A4E">
        <w:rPr>
          <w:rFonts w:eastAsiaTheme="minorEastAsia"/>
          <w:sz w:val="28"/>
          <w:szCs w:val="28"/>
          <w:lang w:eastAsia="ru-RU"/>
        </w:rPr>
        <w:t>автоквантум</w:t>
      </w:r>
      <w:proofErr w:type="spellEnd"/>
      <w:r w:rsidRPr="00147A4E">
        <w:rPr>
          <w:rFonts w:eastAsiaTheme="minorEastAsia"/>
          <w:sz w:val="28"/>
          <w:szCs w:val="28"/>
          <w:lang w:eastAsia="ru-RU"/>
        </w:rPr>
        <w:t xml:space="preserve">, промышленный дизайн). Занятия в </w:t>
      </w:r>
      <w:proofErr w:type="spellStart"/>
      <w:r w:rsidRPr="00147A4E">
        <w:rPr>
          <w:rFonts w:eastAsiaTheme="minorEastAsia"/>
          <w:sz w:val="28"/>
          <w:szCs w:val="28"/>
          <w:lang w:eastAsia="ru-RU"/>
        </w:rPr>
        <w:t>Кванториуме</w:t>
      </w:r>
      <w:proofErr w:type="spellEnd"/>
      <w:r w:rsidRPr="00147A4E">
        <w:rPr>
          <w:rFonts w:eastAsiaTheme="minorEastAsia"/>
          <w:sz w:val="28"/>
          <w:szCs w:val="28"/>
          <w:lang w:eastAsia="ru-RU"/>
        </w:rPr>
        <w:t xml:space="preserve"> направлены на возобновление интереса детей к техническому творчеству, будет содействовать решению проблемы обеспечения отраслей экономики новым поколением инженерных кадров. В 2021 году планируется охватить 1,5 тыс. школьников.</w:t>
      </w:r>
    </w:p>
    <w:p w14:paraId="7E6D97DF" w14:textId="77777777" w:rsidR="00147A4E" w:rsidRPr="00147A4E" w:rsidRDefault="00147A4E" w:rsidP="00147A4E">
      <w:pPr>
        <w:pStyle w:val="aff0"/>
        <w:numPr>
          <w:ilvl w:val="0"/>
          <w:numId w:val="5"/>
        </w:numPr>
        <w:spacing w:line="276" w:lineRule="auto"/>
        <w:ind w:left="0" w:firstLine="851"/>
        <w:rPr>
          <w:rFonts w:eastAsiaTheme="minorEastAsia"/>
          <w:szCs w:val="28"/>
          <w:lang w:eastAsia="ru-RU"/>
        </w:rPr>
      </w:pPr>
      <w:r w:rsidRPr="00147A4E">
        <w:rPr>
          <w:rFonts w:eastAsiaTheme="minorEastAsia"/>
          <w:szCs w:val="28"/>
          <w:lang w:eastAsia="ru-RU"/>
        </w:rPr>
        <w:t>Кроме того, с 1 сентября 2021 года начал функционировать центр цифрового образования «IT-куб» - образовательной площадки для развития IT-творчества детей и подростков, оснащенной самым современным оборудованием (планируемое количество обучающихся – 400 человек).</w:t>
      </w:r>
    </w:p>
    <w:p w14:paraId="4D684F5B" w14:textId="77777777" w:rsidR="00147A4E" w:rsidRPr="00147A4E" w:rsidRDefault="00147A4E" w:rsidP="00147A4E">
      <w:pPr>
        <w:spacing w:line="276" w:lineRule="auto"/>
        <w:rPr>
          <w:rFonts w:eastAsiaTheme="minorEastAsia"/>
          <w:sz w:val="28"/>
          <w:szCs w:val="28"/>
          <w:lang w:eastAsia="ru-RU"/>
        </w:rPr>
      </w:pPr>
      <w:r w:rsidRPr="00147A4E">
        <w:rPr>
          <w:rFonts w:eastAsiaTheme="minorEastAsia"/>
          <w:sz w:val="28"/>
          <w:szCs w:val="28"/>
          <w:lang w:eastAsia="ru-RU"/>
        </w:rPr>
        <w:t>Охват дополнительным образованием детей в возрасте от 5 до 18 лет в 2021 году может составить 83,0%.</w:t>
      </w:r>
    </w:p>
    <w:p w14:paraId="35B92DF3" w14:textId="77777777" w:rsidR="00147A4E" w:rsidRPr="00147A4E" w:rsidRDefault="00147A4E" w:rsidP="00147A4E">
      <w:pPr>
        <w:spacing w:line="276" w:lineRule="auto"/>
        <w:rPr>
          <w:rFonts w:eastAsiaTheme="minorEastAsia"/>
          <w:sz w:val="28"/>
          <w:szCs w:val="28"/>
          <w:lang w:eastAsia="ru-RU"/>
        </w:rPr>
      </w:pPr>
      <w:r w:rsidRPr="00147A4E">
        <w:rPr>
          <w:rFonts w:eastAsiaTheme="minorEastAsia"/>
          <w:sz w:val="28"/>
          <w:szCs w:val="28"/>
          <w:lang w:eastAsia="ru-RU"/>
        </w:rPr>
        <w:t>К основным проблемам, сдерживающим развитие отрасли образования, относятся:</w:t>
      </w:r>
    </w:p>
    <w:p w14:paraId="6DF86957" w14:textId="77777777" w:rsidR="004A7577" w:rsidRDefault="00147A4E" w:rsidP="004A7577">
      <w:pPr>
        <w:spacing w:line="276" w:lineRule="auto"/>
        <w:rPr>
          <w:rFonts w:eastAsiaTheme="minorEastAsia"/>
          <w:sz w:val="28"/>
          <w:szCs w:val="28"/>
          <w:lang w:eastAsia="ru-RU"/>
        </w:rPr>
      </w:pPr>
      <w:r w:rsidRPr="00147A4E">
        <w:rPr>
          <w:rFonts w:eastAsiaTheme="minorEastAsia"/>
          <w:sz w:val="28"/>
          <w:szCs w:val="28"/>
          <w:lang w:eastAsia="ru-RU"/>
        </w:rPr>
        <w:t xml:space="preserve">- в сфере дошкольного образования: отсутствие детских садов в </w:t>
      </w:r>
      <w:r w:rsidRPr="004A7577">
        <w:rPr>
          <w:rFonts w:eastAsiaTheme="minorEastAsia"/>
          <w:sz w:val="28"/>
          <w:szCs w:val="28"/>
          <w:lang w:eastAsia="ru-RU"/>
        </w:rPr>
        <w:t xml:space="preserve">кварталах-новостройках Автозаводского района (14а квартал, </w:t>
      </w:r>
      <w:proofErr w:type="spellStart"/>
      <w:r w:rsidRPr="004A7577">
        <w:rPr>
          <w:rFonts w:eastAsiaTheme="minorEastAsia"/>
          <w:sz w:val="28"/>
          <w:szCs w:val="28"/>
          <w:lang w:eastAsia="ru-RU"/>
        </w:rPr>
        <w:t>мкр</w:t>
      </w:r>
      <w:proofErr w:type="spellEnd"/>
      <w:r w:rsidRPr="004A7577">
        <w:rPr>
          <w:rFonts w:eastAsiaTheme="minorEastAsia"/>
          <w:sz w:val="28"/>
          <w:szCs w:val="28"/>
          <w:lang w:eastAsia="ru-RU"/>
        </w:rPr>
        <w:t xml:space="preserve">. «Калина»); в микрорайоне «Северный» Центрального района; </w:t>
      </w:r>
      <w:r w:rsidR="004A7577" w:rsidRPr="004A7577">
        <w:rPr>
          <w:rFonts w:eastAsiaTheme="minorEastAsia"/>
          <w:sz w:val="28"/>
          <w:szCs w:val="28"/>
          <w:lang w:eastAsia="ru-RU"/>
        </w:rPr>
        <w:t>недостаточная обеспеченность</w:t>
      </w:r>
      <w:r w:rsidRPr="004A7577">
        <w:rPr>
          <w:rFonts w:eastAsiaTheme="minorEastAsia"/>
          <w:sz w:val="28"/>
          <w:szCs w:val="28"/>
          <w:lang w:eastAsia="ru-RU"/>
        </w:rPr>
        <w:t xml:space="preserve"> детских садов необходимым оборудованием для создания доступной среды (пандусы, лифты и т.д.) для детей с ограниченными возможностями здоровья, недостаточное материально-техническое обеспечение дошкольных учреждений в соответствии с требованиями ФГОС ДО;</w:t>
      </w:r>
    </w:p>
    <w:p w14:paraId="7D08B5D1" w14:textId="6DEE11E2" w:rsidR="00147A4E" w:rsidRPr="00147A4E" w:rsidRDefault="00147A4E" w:rsidP="004A7577">
      <w:pPr>
        <w:spacing w:line="276" w:lineRule="auto"/>
        <w:rPr>
          <w:rFonts w:eastAsiaTheme="minorEastAsia"/>
          <w:sz w:val="28"/>
          <w:szCs w:val="28"/>
          <w:lang w:eastAsia="ru-RU"/>
        </w:rPr>
      </w:pPr>
      <w:r w:rsidRPr="00147A4E">
        <w:rPr>
          <w:rFonts w:eastAsiaTheme="minorEastAsia"/>
          <w:sz w:val="28"/>
          <w:szCs w:val="28"/>
          <w:lang w:eastAsia="ru-RU"/>
        </w:rPr>
        <w:t>- в сфере общего и дополнительного образования: устаревшая материал</w:t>
      </w:r>
      <w:r>
        <w:rPr>
          <w:rFonts w:eastAsiaTheme="minorEastAsia"/>
          <w:sz w:val="28"/>
          <w:szCs w:val="28"/>
          <w:lang w:eastAsia="ru-RU"/>
        </w:rPr>
        <w:t xml:space="preserve">ьно-техническая база учреждений </w:t>
      </w:r>
      <w:r w:rsidRPr="00147A4E">
        <w:rPr>
          <w:rFonts w:eastAsiaTheme="minorEastAsia"/>
          <w:sz w:val="28"/>
          <w:szCs w:val="28"/>
          <w:lang w:eastAsia="ru-RU"/>
        </w:rPr>
        <w:t>общего и дополнительного образования; территориальная (шаговая) доступность учреждений общего образования.</w:t>
      </w:r>
    </w:p>
    <w:p w14:paraId="523413E0" w14:textId="77777777" w:rsidR="00147A4E" w:rsidRPr="00147A4E" w:rsidRDefault="00147A4E" w:rsidP="00147A4E">
      <w:pPr>
        <w:spacing w:line="276" w:lineRule="auto"/>
        <w:ind w:firstLine="851"/>
        <w:rPr>
          <w:rFonts w:eastAsiaTheme="minorEastAsia"/>
          <w:sz w:val="28"/>
          <w:szCs w:val="28"/>
          <w:lang w:eastAsia="ru-RU"/>
        </w:rPr>
      </w:pPr>
      <w:r w:rsidRPr="00147A4E">
        <w:rPr>
          <w:rFonts w:eastAsiaTheme="minorEastAsia"/>
          <w:sz w:val="28"/>
          <w:szCs w:val="28"/>
          <w:lang w:eastAsia="ru-RU"/>
        </w:rPr>
        <w:t xml:space="preserve"> В рамках реализации подпрограммы «Укрепление материально-технической базы государственных и муниципальных учреждений, </w:t>
      </w:r>
      <w:r w:rsidRPr="00147A4E">
        <w:rPr>
          <w:rFonts w:eastAsiaTheme="minorEastAsia"/>
          <w:sz w:val="28"/>
          <w:szCs w:val="28"/>
          <w:lang w:eastAsia="ru-RU"/>
        </w:rPr>
        <w:lastRenderedPageBreak/>
        <w:t xml:space="preserve">осуществляющих деятельность в сфере образования на территории Самарской области» до 2025 года в рамках государственной программы Самарской области «Строительство, реконструкция и капитальный ремонт образовательных учреждений Самарской области» до 2025 года заключено соглашение между министерством образования и науки Самарской области и администрацией городского округа Тольятти проведен капитальный ремонт открытых веранд  в 2-х дошкольных учреждениях: в МБУ ДС № 80 «Песенка» (пр-т Степана   Разина, д. 54);  в МБУ ДС № 120 «Сказочный»  (б-р Курчатова, д. 9). </w:t>
      </w:r>
    </w:p>
    <w:p w14:paraId="32EB6971" w14:textId="2DA830A0" w:rsidR="00147A4E" w:rsidRPr="00147A4E" w:rsidRDefault="00147A4E" w:rsidP="00147A4E">
      <w:pPr>
        <w:spacing w:line="276" w:lineRule="auto"/>
        <w:ind w:firstLine="851"/>
        <w:rPr>
          <w:rFonts w:eastAsiaTheme="minorEastAsia"/>
          <w:sz w:val="28"/>
          <w:szCs w:val="28"/>
          <w:lang w:eastAsia="ru-RU"/>
        </w:rPr>
      </w:pPr>
      <w:r w:rsidRPr="00147A4E">
        <w:rPr>
          <w:rFonts w:eastAsiaTheme="minorEastAsia"/>
          <w:sz w:val="28"/>
          <w:szCs w:val="28"/>
          <w:lang w:eastAsia="ru-RU"/>
        </w:rPr>
        <w:t xml:space="preserve">Кроме того, проходит капитальный ремонт </w:t>
      </w:r>
      <w:r>
        <w:rPr>
          <w:rFonts w:eastAsiaTheme="minorEastAsia"/>
          <w:sz w:val="28"/>
          <w:szCs w:val="28"/>
          <w:lang w:eastAsia="ru-RU"/>
        </w:rPr>
        <w:t>в 2-х зданиях МБУ ДС № </w:t>
      </w:r>
      <w:r w:rsidRPr="00147A4E">
        <w:rPr>
          <w:rFonts w:eastAsiaTheme="minorEastAsia"/>
          <w:sz w:val="28"/>
          <w:szCs w:val="28"/>
          <w:lang w:eastAsia="ru-RU"/>
        </w:rPr>
        <w:t>116 «Солнечный»: в первом корпусе (б-р Орджоникидзе, д. 17); во втором корпусе (б-р Орджоникидзе, д. 4).</w:t>
      </w:r>
    </w:p>
    <w:p w14:paraId="0C38F191" w14:textId="77777777" w:rsidR="00147A4E" w:rsidRPr="00147A4E" w:rsidRDefault="00147A4E" w:rsidP="00147A4E">
      <w:pPr>
        <w:spacing w:line="276" w:lineRule="auto"/>
        <w:ind w:firstLine="851"/>
        <w:rPr>
          <w:rFonts w:eastAsiaTheme="minorEastAsia"/>
          <w:sz w:val="28"/>
          <w:szCs w:val="28"/>
          <w:lang w:eastAsia="ru-RU"/>
        </w:rPr>
      </w:pPr>
      <w:r w:rsidRPr="00147A4E">
        <w:rPr>
          <w:rFonts w:eastAsiaTheme="minorEastAsia"/>
          <w:sz w:val="28"/>
          <w:szCs w:val="28"/>
          <w:lang w:eastAsia="ru-RU"/>
        </w:rPr>
        <w:t xml:space="preserve">В рамках реализации подпрограммы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 в рамках государственной программы Самарской области «Строительство, реконструкция и капитальный ремонт образовательных учреждений Самарской области» до 2025 года, на благоустройство здания образовательного учреждения в целях соблюдения требований к воздушно-тепловому режиму, водоснабжению и канализации, а также на проведение капитального ремонта здания с наибольшей степенью физического износа произведена замена оконных блоков и ремонт системы водопровода и канализации  в МБУ «Школа № 20» (ул. </w:t>
      </w:r>
      <w:proofErr w:type="spellStart"/>
      <w:r w:rsidRPr="00147A4E">
        <w:rPr>
          <w:rFonts w:eastAsiaTheme="minorEastAsia"/>
          <w:sz w:val="28"/>
          <w:szCs w:val="28"/>
          <w:lang w:eastAsia="ru-RU"/>
        </w:rPr>
        <w:t>Голосова</w:t>
      </w:r>
      <w:proofErr w:type="spellEnd"/>
      <w:r w:rsidRPr="00147A4E">
        <w:rPr>
          <w:rFonts w:eastAsiaTheme="minorEastAsia"/>
          <w:sz w:val="28"/>
          <w:szCs w:val="28"/>
          <w:lang w:eastAsia="ru-RU"/>
        </w:rPr>
        <w:t>,  д. 83).</w:t>
      </w:r>
    </w:p>
    <w:p w14:paraId="7F97EF29" w14:textId="285E43D1" w:rsidR="00147A4E" w:rsidRPr="00147A4E" w:rsidRDefault="00147A4E" w:rsidP="00147A4E">
      <w:pPr>
        <w:spacing w:line="276" w:lineRule="auto"/>
        <w:rPr>
          <w:rFonts w:eastAsiaTheme="minorEastAsia"/>
          <w:sz w:val="28"/>
          <w:szCs w:val="28"/>
          <w:lang w:eastAsia="ru-RU"/>
        </w:rPr>
      </w:pPr>
      <w:r w:rsidRPr="00147A4E">
        <w:rPr>
          <w:rFonts w:eastAsiaTheme="minorEastAsia"/>
          <w:sz w:val="28"/>
          <w:szCs w:val="28"/>
          <w:lang w:eastAsia="ru-RU"/>
        </w:rPr>
        <w:t>В рамках реализации подпрограммы «Развитие системы отдыха и оздоровления детей в Самарской области на 2014-2023» государственной программы «Развитие социальной защиты населения в Самарской области» на 2014-2023 годы, проводится капитальный ремонт по замене труб отопления, холодного и горячего водоснабжения с запорной и регулирующей арматурой, проходящих по подвалу корпуса № 5, водомерного узла в МАООУ «Пансионат «Радуга» (Лесопарковое шоссе, 36).</w:t>
      </w:r>
    </w:p>
    <w:p w14:paraId="02BEED89" w14:textId="77777777" w:rsidR="00147A4E" w:rsidRPr="00147A4E" w:rsidRDefault="00147A4E" w:rsidP="00147A4E">
      <w:pPr>
        <w:spacing w:line="276" w:lineRule="auto"/>
        <w:rPr>
          <w:rFonts w:eastAsiaTheme="minorEastAsia"/>
          <w:sz w:val="28"/>
          <w:szCs w:val="28"/>
          <w:lang w:eastAsia="ru-RU"/>
        </w:rPr>
      </w:pPr>
      <w:r w:rsidRPr="00147A4E">
        <w:rPr>
          <w:rFonts w:eastAsiaTheme="minorEastAsia"/>
          <w:sz w:val="28"/>
          <w:szCs w:val="28"/>
          <w:lang w:eastAsia="ru-RU"/>
        </w:rPr>
        <w:t xml:space="preserve">В 2020 году введены в эксплуатацию: детский сад № 210 «Ладушки» в 20 квартале Автозаводского района на 350 мест; детский сад, расположенный в Комсомольском районе, </w:t>
      </w:r>
      <w:proofErr w:type="spellStart"/>
      <w:r w:rsidRPr="00147A4E">
        <w:rPr>
          <w:rFonts w:eastAsiaTheme="minorEastAsia"/>
          <w:sz w:val="28"/>
          <w:szCs w:val="28"/>
          <w:lang w:eastAsia="ru-RU"/>
        </w:rPr>
        <w:t>мкр</w:t>
      </w:r>
      <w:proofErr w:type="spellEnd"/>
      <w:r w:rsidRPr="00147A4E">
        <w:rPr>
          <w:rFonts w:eastAsiaTheme="minorEastAsia"/>
          <w:sz w:val="28"/>
          <w:szCs w:val="28"/>
          <w:lang w:eastAsia="ru-RU"/>
        </w:rPr>
        <w:t>. «Жигулевское море» на 120 мест.</w:t>
      </w:r>
    </w:p>
    <w:p w14:paraId="71AB5B23" w14:textId="2A92E0A5" w:rsidR="00147A4E" w:rsidRPr="00147A4E" w:rsidRDefault="00147A4E" w:rsidP="00147A4E">
      <w:pPr>
        <w:spacing w:line="276" w:lineRule="auto"/>
        <w:rPr>
          <w:rFonts w:eastAsiaTheme="minorEastAsia"/>
          <w:sz w:val="28"/>
          <w:szCs w:val="28"/>
          <w:lang w:eastAsia="ru-RU"/>
        </w:rPr>
      </w:pPr>
      <w:r w:rsidRPr="00147A4E">
        <w:rPr>
          <w:rFonts w:eastAsiaTheme="minorEastAsia"/>
          <w:sz w:val="28"/>
          <w:szCs w:val="28"/>
          <w:lang w:eastAsia="ru-RU"/>
        </w:rPr>
        <w:t xml:space="preserve">В 2021 году начато строительство детского сада на 150 мест ЛДС-2 в составе 2 этапа в 14а квартале Автозаводского района с общей стоимостью проекта </w:t>
      </w:r>
      <w:r w:rsidR="00B23793">
        <w:rPr>
          <w:rFonts w:eastAsiaTheme="minorEastAsia"/>
          <w:sz w:val="28"/>
          <w:szCs w:val="28"/>
          <w:lang w:eastAsia="ru-RU"/>
        </w:rPr>
        <w:t>161,0 млн. рублей</w:t>
      </w:r>
      <w:r w:rsidRPr="00147A4E">
        <w:rPr>
          <w:rFonts w:eastAsiaTheme="minorEastAsia"/>
          <w:sz w:val="28"/>
          <w:szCs w:val="28"/>
          <w:lang w:eastAsia="ru-RU"/>
        </w:rPr>
        <w:t xml:space="preserve"> (планируемый ввод в эксплуатацию – декабрь 2021 год).</w:t>
      </w:r>
    </w:p>
    <w:p w14:paraId="55D43AA9" w14:textId="77777777" w:rsidR="00147A4E" w:rsidRPr="00147A4E" w:rsidRDefault="00147A4E" w:rsidP="00147A4E">
      <w:pPr>
        <w:spacing w:line="276" w:lineRule="auto"/>
        <w:rPr>
          <w:rFonts w:eastAsiaTheme="minorEastAsia"/>
          <w:sz w:val="28"/>
          <w:szCs w:val="28"/>
          <w:lang w:eastAsia="ru-RU"/>
        </w:rPr>
      </w:pPr>
      <w:r w:rsidRPr="00147A4E">
        <w:rPr>
          <w:rFonts w:eastAsiaTheme="minorEastAsia"/>
          <w:sz w:val="28"/>
          <w:szCs w:val="28"/>
          <w:lang w:eastAsia="ru-RU"/>
        </w:rPr>
        <w:t xml:space="preserve">Также ведутся работы по проектированию детского сада </w:t>
      </w:r>
      <w:proofErr w:type="spellStart"/>
      <w:r w:rsidRPr="00147A4E">
        <w:rPr>
          <w:rFonts w:eastAsiaTheme="minorEastAsia"/>
          <w:sz w:val="28"/>
          <w:szCs w:val="28"/>
          <w:lang w:eastAsia="ru-RU"/>
        </w:rPr>
        <w:t>мкр</w:t>
      </w:r>
      <w:proofErr w:type="spellEnd"/>
      <w:r w:rsidRPr="00147A4E">
        <w:rPr>
          <w:rFonts w:eastAsiaTheme="minorEastAsia"/>
          <w:sz w:val="28"/>
          <w:szCs w:val="28"/>
          <w:lang w:eastAsia="ru-RU"/>
        </w:rPr>
        <w:t xml:space="preserve">. «Калина» на 350 мест (планируемый срок получения заключения государственной </w:t>
      </w:r>
      <w:r w:rsidRPr="00147A4E">
        <w:rPr>
          <w:rFonts w:eastAsiaTheme="minorEastAsia"/>
          <w:sz w:val="28"/>
          <w:szCs w:val="28"/>
          <w:lang w:eastAsia="ru-RU"/>
        </w:rPr>
        <w:lastRenderedPageBreak/>
        <w:t xml:space="preserve">экспертизы по </w:t>
      </w:r>
      <w:proofErr w:type="spellStart"/>
      <w:r w:rsidRPr="00147A4E">
        <w:rPr>
          <w:rFonts w:eastAsiaTheme="minorEastAsia"/>
          <w:sz w:val="28"/>
          <w:szCs w:val="28"/>
          <w:lang w:eastAsia="ru-RU"/>
        </w:rPr>
        <w:t>проектно</w:t>
      </w:r>
      <w:proofErr w:type="spellEnd"/>
      <w:r w:rsidRPr="00147A4E">
        <w:rPr>
          <w:rFonts w:eastAsiaTheme="minorEastAsia"/>
          <w:sz w:val="28"/>
          <w:szCs w:val="28"/>
          <w:lang w:eastAsia="ru-RU"/>
        </w:rPr>
        <w:t xml:space="preserve"> – сметной документации до 01.12.2021) и детского сада ЛДС-1 в составе 1 этапа в 14 а квартале Автозаводского района (планируемый срок получения заключения государственной экспертизы по </w:t>
      </w:r>
      <w:proofErr w:type="spellStart"/>
      <w:r w:rsidRPr="00147A4E">
        <w:rPr>
          <w:rFonts w:eastAsiaTheme="minorEastAsia"/>
          <w:sz w:val="28"/>
          <w:szCs w:val="28"/>
          <w:lang w:eastAsia="ru-RU"/>
        </w:rPr>
        <w:t>проектно</w:t>
      </w:r>
      <w:proofErr w:type="spellEnd"/>
      <w:r w:rsidRPr="00147A4E">
        <w:rPr>
          <w:rFonts w:eastAsiaTheme="minorEastAsia"/>
          <w:sz w:val="28"/>
          <w:szCs w:val="28"/>
          <w:lang w:eastAsia="ru-RU"/>
        </w:rPr>
        <w:t xml:space="preserve"> – сметной документации ноябрь – декабрь 2021 г.).</w:t>
      </w:r>
    </w:p>
    <w:p w14:paraId="49DB5A5B" w14:textId="34E0EE7E" w:rsidR="00147A4E" w:rsidRPr="00147A4E" w:rsidRDefault="00147A4E" w:rsidP="00147A4E">
      <w:pPr>
        <w:spacing w:line="276" w:lineRule="auto"/>
        <w:rPr>
          <w:rFonts w:eastAsiaTheme="minorEastAsia"/>
          <w:sz w:val="28"/>
          <w:szCs w:val="28"/>
          <w:lang w:eastAsia="ru-RU"/>
        </w:rPr>
      </w:pPr>
      <w:r w:rsidRPr="00147A4E">
        <w:rPr>
          <w:rFonts w:eastAsiaTheme="minorEastAsia"/>
          <w:sz w:val="28"/>
          <w:szCs w:val="28"/>
          <w:lang w:eastAsia="ru-RU"/>
        </w:rPr>
        <w:t>Кроме того, начато строительство общеобразовательной школы на 1600 мест, расположенной в 20 квартале Автозаводского района. В 2021 году начат 1 этап строительства на сумму около 381,4 млн. руб</w:t>
      </w:r>
      <w:r w:rsidR="00B23793">
        <w:rPr>
          <w:rFonts w:eastAsiaTheme="minorEastAsia"/>
          <w:sz w:val="28"/>
          <w:szCs w:val="28"/>
          <w:lang w:eastAsia="ru-RU"/>
        </w:rPr>
        <w:t>лей</w:t>
      </w:r>
      <w:r w:rsidRPr="00147A4E">
        <w:rPr>
          <w:rFonts w:eastAsiaTheme="minorEastAsia"/>
          <w:sz w:val="28"/>
          <w:szCs w:val="28"/>
          <w:lang w:eastAsia="ru-RU"/>
        </w:rPr>
        <w:t xml:space="preserve"> (376,4 млн. руб</w:t>
      </w:r>
      <w:r w:rsidR="00B23793">
        <w:rPr>
          <w:rFonts w:eastAsiaTheme="minorEastAsia"/>
          <w:sz w:val="28"/>
          <w:szCs w:val="28"/>
          <w:lang w:eastAsia="ru-RU"/>
        </w:rPr>
        <w:t>лей</w:t>
      </w:r>
      <w:r w:rsidRPr="00147A4E">
        <w:rPr>
          <w:rFonts w:eastAsiaTheme="minorEastAsia"/>
          <w:sz w:val="28"/>
          <w:szCs w:val="28"/>
          <w:lang w:eastAsia="ru-RU"/>
        </w:rPr>
        <w:t xml:space="preserve"> - средства областного бюджета, 4,9 млн. руб</w:t>
      </w:r>
      <w:r w:rsidR="00B23793">
        <w:rPr>
          <w:rFonts w:eastAsiaTheme="minorEastAsia"/>
          <w:sz w:val="28"/>
          <w:szCs w:val="28"/>
          <w:lang w:eastAsia="ru-RU"/>
        </w:rPr>
        <w:t>лей</w:t>
      </w:r>
      <w:r w:rsidRPr="00147A4E">
        <w:rPr>
          <w:rFonts w:eastAsiaTheme="minorEastAsia"/>
          <w:sz w:val="28"/>
          <w:szCs w:val="28"/>
          <w:lang w:eastAsia="ru-RU"/>
        </w:rPr>
        <w:t xml:space="preserve"> - средства бюджета городского округа Тольятти). </w:t>
      </w:r>
    </w:p>
    <w:p w14:paraId="7F2643A6" w14:textId="77777777" w:rsidR="00147A4E" w:rsidRPr="00147A4E" w:rsidRDefault="00147A4E" w:rsidP="00147A4E">
      <w:pPr>
        <w:spacing w:line="276" w:lineRule="auto"/>
        <w:rPr>
          <w:rFonts w:eastAsiaTheme="minorEastAsia"/>
          <w:sz w:val="28"/>
          <w:szCs w:val="28"/>
          <w:lang w:eastAsia="ru-RU"/>
        </w:rPr>
      </w:pPr>
      <w:r w:rsidRPr="00147A4E">
        <w:rPr>
          <w:rFonts w:eastAsiaTheme="minorEastAsia"/>
          <w:sz w:val="28"/>
          <w:szCs w:val="28"/>
          <w:lang w:eastAsia="ru-RU"/>
        </w:rPr>
        <w:t>Также определено место под строительство школы на 675 мест, расположенной в 18 квартале Автозаводского района. Проектно-сметная документация на данный объект проходит процедуру государственной экспертизы.</w:t>
      </w:r>
    </w:p>
    <w:p w14:paraId="79FE3B66" w14:textId="70D5F488" w:rsidR="00147A4E" w:rsidRDefault="00147A4E" w:rsidP="00147A4E">
      <w:pPr>
        <w:spacing w:line="276" w:lineRule="auto"/>
        <w:rPr>
          <w:rFonts w:eastAsiaTheme="minorEastAsia"/>
          <w:sz w:val="28"/>
          <w:szCs w:val="28"/>
          <w:lang w:eastAsia="ru-RU"/>
        </w:rPr>
      </w:pPr>
      <w:r w:rsidRPr="00147A4E">
        <w:rPr>
          <w:rFonts w:eastAsiaTheme="minorEastAsia"/>
          <w:sz w:val="28"/>
          <w:szCs w:val="28"/>
          <w:lang w:eastAsia="ru-RU"/>
        </w:rPr>
        <w:t>Участием в программах федерального и регионального значения решаются проблемы, связанные как с соблюдением в зданиях требований пожарной безопасности, так и с улучшением инфраструктуры. Проведена работа по подготовке необходимого пакета документов на капитальный ремонт АПС и СОУЭ в МБУ школах №№ 21, 28, 82, 13, 69, 1, 93, 84, 10, 94, 47, 61, 55, 11, гимназии № 77, лицея № 76, МБОУ ДО «Мечта, МБОУ ДО ДДЮТ. Документы направлены   в министерство образования и науки Самарской области.</w:t>
      </w:r>
    </w:p>
    <w:p w14:paraId="51D5F894" w14:textId="2A3B718F" w:rsidR="00597F88" w:rsidRPr="00E85D7F" w:rsidRDefault="00597F88" w:rsidP="00597F88">
      <w:pPr>
        <w:pStyle w:val="aff0"/>
        <w:spacing w:before="120" w:after="120" w:line="276" w:lineRule="auto"/>
        <w:jc w:val="center"/>
        <w:rPr>
          <w:bCs/>
          <w:szCs w:val="28"/>
        </w:rPr>
      </w:pPr>
      <w:r w:rsidRPr="00E85D7F">
        <w:rPr>
          <w:bCs/>
          <w:szCs w:val="28"/>
        </w:rPr>
        <w:t>Ожидаемое выполнение прогнозных показателей по разделу «</w:t>
      </w:r>
      <w:r>
        <w:rPr>
          <w:bCs/>
          <w:szCs w:val="28"/>
        </w:rPr>
        <w:t>Образование</w:t>
      </w:r>
      <w:r w:rsidRPr="00E85D7F">
        <w:rPr>
          <w:bCs/>
          <w:szCs w:val="28"/>
        </w:rPr>
        <w:t>» на 2021 год</w:t>
      </w:r>
    </w:p>
    <w:tbl>
      <w:tblPr>
        <w:tblW w:w="4949" w:type="pct"/>
        <w:tblLook w:val="0000" w:firstRow="0" w:lastRow="0" w:firstColumn="0" w:lastColumn="0" w:noHBand="0" w:noVBand="0"/>
      </w:tblPr>
      <w:tblGrid>
        <w:gridCol w:w="3343"/>
        <w:gridCol w:w="1584"/>
        <w:gridCol w:w="1567"/>
        <w:gridCol w:w="1485"/>
        <w:gridCol w:w="1493"/>
      </w:tblGrid>
      <w:tr w:rsidR="00147A4E" w:rsidRPr="00147A4E" w14:paraId="6088363F" w14:textId="77777777" w:rsidTr="00147A4E">
        <w:trPr>
          <w:trHeight w:val="216"/>
          <w:tblHeader/>
        </w:trPr>
        <w:tc>
          <w:tcPr>
            <w:tcW w:w="1765" w:type="pct"/>
            <w:vMerge w:val="restart"/>
            <w:tcBorders>
              <w:top w:val="single" w:sz="4" w:space="0" w:color="000000"/>
              <w:left w:val="single" w:sz="4" w:space="0" w:color="000000"/>
              <w:bottom w:val="single" w:sz="4" w:space="0" w:color="000000"/>
            </w:tcBorders>
            <w:vAlign w:val="center"/>
          </w:tcPr>
          <w:p w14:paraId="27B77E35" w14:textId="77777777" w:rsidR="00147A4E" w:rsidRPr="00147A4E" w:rsidRDefault="00147A4E" w:rsidP="00147A4E">
            <w:pPr>
              <w:ind w:firstLine="0"/>
              <w:jc w:val="center"/>
              <w:rPr>
                <w:rFonts w:eastAsiaTheme="minorEastAsia"/>
                <w:sz w:val="28"/>
                <w:szCs w:val="28"/>
                <w:lang w:eastAsia="ru-RU"/>
              </w:rPr>
            </w:pPr>
            <w:r w:rsidRPr="00147A4E">
              <w:rPr>
                <w:rFonts w:eastAsiaTheme="minorEastAsia"/>
                <w:sz w:val="28"/>
                <w:szCs w:val="28"/>
                <w:lang w:eastAsia="ru-RU"/>
              </w:rPr>
              <w:t>Показатели</w:t>
            </w:r>
          </w:p>
        </w:tc>
        <w:tc>
          <w:tcPr>
            <w:tcW w:w="836" w:type="pct"/>
            <w:vMerge w:val="restart"/>
            <w:tcBorders>
              <w:top w:val="single" w:sz="4" w:space="0" w:color="000000"/>
              <w:left w:val="single" w:sz="4" w:space="0" w:color="000000"/>
              <w:right w:val="single" w:sz="4" w:space="0" w:color="000000"/>
            </w:tcBorders>
            <w:vAlign w:val="center"/>
          </w:tcPr>
          <w:p w14:paraId="45717572" w14:textId="77777777" w:rsidR="00147A4E" w:rsidRPr="00147A4E" w:rsidRDefault="00147A4E" w:rsidP="00147A4E">
            <w:pPr>
              <w:ind w:firstLine="0"/>
              <w:jc w:val="center"/>
              <w:rPr>
                <w:rFonts w:eastAsiaTheme="minorEastAsia"/>
                <w:sz w:val="28"/>
                <w:szCs w:val="28"/>
                <w:lang w:eastAsia="ru-RU"/>
              </w:rPr>
            </w:pPr>
            <w:r w:rsidRPr="00147A4E">
              <w:rPr>
                <w:rFonts w:eastAsiaTheme="minorEastAsia"/>
                <w:sz w:val="28"/>
                <w:szCs w:val="28"/>
                <w:lang w:eastAsia="ru-RU"/>
              </w:rPr>
              <w:t>Единица измерения</w:t>
            </w:r>
          </w:p>
        </w:tc>
        <w:tc>
          <w:tcPr>
            <w:tcW w:w="1611" w:type="pct"/>
            <w:gridSpan w:val="2"/>
            <w:tcBorders>
              <w:top w:val="single" w:sz="4" w:space="0" w:color="000000"/>
              <w:left w:val="single" w:sz="4" w:space="0" w:color="000000"/>
              <w:bottom w:val="single" w:sz="4" w:space="0" w:color="000000"/>
            </w:tcBorders>
            <w:vAlign w:val="center"/>
          </w:tcPr>
          <w:p w14:paraId="2CB3671D" w14:textId="77777777" w:rsidR="00147A4E" w:rsidRPr="00147A4E" w:rsidRDefault="00147A4E" w:rsidP="00147A4E">
            <w:pPr>
              <w:ind w:firstLine="0"/>
              <w:jc w:val="center"/>
              <w:rPr>
                <w:rFonts w:eastAsiaTheme="minorEastAsia"/>
                <w:sz w:val="28"/>
                <w:szCs w:val="28"/>
                <w:lang w:eastAsia="ru-RU"/>
              </w:rPr>
            </w:pPr>
            <w:r w:rsidRPr="00147A4E">
              <w:rPr>
                <w:rFonts w:eastAsiaTheme="minorEastAsia"/>
                <w:sz w:val="28"/>
                <w:szCs w:val="28"/>
                <w:lang w:eastAsia="ru-RU"/>
              </w:rPr>
              <w:t>Прогноз на 2021 год</w:t>
            </w:r>
          </w:p>
        </w:tc>
        <w:tc>
          <w:tcPr>
            <w:tcW w:w="788" w:type="pct"/>
            <w:vMerge w:val="restart"/>
            <w:tcBorders>
              <w:top w:val="single" w:sz="4" w:space="0" w:color="000000"/>
              <w:left w:val="single" w:sz="4" w:space="0" w:color="000000"/>
              <w:bottom w:val="single" w:sz="4" w:space="0" w:color="000000"/>
              <w:right w:val="single" w:sz="4" w:space="0" w:color="auto"/>
            </w:tcBorders>
            <w:vAlign w:val="center"/>
          </w:tcPr>
          <w:p w14:paraId="79878F0F" w14:textId="77777777" w:rsidR="00147A4E" w:rsidRPr="00147A4E" w:rsidRDefault="00147A4E" w:rsidP="00147A4E">
            <w:pPr>
              <w:ind w:firstLine="0"/>
              <w:jc w:val="center"/>
              <w:rPr>
                <w:rFonts w:eastAsiaTheme="minorEastAsia"/>
                <w:sz w:val="28"/>
                <w:szCs w:val="28"/>
                <w:lang w:eastAsia="ru-RU"/>
              </w:rPr>
            </w:pPr>
            <w:r w:rsidRPr="00147A4E">
              <w:rPr>
                <w:rFonts w:eastAsiaTheme="minorEastAsia"/>
                <w:sz w:val="28"/>
                <w:szCs w:val="28"/>
                <w:lang w:eastAsia="ru-RU"/>
              </w:rPr>
              <w:t>2021 год (оценка)</w:t>
            </w:r>
          </w:p>
        </w:tc>
      </w:tr>
      <w:tr w:rsidR="00147A4E" w:rsidRPr="00147A4E" w14:paraId="3FF94AAC" w14:textId="77777777" w:rsidTr="00147A4E">
        <w:trPr>
          <w:tblHeader/>
        </w:trPr>
        <w:tc>
          <w:tcPr>
            <w:tcW w:w="1765" w:type="pct"/>
            <w:vMerge/>
            <w:tcBorders>
              <w:top w:val="single" w:sz="4" w:space="0" w:color="000000"/>
              <w:left w:val="single" w:sz="4" w:space="0" w:color="000000"/>
              <w:bottom w:val="single" w:sz="4" w:space="0" w:color="000000"/>
            </w:tcBorders>
          </w:tcPr>
          <w:p w14:paraId="6495FC35" w14:textId="77777777" w:rsidR="00147A4E" w:rsidRPr="00147A4E" w:rsidRDefault="00147A4E" w:rsidP="00147A4E">
            <w:pPr>
              <w:snapToGrid w:val="0"/>
              <w:ind w:firstLine="0"/>
              <w:jc w:val="center"/>
              <w:rPr>
                <w:rFonts w:eastAsiaTheme="minorEastAsia"/>
                <w:sz w:val="28"/>
                <w:szCs w:val="28"/>
                <w:lang w:eastAsia="ru-RU"/>
              </w:rPr>
            </w:pPr>
          </w:p>
        </w:tc>
        <w:tc>
          <w:tcPr>
            <w:tcW w:w="836" w:type="pct"/>
            <w:vMerge/>
            <w:tcBorders>
              <w:left w:val="single" w:sz="4" w:space="0" w:color="000000"/>
              <w:bottom w:val="single" w:sz="4" w:space="0" w:color="000000"/>
              <w:right w:val="single" w:sz="4" w:space="0" w:color="000000"/>
            </w:tcBorders>
          </w:tcPr>
          <w:p w14:paraId="68F9579E" w14:textId="77777777" w:rsidR="00147A4E" w:rsidRPr="00147A4E" w:rsidRDefault="00147A4E" w:rsidP="00147A4E">
            <w:pPr>
              <w:ind w:firstLine="0"/>
              <w:jc w:val="center"/>
              <w:rPr>
                <w:rFonts w:eastAsiaTheme="minorEastAsia"/>
                <w:sz w:val="28"/>
                <w:szCs w:val="28"/>
                <w:lang w:eastAsia="ru-RU"/>
              </w:rPr>
            </w:pPr>
          </w:p>
        </w:tc>
        <w:tc>
          <w:tcPr>
            <w:tcW w:w="827" w:type="pct"/>
            <w:tcBorders>
              <w:top w:val="single" w:sz="4" w:space="0" w:color="000000"/>
              <w:left w:val="single" w:sz="4" w:space="0" w:color="000000"/>
              <w:bottom w:val="single" w:sz="4" w:space="0" w:color="000000"/>
            </w:tcBorders>
            <w:vAlign w:val="center"/>
          </w:tcPr>
          <w:p w14:paraId="40A3247C" w14:textId="77777777" w:rsidR="00147A4E" w:rsidRPr="00147A4E" w:rsidRDefault="00147A4E" w:rsidP="00147A4E">
            <w:pPr>
              <w:ind w:firstLine="0"/>
              <w:jc w:val="center"/>
              <w:rPr>
                <w:rFonts w:eastAsiaTheme="minorEastAsia"/>
                <w:sz w:val="28"/>
                <w:szCs w:val="28"/>
                <w:lang w:eastAsia="ru-RU"/>
              </w:rPr>
            </w:pPr>
            <w:r w:rsidRPr="00147A4E">
              <w:rPr>
                <w:rFonts w:eastAsiaTheme="minorEastAsia"/>
                <w:sz w:val="28"/>
                <w:szCs w:val="28"/>
                <w:lang w:eastAsia="ru-RU"/>
              </w:rPr>
              <w:t>1 вариант (консерва</w:t>
            </w:r>
          </w:p>
          <w:p w14:paraId="4DBB8BF4" w14:textId="77777777" w:rsidR="00147A4E" w:rsidRPr="00147A4E" w:rsidRDefault="00147A4E" w:rsidP="00147A4E">
            <w:pPr>
              <w:ind w:firstLine="0"/>
              <w:jc w:val="center"/>
              <w:rPr>
                <w:rFonts w:eastAsiaTheme="minorEastAsia"/>
                <w:sz w:val="28"/>
                <w:szCs w:val="28"/>
                <w:lang w:eastAsia="ru-RU"/>
              </w:rPr>
            </w:pPr>
            <w:proofErr w:type="spellStart"/>
            <w:r w:rsidRPr="00147A4E">
              <w:rPr>
                <w:rFonts w:eastAsiaTheme="minorEastAsia"/>
                <w:sz w:val="28"/>
                <w:szCs w:val="28"/>
                <w:lang w:eastAsia="ru-RU"/>
              </w:rPr>
              <w:t>тивный</w:t>
            </w:r>
            <w:proofErr w:type="spellEnd"/>
            <w:r w:rsidRPr="00147A4E">
              <w:rPr>
                <w:rFonts w:eastAsiaTheme="minorEastAsia"/>
                <w:sz w:val="28"/>
                <w:szCs w:val="28"/>
                <w:lang w:eastAsia="ru-RU"/>
              </w:rPr>
              <w:t>)</w:t>
            </w:r>
          </w:p>
        </w:tc>
        <w:tc>
          <w:tcPr>
            <w:tcW w:w="784" w:type="pct"/>
            <w:tcBorders>
              <w:top w:val="single" w:sz="4" w:space="0" w:color="000000"/>
              <w:left w:val="single" w:sz="4" w:space="0" w:color="000000"/>
              <w:bottom w:val="single" w:sz="4" w:space="0" w:color="000000"/>
            </w:tcBorders>
            <w:vAlign w:val="center"/>
          </w:tcPr>
          <w:p w14:paraId="2EF4E07D" w14:textId="77777777" w:rsidR="00147A4E" w:rsidRPr="00147A4E" w:rsidRDefault="00147A4E" w:rsidP="00147A4E">
            <w:pPr>
              <w:ind w:firstLine="0"/>
              <w:jc w:val="center"/>
              <w:rPr>
                <w:rFonts w:eastAsiaTheme="minorEastAsia"/>
                <w:sz w:val="28"/>
                <w:szCs w:val="28"/>
                <w:lang w:eastAsia="ru-RU"/>
              </w:rPr>
            </w:pPr>
            <w:r w:rsidRPr="00147A4E">
              <w:rPr>
                <w:rFonts w:eastAsiaTheme="minorEastAsia"/>
                <w:sz w:val="28"/>
                <w:szCs w:val="28"/>
                <w:lang w:eastAsia="ru-RU"/>
              </w:rPr>
              <w:t>2 вариант</w:t>
            </w:r>
          </w:p>
          <w:p w14:paraId="0354F4E1" w14:textId="77777777" w:rsidR="00147A4E" w:rsidRPr="00147A4E" w:rsidRDefault="00147A4E" w:rsidP="00147A4E">
            <w:pPr>
              <w:ind w:firstLine="0"/>
              <w:jc w:val="center"/>
              <w:rPr>
                <w:rFonts w:eastAsiaTheme="minorEastAsia"/>
                <w:sz w:val="28"/>
                <w:szCs w:val="28"/>
                <w:lang w:eastAsia="ru-RU"/>
              </w:rPr>
            </w:pPr>
            <w:r w:rsidRPr="00147A4E">
              <w:rPr>
                <w:rFonts w:eastAsiaTheme="minorEastAsia"/>
                <w:sz w:val="28"/>
                <w:szCs w:val="28"/>
                <w:lang w:eastAsia="ru-RU"/>
              </w:rPr>
              <w:t>(базовый)</w:t>
            </w:r>
          </w:p>
        </w:tc>
        <w:tc>
          <w:tcPr>
            <w:tcW w:w="788" w:type="pct"/>
            <w:vMerge/>
            <w:tcBorders>
              <w:top w:val="single" w:sz="4" w:space="0" w:color="000000"/>
              <w:left w:val="single" w:sz="4" w:space="0" w:color="000000"/>
              <w:bottom w:val="single" w:sz="4" w:space="0" w:color="000000"/>
              <w:right w:val="single" w:sz="4" w:space="0" w:color="auto"/>
            </w:tcBorders>
          </w:tcPr>
          <w:p w14:paraId="6D430A91" w14:textId="77777777" w:rsidR="00147A4E" w:rsidRPr="00147A4E" w:rsidRDefault="00147A4E" w:rsidP="00147A4E">
            <w:pPr>
              <w:snapToGrid w:val="0"/>
              <w:ind w:firstLine="0"/>
              <w:jc w:val="center"/>
              <w:rPr>
                <w:rFonts w:eastAsiaTheme="minorEastAsia"/>
                <w:sz w:val="28"/>
                <w:szCs w:val="28"/>
                <w:lang w:eastAsia="ru-RU"/>
              </w:rPr>
            </w:pPr>
          </w:p>
        </w:tc>
      </w:tr>
      <w:tr w:rsidR="00147A4E" w:rsidRPr="00147A4E" w14:paraId="59DF03DE" w14:textId="77777777" w:rsidTr="00147A4E">
        <w:trPr>
          <w:trHeight w:val="694"/>
        </w:trPr>
        <w:tc>
          <w:tcPr>
            <w:tcW w:w="1765" w:type="pct"/>
            <w:tcBorders>
              <w:top w:val="single" w:sz="4" w:space="0" w:color="000000"/>
              <w:left w:val="single" w:sz="4" w:space="0" w:color="000000"/>
              <w:bottom w:val="single" w:sz="4" w:space="0" w:color="000000"/>
            </w:tcBorders>
          </w:tcPr>
          <w:p w14:paraId="59B28BEA" w14:textId="77777777" w:rsidR="00147A4E" w:rsidRPr="00147A4E" w:rsidRDefault="00147A4E" w:rsidP="00147A4E">
            <w:pPr>
              <w:ind w:firstLine="0"/>
              <w:rPr>
                <w:rFonts w:eastAsiaTheme="minorEastAsia"/>
                <w:sz w:val="28"/>
                <w:szCs w:val="28"/>
                <w:lang w:eastAsia="ru-RU"/>
              </w:rPr>
            </w:pPr>
            <w:r w:rsidRPr="00147A4E">
              <w:rPr>
                <w:rFonts w:eastAsiaTheme="minorEastAsia"/>
                <w:sz w:val="28"/>
                <w:szCs w:val="28"/>
                <w:lang w:eastAsia="ru-RU"/>
              </w:rPr>
              <w:t>Численность детей в возрасте 1-6 лет</w:t>
            </w:r>
          </w:p>
        </w:tc>
        <w:tc>
          <w:tcPr>
            <w:tcW w:w="836" w:type="pct"/>
            <w:tcBorders>
              <w:top w:val="single" w:sz="4" w:space="0" w:color="000000"/>
              <w:left w:val="single" w:sz="4" w:space="0" w:color="000000"/>
              <w:bottom w:val="single" w:sz="4" w:space="0" w:color="000000"/>
              <w:right w:val="single" w:sz="4" w:space="0" w:color="000000"/>
            </w:tcBorders>
            <w:vAlign w:val="center"/>
          </w:tcPr>
          <w:p w14:paraId="31AE6B46" w14:textId="77777777" w:rsidR="00147A4E" w:rsidRPr="00147A4E" w:rsidRDefault="00147A4E" w:rsidP="00147A4E">
            <w:pPr>
              <w:ind w:firstLine="0"/>
              <w:jc w:val="center"/>
              <w:rPr>
                <w:rFonts w:eastAsiaTheme="minorEastAsia"/>
                <w:sz w:val="28"/>
                <w:szCs w:val="28"/>
                <w:lang w:eastAsia="ru-RU"/>
              </w:rPr>
            </w:pPr>
            <w:r w:rsidRPr="00147A4E">
              <w:rPr>
                <w:rFonts w:eastAsiaTheme="minorEastAsia"/>
                <w:sz w:val="28"/>
                <w:szCs w:val="28"/>
                <w:lang w:eastAsia="ru-RU"/>
              </w:rPr>
              <w:t>человек</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0B56190D" w14:textId="77777777" w:rsidR="00147A4E" w:rsidRPr="00147A4E" w:rsidRDefault="00147A4E" w:rsidP="00147A4E">
            <w:pPr>
              <w:suppressAutoHyphens w:val="0"/>
              <w:ind w:firstLine="0"/>
              <w:jc w:val="center"/>
              <w:rPr>
                <w:rFonts w:eastAsiaTheme="minorEastAsia"/>
                <w:sz w:val="28"/>
                <w:szCs w:val="28"/>
                <w:lang w:eastAsia="ru-RU"/>
              </w:rPr>
            </w:pPr>
            <w:r w:rsidRPr="00147A4E">
              <w:rPr>
                <w:rFonts w:eastAsiaTheme="minorEastAsia"/>
                <w:sz w:val="28"/>
                <w:szCs w:val="28"/>
                <w:lang w:eastAsia="ru-RU"/>
              </w:rPr>
              <w:t>47 457</w:t>
            </w:r>
          </w:p>
        </w:tc>
        <w:tc>
          <w:tcPr>
            <w:tcW w:w="784" w:type="pct"/>
            <w:tcBorders>
              <w:top w:val="single" w:sz="4" w:space="0" w:color="auto"/>
              <w:left w:val="nil"/>
              <w:bottom w:val="single" w:sz="4" w:space="0" w:color="auto"/>
              <w:right w:val="single" w:sz="4" w:space="0" w:color="auto"/>
            </w:tcBorders>
            <w:shd w:val="clear" w:color="auto" w:fill="auto"/>
            <w:vAlign w:val="center"/>
          </w:tcPr>
          <w:p w14:paraId="010BB92E" w14:textId="77777777" w:rsidR="00147A4E" w:rsidRPr="00147A4E" w:rsidRDefault="00147A4E" w:rsidP="00147A4E">
            <w:pPr>
              <w:ind w:firstLine="0"/>
              <w:jc w:val="center"/>
              <w:rPr>
                <w:rFonts w:eastAsiaTheme="minorEastAsia"/>
                <w:sz w:val="28"/>
                <w:szCs w:val="28"/>
                <w:lang w:eastAsia="ru-RU"/>
              </w:rPr>
            </w:pPr>
            <w:r w:rsidRPr="00147A4E">
              <w:rPr>
                <w:rFonts w:eastAsiaTheme="minorEastAsia"/>
                <w:sz w:val="28"/>
                <w:szCs w:val="28"/>
                <w:lang w:eastAsia="ru-RU"/>
              </w:rPr>
              <w:t>47 457</w:t>
            </w:r>
          </w:p>
        </w:tc>
        <w:tc>
          <w:tcPr>
            <w:tcW w:w="788" w:type="pct"/>
            <w:tcBorders>
              <w:top w:val="single" w:sz="4" w:space="0" w:color="000000"/>
              <w:left w:val="single" w:sz="4" w:space="0" w:color="000000"/>
              <w:bottom w:val="single" w:sz="4" w:space="0" w:color="000000"/>
              <w:right w:val="single" w:sz="4" w:space="0" w:color="auto"/>
            </w:tcBorders>
            <w:vAlign w:val="center"/>
          </w:tcPr>
          <w:p w14:paraId="39CBC8B1" w14:textId="77777777" w:rsidR="00147A4E" w:rsidRPr="00147A4E" w:rsidRDefault="00147A4E" w:rsidP="00147A4E">
            <w:pPr>
              <w:shd w:val="clear" w:color="auto" w:fill="FFFFFF"/>
              <w:snapToGrid w:val="0"/>
              <w:ind w:firstLine="0"/>
              <w:jc w:val="center"/>
              <w:rPr>
                <w:rFonts w:eastAsiaTheme="minorEastAsia"/>
                <w:sz w:val="28"/>
                <w:szCs w:val="28"/>
                <w:lang w:eastAsia="ru-RU"/>
              </w:rPr>
            </w:pPr>
            <w:r w:rsidRPr="00147A4E">
              <w:rPr>
                <w:rFonts w:eastAsiaTheme="minorEastAsia"/>
                <w:sz w:val="28"/>
                <w:szCs w:val="28"/>
                <w:lang w:eastAsia="ru-RU"/>
              </w:rPr>
              <w:t>45 678</w:t>
            </w:r>
          </w:p>
        </w:tc>
      </w:tr>
      <w:tr w:rsidR="00147A4E" w:rsidRPr="00147A4E" w14:paraId="716B47A4" w14:textId="77777777" w:rsidTr="00147A4E">
        <w:trPr>
          <w:trHeight w:val="694"/>
        </w:trPr>
        <w:tc>
          <w:tcPr>
            <w:tcW w:w="1765" w:type="pct"/>
            <w:tcBorders>
              <w:top w:val="single" w:sz="4" w:space="0" w:color="000000"/>
              <w:left w:val="single" w:sz="4" w:space="0" w:color="000000"/>
              <w:bottom w:val="single" w:sz="4" w:space="0" w:color="000000"/>
            </w:tcBorders>
          </w:tcPr>
          <w:p w14:paraId="5BA45196" w14:textId="77777777" w:rsidR="00147A4E" w:rsidRPr="00147A4E" w:rsidRDefault="00147A4E" w:rsidP="00147A4E">
            <w:pPr>
              <w:ind w:firstLine="0"/>
              <w:rPr>
                <w:rFonts w:eastAsiaTheme="minorEastAsia"/>
                <w:sz w:val="28"/>
                <w:szCs w:val="28"/>
                <w:lang w:eastAsia="ru-RU"/>
              </w:rPr>
            </w:pPr>
            <w:r w:rsidRPr="00147A4E">
              <w:rPr>
                <w:rFonts w:eastAsiaTheme="minorEastAsia"/>
                <w:sz w:val="28"/>
                <w:szCs w:val="28"/>
                <w:lang w:eastAsia="ru-RU"/>
              </w:rPr>
              <w:t>Численность детей в дошкольных образовательных учреждениях</w:t>
            </w:r>
          </w:p>
        </w:tc>
        <w:tc>
          <w:tcPr>
            <w:tcW w:w="836" w:type="pct"/>
            <w:tcBorders>
              <w:top w:val="single" w:sz="4" w:space="0" w:color="000000"/>
              <w:left w:val="single" w:sz="4" w:space="0" w:color="000000"/>
              <w:bottom w:val="single" w:sz="4" w:space="0" w:color="000000"/>
              <w:right w:val="single" w:sz="4" w:space="0" w:color="000000"/>
            </w:tcBorders>
            <w:vAlign w:val="center"/>
          </w:tcPr>
          <w:p w14:paraId="49DABD96" w14:textId="77777777" w:rsidR="00147A4E" w:rsidRPr="00147A4E" w:rsidRDefault="00147A4E" w:rsidP="00147A4E">
            <w:pPr>
              <w:ind w:firstLine="0"/>
              <w:jc w:val="center"/>
              <w:rPr>
                <w:rFonts w:eastAsiaTheme="minorEastAsia"/>
                <w:sz w:val="28"/>
                <w:szCs w:val="28"/>
                <w:lang w:eastAsia="ru-RU"/>
              </w:rPr>
            </w:pPr>
            <w:r w:rsidRPr="00147A4E">
              <w:rPr>
                <w:rFonts w:eastAsiaTheme="minorEastAsia"/>
                <w:sz w:val="28"/>
                <w:szCs w:val="28"/>
                <w:lang w:eastAsia="ru-RU"/>
              </w:rPr>
              <w:t>человек</w:t>
            </w:r>
          </w:p>
        </w:tc>
        <w:tc>
          <w:tcPr>
            <w:tcW w:w="827" w:type="pct"/>
            <w:tcBorders>
              <w:top w:val="nil"/>
              <w:left w:val="single" w:sz="4" w:space="0" w:color="auto"/>
              <w:bottom w:val="single" w:sz="4" w:space="0" w:color="auto"/>
              <w:right w:val="single" w:sz="4" w:space="0" w:color="auto"/>
            </w:tcBorders>
            <w:shd w:val="clear" w:color="auto" w:fill="auto"/>
            <w:vAlign w:val="center"/>
          </w:tcPr>
          <w:p w14:paraId="67A7F204" w14:textId="77777777" w:rsidR="00147A4E" w:rsidRPr="00147A4E" w:rsidRDefault="00147A4E" w:rsidP="00147A4E">
            <w:pPr>
              <w:ind w:firstLine="0"/>
              <w:jc w:val="center"/>
              <w:rPr>
                <w:rFonts w:eastAsiaTheme="minorEastAsia"/>
                <w:sz w:val="28"/>
                <w:szCs w:val="28"/>
                <w:lang w:eastAsia="ru-RU"/>
              </w:rPr>
            </w:pPr>
            <w:r w:rsidRPr="00147A4E">
              <w:rPr>
                <w:rFonts w:eastAsiaTheme="minorEastAsia"/>
                <w:sz w:val="28"/>
                <w:szCs w:val="28"/>
                <w:lang w:eastAsia="ru-RU"/>
              </w:rPr>
              <w:t>38 228</w:t>
            </w:r>
          </w:p>
        </w:tc>
        <w:tc>
          <w:tcPr>
            <w:tcW w:w="784" w:type="pct"/>
            <w:tcBorders>
              <w:top w:val="nil"/>
              <w:left w:val="nil"/>
              <w:bottom w:val="single" w:sz="4" w:space="0" w:color="auto"/>
              <w:right w:val="single" w:sz="4" w:space="0" w:color="auto"/>
            </w:tcBorders>
            <w:shd w:val="clear" w:color="auto" w:fill="auto"/>
            <w:vAlign w:val="center"/>
          </w:tcPr>
          <w:p w14:paraId="30FC6B15" w14:textId="77777777" w:rsidR="00147A4E" w:rsidRPr="00147A4E" w:rsidRDefault="00147A4E" w:rsidP="00147A4E">
            <w:pPr>
              <w:ind w:firstLine="0"/>
              <w:jc w:val="center"/>
              <w:rPr>
                <w:rFonts w:eastAsiaTheme="minorEastAsia"/>
                <w:sz w:val="28"/>
                <w:szCs w:val="28"/>
                <w:lang w:eastAsia="ru-RU"/>
              </w:rPr>
            </w:pPr>
            <w:r w:rsidRPr="00147A4E">
              <w:rPr>
                <w:rFonts w:eastAsiaTheme="minorEastAsia"/>
                <w:sz w:val="28"/>
                <w:szCs w:val="28"/>
                <w:lang w:eastAsia="ru-RU"/>
              </w:rPr>
              <w:t>38 424</w:t>
            </w:r>
          </w:p>
        </w:tc>
        <w:tc>
          <w:tcPr>
            <w:tcW w:w="788" w:type="pct"/>
            <w:tcBorders>
              <w:top w:val="single" w:sz="4" w:space="0" w:color="000000"/>
              <w:left w:val="single" w:sz="4" w:space="0" w:color="000000"/>
              <w:bottom w:val="single" w:sz="4" w:space="0" w:color="000000"/>
              <w:right w:val="single" w:sz="4" w:space="0" w:color="auto"/>
            </w:tcBorders>
            <w:vAlign w:val="center"/>
          </w:tcPr>
          <w:p w14:paraId="5EA4C01F" w14:textId="77777777" w:rsidR="00147A4E" w:rsidRPr="00147A4E" w:rsidRDefault="00147A4E" w:rsidP="00147A4E">
            <w:pPr>
              <w:ind w:firstLine="0"/>
              <w:jc w:val="center"/>
              <w:rPr>
                <w:rFonts w:eastAsiaTheme="minorEastAsia"/>
                <w:sz w:val="28"/>
                <w:szCs w:val="28"/>
                <w:lang w:eastAsia="ru-RU"/>
              </w:rPr>
            </w:pPr>
            <w:r w:rsidRPr="00147A4E">
              <w:rPr>
                <w:rFonts w:eastAsiaTheme="minorEastAsia"/>
                <w:sz w:val="28"/>
                <w:szCs w:val="28"/>
                <w:lang w:eastAsia="ru-RU"/>
              </w:rPr>
              <w:t>34 954</w:t>
            </w:r>
          </w:p>
        </w:tc>
      </w:tr>
      <w:tr w:rsidR="00147A4E" w:rsidRPr="00147A4E" w14:paraId="3250E365" w14:textId="77777777" w:rsidTr="00147A4E">
        <w:trPr>
          <w:trHeight w:val="703"/>
        </w:trPr>
        <w:tc>
          <w:tcPr>
            <w:tcW w:w="1765" w:type="pct"/>
            <w:tcBorders>
              <w:top w:val="single" w:sz="4" w:space="0" w:color="000000"/>
              <w:left w:val="single" w:sz="4" w:space="0" w:color="000000"/>
              <w:bottom w:val="single" w:sz="4" w:space="0" w:color="000000"/>
            </w:tcBorders>
          </w:tcPr>
          <w:p w14:paraId="3BA84B60" w14:textId="36071F4C" w:rsidR="00525013" w:rsidRPr="00147A4E" w:rsidRDefault="00147A4E" w:rsidP="00282B08">
            <w:pPr>
              <w:ind w:firstLine="0"/>
              <w:rPr>
                <w:rFonts w:eastAsiaTheme="minorEastAsia"/>
                <w:sz w:val="28"/>
                <w:szCs w:val="28"/>
                <w:lang w:eastAsia="ru-RU"/>
              </w:rPr>
            </w:pPr>
            <w:r w:rsidRPr="00147A4E">
              <w:rPr>
                <w:rFonts w:eastAsiaTheme="minorEastAsia"/>
                <w:sz w:val="28"/>
                <w:szCs w:val="28"/>
                <w:lang w:eastAsia="ru-RU"/>
              </w:rPr>
              <w:t>Численность детей, состоящих на учете для определения в дошкольные образовательные учреждения</w:t>
            </w:r>
          </w:p>
        </w:tc>
        <w:tc>
          <w:tcPr>
            <w:tcW w:w="836" w:type="pct"/>
            <w:tcBorders>
              <w:top w:val="single" w:sz="4" w:space="0" w:color="000000"/>
              <w:left w:val="single" w:sz="4" w:space="0" w:color="000000"/>
              <w:bottom w:val="single" w:sz="4" w:space="0" w:color="000000"/>
              <w:right w:val="single" w:sz="4" w:space="0" w:color="000000"/>
            </w:tcBorders>
            <w:vAlign w:val="center"/>
          </w:tcPr>
          <w:p w14:paraId="426071D3" w14:textId="77777777" w:rsidR="00147A4E" w:rsidRPr="00147A4E" w:rsidRDefault="00147A4E" w:rsidP="00147A4E">
            <w:pPr>
              <w:ind w:firstLine="0"/>
              <w:jc w:val="center"/>
              <w:rPr>
                <w:rFonts w:eastAsiaTheme="minorEastAsia"/>
                <w:sz w:val="28"/>
                <w:szCs w:val="28"/>
                <w:lang w:eastAsia="ru-RU"/>
              </w:rPr>
            </w:pPr>
            <w:r w:rsidRPr="00147A4E">
              <w:rPr>
                <w:rFonts w:eastAsiaTheme="minorEastAsia"/>
                <w:sz w:val="28"/>
                <w:szCs w:val="28"/>
                <w:lang w:eastAsia="ru-RU"/>
              </w:rPr>
              <w:t>человек</w:t>
            </w:r>
          </w:p>
        </w:tc>
        <w:tc>
          <w:tcPr>
            <w:tcW w:w="827" w:type="pct"/>
            <w:tcBorders>
              <w:top w:val="nil"/>
              <w:left w:val="single" w:sz="4" w:space="0" w:color="auto"/>
              <w:bottom w:val="single" w:sz="4" w:space="0" w:color="auto"/>
              <w:right w:val="single" w:sz="4" w:space="0" w:color="auto"/>
            </w:tcBorders>
            <w:shd w:val="clear" w:color="auto" w:fill="auto"/>
            <w:vAlign w:val="center"/>
          </w:tcPr>
          <w:p w14:paraId="08FB7E3A" w14:textId="77777777" w:rsidR="00147A4E" w:rsidRPr="00147A4E" w:rsidRDefault="00147A4E" w:rsidP="00147A4E">
            <w:pPr>
              <w:ind w:firstLine="0"/>
              <w:jc w:val="center"/>
              <w:rPr>
                <w:rFonts w:eastAsiaTheme="minorEastAsia"/>
                <w:sz w:val="28"/>
                <w:szCs w:val="28"/>
                <w:lang w:eastAsia="ru-RU"/>
              </w:rPr>
            </w:pPr>
            <w:r w:rsidRPr="00147A4E">
              <w:rPr>
                <w:rFonts w:eastAsiaTheme="minorEastAsia"/>
                <w:sz w:val="28"/>
                <w:szCs w:val="28"/>
                <w:lang w:eastAsia="ru-RU"/>
              </w:rPr>
              <w:t>6 675</w:t>
            </w:r>
          </w:p>
        </w:tc>
        <w:tc>
          <w:tcPr>
            <w:tcW w:w="784" w:type="pct"/>
            <w:tcBorders>
              <w:top w:val="nil"/>
              <w:left w:val="nil"/>
              <w:bottom w:val="single" w:sz="4" w:space="0" w:color="auto"/>
              <w:right w:val="single" w:sz="4" w:space="0" w:color="auto"/>
            </w:tcBorders>
            <w:shd w:val="clear" w:color="auto" w:fill="auto"/>
            <w:vAlign w:val="center"/>
          </w:tcPr>
          <w:p w14:paraId="332630FE" w14:textId="77777777" w:rsidR="00147A4E" w:rsidRPr="00147A4E" w:rsidRDefault="00147A4E" w:rsidP="00147A4E">
            <w:pPr>
              <w:ind w:firstLine="0"/>
              <w:jc w:val="center"/>
              <w:rPr>
                <w:rFonts w:eastAsiaTheme="minorEastAsia"/>
                <w:sz w:val="28"/>
                <w:szCs w:val="28"/>
                <w:lang w:eastAsia="ru-RU"/>
              </w:rPr>
            </w:pPr>
            <w:r w:rsidRPr="00147A4E">
              <w:rPr>
                <w:rFonts w:eastAsiaTheme="minorEastAsia"/>
                <w:sz w:val="28"/>
                <w:szCs w:val="28"/>
                <w:lang w:eastAsia="ru-RU"/>
              </w:rPr>
              <w:t>6 477</w:t>
            </w:r>
          </w:p>
        </w:tc>
        <w:tc>
          <w:tcPr>
            <w:tcW w:w="788" w:type="pct"/>
            <w:tcBorders>
              <w:top w:val="single" w:sz="4" w:space="0" w:color="000000"/>
              <w:left w:val="single" w:sz="4" w:space="0" w:color="000000"/>
              <w:bottom w:val="single" w:sz="4" w:space="0" w:color="000000"/>
              <w:right w:val="single" w:sz="4" w:space="0" w:color="auto"/>
            </w:tcBorders>
            <w:vAlign w:val="center"/>
          </w:tcPr>
          <w:p w14:paraId="5B324368" w14:textId="77777777" w:rsidR="00147A4E" w:rsidRPr="00147A4E" w:rsidRDefault="00147A4E" w:rsidP="00147A4E">
            <w:pPr>
              <w:ind w:firstLine="0"/>
              <w:jc w:val="center"/>
              <w:rPr>
                <w:rFonts w:eastAsiaTheme="minorEastAsia"/>
                <w:sz w:val="28"/>
                <w:szCs w:val="28"/>
                <w:lang w:eastAsia="ru-RU"/>
              </w:rPr>
            </w:pPr>
            <w:r w:rsidRPr="00147A4E">
              <w:rPr>
                <w:rFonts w:eastAsiaTheme="minorEastAsia"/>
                <w:sz w:val="28"/>
                <w:szCs w:val="28"/>
                <w:lang w:eastAsia="ru-RU"/>
              </w:rPr>
              <w:t>5 790</w:t>
            </w:r>
          </w:p>
        </w:tc>
      </w:tr>
      <w:tr w:rsidR="00147A4E" w:rsidRPr="00147A4E" w14:paraId="3AD2D916" w14:textId="77777777" w:rsidTr="00147A4E">
        <w:trPr>
          <w:trHeight w:val="347"/>
        </w:trPr>
        <w:tc>
          <w:tcPr>
            <w:tcW w:w="1765" w:type="pct"/>
            <w:tcBorders>
              <w:top w:val="single" w:sz="4" w:space="0" w:color="000000"/>
              <w:left w:val="single" w:sz="4" w:space="0" w:color="000000"/>
              <w:bottom w:val="single" w:sz="4" w:space="0" w:color="000000"/>
            </w:tcBorders>
          </w:tcPr>
          <w:p w14:paraId="643061C5" w14:textId="77777777" w:rsidR="00147A4E" w:rsidRPr="00147A4E" w:rsidRDefault="00147A4E" w:rsidP="00147A4E">
            <w:pPr>
              <w:ind w:firstLine="0"/>
              <w:rPr>
                <w:rFonts w:eastAsiaTheme="minorEastAsia"/>
                <w:sz w:val="28"/>
                <w:szCs w:val="28"/>
                <w:lang w:eastAsia="ru-RU"/>
              </w:rPr>
            </w:pPr>
            <w:r w:rsidRPr="00147A4E">
              <w:rPr>
                <w:rFonts w:eastAsiaTheme="minorEastAsia"/>
                <w:sz w:val="28"/>
                <w:szCs w:val="28"/>
                <w:lang w:eastAsia="ru-RU"/>
              </w:rPr>
              <w:t>в т.ч. в возрасте 3-6 лет</w:t>
            </w:r>
          </w:p>
        </w:tc>
        <w:tc>
          <w:tcPr>
            <w:tcW w:w="836" w:type="pct"/>
            <w:tcBorders>
              <w:top w:val="single" w:sz="4" w:space="0" w:color="000000"/>
              <w:left w:val="single" w:sz="4" w:space="0" w:color="000000"/>
              <w:bottom w:val="single" w:sz="4" w:space="0" w:color="000000"/>
              <w:right w:val="single" w:sz="4" w:space="0" w:color="000000"/>
            </w:tcBorders>
            <w:vAlign w:val="center"/>
          </w:tcPr>
          <w:p w14:paraId="2F23B8BB" w14:textId="77777777" w:rsidR="00147A4E" w:rsidRPr="00147A4E" w:rsidRDefault="00147A4E" w:rsidP="00147A4E">
            <w:pPr>
              <w:ind w:firstLine="0"/>
              <w:jc w:val="center"/>
              <w:rPr>
                <w:rFonts w:eastAsiaTheme="minorEastAsia"/>
                <w:sz w:val="28"/>
                <w:szCs w:val="28"/>
                <w:lang w:eastAsia="ru-RU"/>
              </w:rPr>
            </w:pPr>
            <w:r w:rsidRPr="00147A4E">
              <w:rPr>
                <w:rFonts w:eastAsiaTheme="minorEastAsia"/>
                <w:sz w:val="28"/>
                <w:szCs w:val="28"/>
                <w:lang w:eastAsia="ru-RU"/>
              </w:rPr>
              <w:t>человек</w:t>
            </w:r>
          </w:p>
        </w:tc>
        <w:tc>
          <w:tcPr>
            <w:tcW w:w="827" w:type="pct"/>
            <w:tcBorders>
              <w:top w:val="nil"/>
              <w:left w:val="single" w:sz="4" w:space="0" w:color="auto"/>
              <w:bottom w:val="single" w:sz="4" w:space="0" w:color="auto"/>
              <w:right w:val="single" w:sz="4" w:space="0" w:color="auto"/>
            </w:tcBorders>
            <w:shd w:val="clear" w:color="auto" w:fill="auto"/>
            <w:vAlign w:val="center"/>
          </w:tcPr>
          <w:p w14:paraId="0872A292" w14:textId="77777777" w:rsidR="00147A4E" w:rsidRPr="00147A4E" w:rsidRDefault="00147A4E" w:rsidP="00147A4E">
            <w:pPr>
              <w:ind w:firstLine="0"/>
              <w:jc w:val="center"/>
              <w:rPr>
                <w:rFonts w:eastAsiaTheme="minorEastAsia"/>
                <w:sz w:val="28"/>
                <w:szCs w:val="28"/>
                <w:lang w:eastAsia="ru-RU"/>
              </w:rPr>
            </w:pPr>
            <w:r w:rsidRPr="00147A4E">
              <w:rPr>
                <w:rFonts w:eastAsiaTheme="minorEastAsia"/>
                <w:sz w:val="28"/>
                <w:szCs w:val="28"/>
                <w:lang w:eastAsia="ru-RU"/>
              </w:rPr>
              <w:t>0</w:t>
            </w:r>
          </w:p>
        </w:tc>
        <w:tc>
          <w:tcPr>
            <w:tcW w:w="784" w:type="pct"/>
            <w:tcBorders>
              <w:top w:val="nil"/>
              <w:left w:val="nil"/>
              <w:bottom w:val="single" w:sz="4" w:space="0" w:color="auto"/>
              <w:right w:val="single" w:sz="4" w:space="0" w:color="auto"/>
            </w:tcBorders>
            <w:shd w:val="clear" w:color="auto" w:fill="auto"/>
            <w:vAlign w:val="center"/>
          </w:tcPr>
          <w:p w14:paraId="30D37D34" w14:textId="77777777" w:rsidR="00147A4E" w:rsidRPr="00147A4E" w:rsidRDefault="00147A4E" w:rsidP="00147A4E">
            <w:pPr>
              <w:ind w:firstLine="0"/>
              <w:jc w:val="center"/>
              <w:rPr>
                <w:rFonts w:eastAsiaTheme="minorEastAsia"/>
                <w:sz w:val="28"/>
                <w:szCs w:val="28"/>
                <w:lang w:eastAsia="ru-RU"/>
              </w:rPr>
            </w:pPr>
            <w:r w:rsidRPr="00147A4E">
              <w:rPr>
                <w:rFonts w:eastAsiaTheme="minorEastAsia"/>
                <w:sz w:val="28"/>
                <w:szCs w:val="28"/>
                <w:lang w:eastAsia="ru-RU"/>
              </w:rPr>
              <w:t>0</w:t>
            </w:r>
          </w:p>
        </w:tc>
        <w:tc>
          <w:tcPr>
            <w:tcW w:w="788" w:type="pct"/>
            <w:tcBorders>
              <w:top w:val="single" w:sz="4" w:space="0" w:color="000000"/>
              <w:left w:val="single" w:sz="4" w:space="0" w:color="000000"/>
              <w:bottom w:val="single" w:sz="4" w:space="0" w:color="000000"/>
              <w:right w:val="single" w:sz="4" w:space="0" w:color="auto"/>
            </w:tcBorders>
            <w:vAlign w:val="center"/>
          </w:tcPr>
          <w:p w14:paraId="3C76F647" w14:textId="77777777" w:rsidR="00147A4E" w:rsidRPr="00147A4E" w:rsidRDefault="00147A4E" w:rsidP="00147A4E">
            <w:pPr>
              <w:ind w:firstLine="0"/>
              <w:jc w:val="center"/>
              <w:rPr>
                <w:rFonts w:eastAsiaTheme="minorEastAsia"/>
                <w:sz w:val="28"/>
                <w:szCs w:val="28"/>
                <w:lang w:eastAsia="ru-RU"/>
              </w:rPr>
            </w:pPr>
            <w:r w:rsidRPr="00147A4E">
              <w:rPr>
                <w:rFonts w:eastAsiaTheme="minorEastAsia"/>
                <w:sz w:val="28"/>
                <w:szCs w:val="28"/>
                <w:lang w:eastAsia="ru-RU"/>
              </w:rPr>
              <w:t>269</w:t>
            </w:r>
          </w:p>
        </w:tc>
      </w:tr>
      <w:tr w:rsidR="00147A4E" w:rsidRPr="00147A4E" w14:paraId="174695D1" w14:textId="77777777" w:rsidTr="00147A4E">
        <w:trPr>
          <w:trHeight w:val="703"/>
        </w:trPr>
        <w:tc>
          <w:tcPr>
            <w:tcW w:w="1765" w:type="pct"/>
            <w:tcBorders>
              <w:top w:val="single" w:sz="4" w:space="0" w:color="000000"/>
              <w:left w:val="single" w:sz="4" w:space="0" w:color="000000"/>
              <w:bottom w:val="single" w:sz="4" w:space="0" w:color="000000"/>
            </w:tcBorders>
          </w:tcPr>
          <w:p w14:paraId="45DEEBEC" w14:textId="77777777" w:rsidR="00147A4E" w:rsidRPr="00147A4E" w:rsidRDefault="00147A4E" w:rsidP="00147A4E">
            <w:pPr>
              <w:ind w:firstLine="0"/>
              <w:rPr>
                <w:rFonts w:eastAsiaTheme="minorEastAsia"/>
                <w:sz w:val="28"/>
                <w:szCs w:val="28"/>
                <w:lang w:eastAsia="ru-RU"/>
              </w:rPr>
            </w:pPr>
            <w:r w:rsidRPr="00147A4E">
              <w:rPr>
                <w:rFonts w:eastAsiaTheme="minorEastAsia"/>
                <w:sz w:val="28"/>
                <w:szCs w:val="28"/>
                <w:lang w:eastAsia="ru-RU"/>
              </w:rPr>
              <w:lastRenderedPageBreak/>
              <w:t>Обеспеченность дошкольными образовательными учреждениями</w:t>
            </w:r>
          </w:p>
        </w:tc>
        <w:tc>
          <w:tcPr>
            <w:tcW w:w="836" w:type="pct"/>
            <w:tcBorders>
              <w:top w:val="single" w:sz="4" w:space="0" w:color="000000"/>
              <w:left w:val="single" w:sz="4" w:space="0" w:color="000000"/>
              <w:bottom w:val="single" w:sz="4" w:space="0" w:color="000000"/>
              <w:right w:val="single" w:sz="4" w:space="0" w:color="000000"/>
            </w:tcBorders>
            <w:vAlign w:val="center"/>
          </w:tcPr>
          <w:p w14:paraId="140D88CA" w14:textId="77777777" w:rsidR="00147A4E" w:rsidRPr="00147A4E" w:rsidRDefault="00147A4E" w:rsidP="00147A4E">
            <w:pPr>
              <w:ind w:firstLine="0"/>
              <w:jc w:val="center"/>
              <w:rPr>
                <w:rFonts w:eastAsiaTheme="minorEastAsia"/>
                <w:sz w:val="28"/>
                <w:szCs w:val="28"/>
                <w:lang w:eastAsia="ru-RU"/>
              </w:rPr>
            </w:pPr>
            <w:r w:rsidRPr="00147A4E">
              <w:rPr>
                <w:rFonts w:eastAsiaTheme="minorEastAsia"/>
                <w:sz w:val="28"/>
                <w:szCs w:val="28"/>
                <w:lang w:eastAsia="ru-RU"/>
              </w:rPr>
              <w:t xml:space="preserve">мест на 1000 детей в возрасте </w:t>
            </w:r>
            <w:r w:rsidRPr="00147A4E">
              <w:rPr>
                <w:rFonts w:eastAsiaTheme="minorEastAsia"/>
                <w:sz w:val="28"/>
                <w:szCs w:val="28"/>
                <w:lang w:eastAsia="ru-RU"/>
              </w:rPr>
              <w:br/>
              <w:t>3-6 лет</w:t>
            </w:r>
          </w:p>
        </w:tc>
        <w:tc>
          <w:tcPr>
            <w:tcW w:w="827" w:type="pct"/>
            <w:tcBorders>
              <w:top w:val="nil"/>
              <w:left w:val="single" w:sz="4" w:space="0" w:color="auto"/>
              <w:bottom w:val="single" w:sz="4" w:space="0" w:color="auto"/>
              <w:right w:val="single" w:sz="4" w:space="0" w:color="auto"/>
            </w:tcBorders>
            <w:shd w:val="clear" w:color="auto" w:fill="auto"/>
            <w:vAlign w:val="center"/>
          </w:tcPr>
          <w:p w14:paraId="66456EDE" w14:textId="77777777" w:rsidR="00147A4E" w:rsidRPr="00147A4E" w:rsidRDefault="00147A4E" w:rsidP="00147A4E">
            <w:pPr>
              <w:ind w:firstLine="0"/>
              <w:jc w:val="center"/>
              <w:rPr>
                <w:rFonts w:eastAsiaTheme="minorEastAsia"/>
                <w:sz w:val="28"/>
                <w:szCs w:val="28"/>
                <w:lang w:eastAsia="ru-RU"/>
              </w:rPr>
            </w:pPr>
            <w:r w:rsidRPr="00147A4E">
              <w:rPr>
                <w:rFonts w:eastAsiaTheme="minorEastAsia"/>
                <w:sz w:val="28"/>
                <w:szCs w:val="28"/>
                <w:lang w:eastAsia="ru-RU"/>
              </w:rPr>
              <w:t>941</w:t>
            </w:r>
          </w:p>
        </w:tc>
        <w:tc>
          <w:tcPr>
            <w:tcW w:w="784" w:type="pct"/>
            <w:tcBorders>
              <w:top w:val="nil"/>
              <w:left w:val="nil"/>
              <w:bottom w:val="single" w:sz="4" w:space="0" w:color="auto"/>
              <w:right w:val="single" w:sz="4" w:space="0" w:color="auto"/>
            </w:tcBorders>
            <w:shd w:val="clear" w:color="auto" w:fill="auto"/>
            <w:vAlign w:val="center"/>
          </w:tcPr>
          <w:p w14:paraId="10BB316A" w14:textId="77777777" w:rsidR="00147A4E" w:rsidRPr="00147A4E" w:rsidRDefault="00147A4E" w:rsidP="00147A4E">
            <w:pPr>
              <w:ind w:firstLine="0"/>
              <w:jc w:val="center"/>
              <w:rPr>
                <w:rFonts w:eastAsiaTheme="minorEastAsia"/>
                <w:sz w:val="28"/>
                <w:szCs w:val="28"/>
                <w:lang w:eastAsia="ru-RU"/>
              </w:rPr>
            </w:pPr>
            <w:r w:rsidRPr="00147A4E">
              <w:rPr>
                <w:rFonts w:eastAsiaTheme="minorEastAsia"/>
                <w:sz w:val="28"/>
                <w:szCs w:val="28"/>
                <w:lang w:eastAsia="ru-RU"/>
              </w:rPr>
              <w:t>941</w:t>
            </w:r>
          </w:p>
        </w:tc>
        <w:tc>
          <w:tcPr>
            <w:tcW w:w="788" w:type="pct"/>
            <w:tcBorders>
              <w:top w:val="single" w:sz="4" w:space="0" w:color="000000"/>
              <w:left w:val="single" w:sz="4" w:space="0" w:color="000000"/>
              <w:bottom w:val="single" w:sz="4" w:space="0" w:color="000000"/>
              <w:right w:val="single" w:sz="4" w:space="0" w:color="auto"/>
            </w:tcBorders>
            <w:vAlign w:val="center"/>
          </w:tcPr>
          <w:p w14:paraId="78635F29" w14:textId="77777777" w:rsidR="00147A4E" w:rsidRPr="00147A4E" w:rsidRDefault="00147A4E" w:rsidP="00147A4E">
            <w:pPr>
              <w:ind w:firstLine="0"/>
              <w:jc w:val="center"/>
              <w:rPr>
                <w:rFonts w:eastAsiaTheme="minorEastAsia"/>
                <w:sz w:val="28"/>
                <w:szCs w:val="28"/>
                <w:lang w:eastAsia="ru-RU"/>
              </w:rPr>
            </w:pPr>
            <w:r w:rsidRPr="00147A4E">
              <w:rPr>
                <w:rFonts w:eastAsiaTheme="minorEastAsia"/>
                <w:sz w:val="28"/>
                <w:szCs w:val="28"/>
                <w:lang w:eastAsia="ru-RU"/>
              </w:rPr>
              <w:t>975</w:t>
            </w:r>
          </w:p>
        </w:tc>
      </w:tr>
      <w:tr w:rsidR="00147A4E" w:rsidRPr="00147A4E" w14:paraId="13E9ED8C" w14:textId="77777777" w:rsidTr="00147A4E">
        <w:trPr>
          <w:trHeight w:val="526"/>
        </w:trPr>
        <w:tc>
          <w:tcPr>
            <w:tcW w:w="1765" w:type="pct"/>
            <w:tcBorders>
              <w:top w:val="single" w:sz="4" w:space="0" w:color="000000"/>
              <w:left w:val="single" w:sz="4" w:space="0" w:color="000000"/>
              <w:bottom w:val="single" w:sz="4" w:space="0" w:color="000000"/>
            </w:tcBorders>
          </w:tcPr>
          <w:p w14:paraId="09EE3863" w14:textId="77777777" w:rsidR="00147A4E" w:rsidRPr="00147A4E" w:rsidRDefault="00147A4E" w:rsidP="00147A4E">
            <w:pPr>
              <w:ind w:firstLine="0"/>
              <w:rPr>
                <w:rFonts w:eastAsiaTheme="minorEastAsia"/>
                <w:sz w:val="28"/>
                <w:szCs w:val="28"/>
                <w:lang w:eastAsia="ru-RU"/>
              </w:rPr>
            </w:pPr>
            <w:r w:rsidRPr="00147A4E">
              <w:rPr>
                <w:rFonts w:eastAsiaTheme="minorEastAsia"/>
                <w:sz w:val="28"/>
                <w:szCs w:val="28"/>
                <w:lang w:eastAsia="ru-RU"/>
              </w:rPr>
              <w:t>Численность детей в возрасте 7-17 лет</w:t>
            </w:r>
          </w:p>
        </w:tc>
        <w:tc>
          <w:tcPr>
            <w:tcW w:w="836" w:type="pct"/>
            <w:tcBorders>
              <w:top w:val="single" w:sz="4" w:space="0" w:color="000000"/>
              <w:left w:val="single" w:sz="4" w:space="0" w:color="000000"/>
              <w:bottom w:val="single" w:sz="4" w:space="0" w:color="000000"/>
              <w:right w:val="single" w:sz="4" w:space="0" w:color="000000"/>
            </w:tcBorders>
            <w:vAlign w:val="center"/>
          </w:tcPr>
          <w:p w14:paraId="12F5F00E" w14:textId="77777777" w:rsidR="00147A4E" w:rsidRPr="00147A4E" w:rsidRDefault="00147A4E" w:rsidP="00147A4E">
            <w:pPr>
              <w:ind w:firstLine="0"/>
              <w:jc w:val="center"/>
              <w:rPr>
                <w:rFonts w:eastAsiaTheme="minorEastAsia"/>
                <w:sz w:val="28"/>
                <w:szCs w:val="28"/>
                <w:lang w:eastAsia="ru-RU"/>
              </w:rPr>
            </w:pPr>
            <w:r w:rsidRPr="00147A4E">
              <w:rPr>
                <w:rFonts w:eastAsiaTheme="minorEastAsia"/>
                <w:sz w:val="28"/>
                <w:szCs w:val="28"/>
                <w:lang w:eastAsia="ru-RU"/>
              </w:rPr>
              <w:t>человек</w:t>
            </w:r>
          </w:p>
        </w:tc>
        <w:tc>
          <w:tcPr>
            <w:tcW w:w="827" w:type="pct"/>
            <w:tcBorders>
              <w:top w:val="nil"/>
              <w:left w:val="single" w:sz="4" w:space="0" w:color="auto"/>
              <w:bottom w:val="single" w:sz="4" w:space="0" w:color="auto"/>
              <w:right w:val="single" w:sz="4" w:space="0" w:color="auto"/>
            </w:tcBorders>
            <w:shd w:val="clear" w:color="auto" w:fill="auto"/>
            <w:vAlign w:val="center"/>
          </w:tcPr>
          <w:p w14:paraId="00070482" w14:textId="77777777" w:rsidR="00147A4E" w:rsidRPr="00147A4E" w:rsidRDefault="00147A4E" w:rsidP="00147A4E">
            <w:pPr>
              <w:ind w:firstLine="0"/>
              <w:jc w:val="center"/>
              <w:rPr>
                <w:rFonts w:eastAsiaTheme="minorEastAsia"/>
                <w:sz w:val="28"/>
                <w:szCs w:val="28"/>
                <w:lang w:eastAsia="ru-RU"/>
              </w:rPr>
            </w:pPr>
            <w:r w:rsidRPr="00147A4E">
              <w:rPr>
                <w:rFonts w:eastAsiaTheme="minorEastAsia"/>
                <w:sz w:val="28"/>
                <w:szCs w:val="28"/>
                <w:lang w:eastAsia="ru-RU"/>
              </w:rPr>
              <w:t>84 292</w:t>
            </w:r>
          </w:p>
        </w:tc>
        <w:tc>
          <w:tcPr>
            <w:tcW w:w="784" w:type="pct"/>
            <w:tcBorders>
              <w:top w:val="nil"/>
              <w:left w:val="nil"/>
              <w:bottom w:val="single" w:sz="4" w:space="0" w:color="auto"/>
              <w:right w:val="single" w:sz="4" w:space="0" w:color="auto"/>
            </w:tcBorders>
            <w:shd w:val="clear" w:color="auto" w:fill="auto"/>
            <w:vAlign w:val="center"/>
          </w:tcPr>
          <w:p w14:paraId="2844A447" w14:textId="77777777" w:rsidR="00147A4E" w:rsidRPr="00147A4E" w:rsidRDefault="00147A4E" w:rsidP="00147A4E">
            <w:pPr>
              <w:ind w:firstLine="0"/>
              <w:jc w:val="center"/>
              <w:rPr>
                <w:rFonts w:eastAsiaTheme="minorEastAsia"/>
                <w:sz w:val="28"/>
                <w:szCs w:val="28"/>
                <w:lang w:eastAsia="ru-RU"/>
              </w:rPr>
            </w:pPr>
            <w:r w:rsidRPr="00147A4E">
              <w:rPr>
                <w:rFonts w:eastAsiaTheme="minorEastAsia"/>
                <w:sz w:val="28"/>
                <w:szCs w:val="28"/>
                <w:lang w:eastAsia="ru-RU"/>
              </w:rPr>
              <w:t>84292</w:t>
            </w:r>
          </w:p>
        </w:tc>
        <w:tc>
          <w:tcPr>
            <w:tcW w:w="788" w:type="pct"/>
            <w:tcBorders>
              <w:top w:val="single" w:sz="4" w:space="0" w:color="000000"/>
              <w:left w:val="single" w:sz="4" w:space="0" w:color="000000"/>
              <w:bottom w:val="single" w:sz="4" w:space="0" w:color="000000"/>
              <w:right w:val="single" w:sz="4" w:space="0" w:color="auto"/>
            </w:tcBorders>
            <w:vAlign w:val="center"/>
          </w:tcPr>
          <w:p w14:paraId="6C5F0258" w14:textId="77777777" w:rsidR="00147A4E" w:rsidRPr="00147A4E" w:rsidRDefault="00147A4E" w:rsidP="00147A4E">
            <w:pPr>
              <w:ind w:firstLine="0"/>
              <w:jc w:val="center"/>
              <w:rPr>
                <w:rFonts w:eastAsiaTheme="minorEastAsia"/>
                <w:sz w:val="28"/>
                <w:szCs w:val="28"/>
                <w:lang w:eastAsia="ru-RU"/>
              </w:rPr>
            </w:pPr>
            <w:r w:rsidRPr="00147A4E">
              <w:rPr>
                <w:rFonts w:eastAsiaTheme="minorEastAsia"/>
                <w:sz w:val="28"/>
                <w:szCs w:val="28"/>
                <w:lang w:eastAsia="ru-RU"/>
              </w:rPr>
              <w:t>85 432</w:t>
            </w:r>
          </w:p>
        </w:tc>
      </w:tr>
      <w:tr w:rsidR="00147A4E" w:rsidRPr="00147A4E" w14:paraId="07706D7F" w14:textId="77777777" w:rsidTr="00147A4E">
        <w:trPr>
          <w:trHeight w:val="703"/>
        </w:trPr>
        <w:tc>
          <w:tcPr>
            <w:tcW w:w="1765" w:type="pct"/>
            <w:tcBorders>
              <w:top w:val="single" w:sz="4" w:space="0" w:color="000000"/>
              <w:left w:val="single" w:sz="4" w:space="0" w:color="000000"/>
              <w:bottom w:val="single" w:sz="4" w:space="0" w:color="000000"/>
            </w:tcBorders>
          </w:tcPr>
          <w:p w14:paraId="104AC5D7" w14:textId="77777777" w:rsidR="00147A4E" w:rsidRPr="00147A4E" w:rsidRDefault="00147A4E" w:rsidP="00147A4E">
            <w:pPr>
              <w:ind w:firstLine="0"/>
              <w:rPr>
                <w:rFonts w:eastAsiaTheme="minorEastAsia"/>
                <w:sz w:val="28"/>
                <w:szCs w:val="28"/>
                <w:lang w:eastAsia="ru-RU"/>
              </w:rPr>
            </w:pPr>
            <w:r w:rsidRPr="00147A4E">
              <w:rPr>
                <w:rFonts w:eastAsiaTheme="minorEastAsia"/>
                <w:sz w:val="28"/>
                <w:szCs w:val="28"/>
                <w:lang w:eastAsia="ru-RU"/>
              </w:rPr>
              <w:t>Доля обучающихся в дневных муниципальных общеобразовательных учреждениях, занимающихся в первую смену</w:t>
            </w:r>
          </w:p>
        </w:tc>
        <w:tc>
          <w:tcPr>
            <w:tcW w:w="836" w:type="pct"/>
            <w:tcBorders>
              <w:top w:val="single" w:sz="4" w:space="0" w:color="000000"/>
              <w:left w:val="single" w:sz="4" w:space="0" w:color="000000"/>
              <w:bottom w:val="single" w:sz="4" w:space="0" w:color="000000"/>
              <w:right w:val="single" w:sz="4" w:space="0" w:color="000000"/>
            </w:tcBorders>
            <w:vAlign w:val="center"/>
          </w:tcPr>
          <w:p w14:paraId="1F948281" w14:textId="77777777" w:rsidR="00147A4E" w:rsidRPr="00147A4E" w:rsidRDefault="00147A4E" w:rsidP="00147A4E">
            <w:pPr>
              <w:ind w:firstLine="0"/>
              <w:jc w:val="center"/>
              <w:rPr>
                <w:rFonts w:eastAsiaTheme="minorEastAsia"/>
                <w:sz w:val="28"/>
                <w:szCs w:val="28"/>
                <w:lang w:eastAsia="ru-RU"/>
              </w:rPr>
            </w:pPr>
            <w:r w:rsidRPr="00147A4E">
              <w:rPr>
                <w:rFonts w:eastAsiaTheme="minorEastAsia"/>
                <w:sz w:val="28"/>
                <w:szCs w:val="28"/>
                <w:lang w:eastAsia="ru-RU"/>
              </w:rPr>
              <w:t>%</w:t>
            </w:r>
          </w:p>
        </w:tc>
        <w:tc>
          <w:tcPr>
            <w:tcW w:w="827" w:type="pct"/>
            <w:tcBorders>
              <w:top w:val="nil"/>
              <w:left w:val="single" w:sz="4" w:space="0" w:color="auto"/>
              <w:bottom w:val="single" w:sz="4" w:space="0" w:color="auto"/>
              <w:right w:val="single" w:sz="4" w:space="0" w:color="auto"/>
            </w:tcBorders>
            <w:shd w:val="clear" w:color="auto" w:fill="auto"/>
            <w:vAlign w:val="center"/>
          </w:tcPr>
          <w:p w14:paraId="1F5F4796" w14:textId="77777777" w:rsidR="00147A4E" w:rsidRPr="00147A4E" w:rsidRDefault="00147A4E" w:rsidP="00147A4E">
            <w:pPr>
              <w:ind w:firstLine="0"/>
              <w:jc w:val="center"/>
              <w:rPr>
                <w:rFonts w:eastAsiaTheme="minorEastAsia"/>
                <w:sz w:val="28"/>
                <w:szCs w:val="28"/>
                <w:lang w:eastAsia="ru-RU"/>
              </w:rPr>
            </w:pPr>
            <w:r w:rsidRPr="00147A4E">
              <w:rPr>
                <w:rFonts w:eastAsiaTheme="minorEastAsia"/>
                <w:sz w:val="28"/>
                <w:szCs w:val="28"/>
                <w:lang w:eastAsia="ru-RU"/>
              </w:rPr>
              <w:t>96,9</w:t>
            </w:r>
          </w:p>
        </w:tc>
        <w:tc>
          <w:tcPr>
            <w:tcW w:w="784" w:type="pct"/>
            <w:tcBorders>
              <w:top w:val="nil"/>
              <w:left w:val="nil"/>
              <w:bottom w:val="single" w:sz="4" w:space="0" w:color="auto"/>
              <w:right w:val="single" w:sz="4" w:space="0" w:color="auto"/>
            </w:tcBorders>
            <w:shd w:val="clear" w:color="auto" w:fill="auto"/>
            <w:vAlign w:val="center"/>
          </w:tcPr>
          <w:p w14:paraId="254A0C3A" w14:textId="77777777" w:rsidR="00147A4E" w:rsidRPr="00147A4E" w:rsidRDefault="00147A4E" w:rsidP="00147A4E">
            <w:pPr>
              <w:ind w:firstLine="0"/>
              <w:jc w:val="center"/>
              <w:rPr>
                <w:rFonts w:eastAsiaTheme="minorEastAsia"/>
                <w:sz w:val="28"/>
                <w:szCs w:val="28"/>
                <w:lang w:eastAsia="ru-RU"/>
              </w:rPr>
            </w:pPr>
            <w:r w:rsidRPr="00147A4E">
              <w:rPr>
                <w:rFonts w:eastAsiaTheme="minorEastAsia"/>
                <w:sz w:val="28"/>
                <w:szCs w:val="28"/>
                <w:lang w:eastAsia="ru-RU"/>
              </w:rPr>
              <w:t>96,9</w:t>
            </w:r>
          </w:p>
        </w:tc>
        <w:tc>
          <w:tcPr>
            <w:tcW w:w="788" w:type="pct"/>
            <w:tcBorders>
              <w:top w:val="single" w:sz="4" w:space="0" w:color="000000"/>
              <w:left w:val="single" w:sz="4" w:space="0" w:color="000000"/>
              <w:bottom w:val="single" w:sz="4" w:space="0" w:color="000000"/>
              <w:right w:val="single" w:sz="4" w:space="0" w:color="auto"/>
            </w:tcBorders>
            <w:vAlign w:val="center"/>
          </w:tcPr>
          <w:p w14:paraId="24C3D288" w14:textId="77777777" w:rsidR="00147A4E" w:rsidRPr="00147A4E" w:rsidRDefault="00147A4E" w:rsidP="00147A4E">
            <w:pPr>
              <w:ind w:firstLine="0"/>
              <w:jc w:val="center"/>
              <w:rPr>
                <w:rFonts w:eastAsiaTheme="minorEastAsia"/>
                <w:sz w:val="28"/>
                <w:szCs w:val="28"/>
                <w:lang w:eastAsia="ru-RU"/>
              </w:rPr>
            </w:pPr>
            <w:r w:rsidRPr="00147A4E">
              <w:rPr>
                <w:rFonts w:eastAsiaTheme="minorEastAsia"/>
                <w:sz w:val="28"/>
                <w:szCs w:val="28"/>
                <w:lang w:eastAsia="ru-RU"/>
              </w:rPr>
              <w:t>96,3</w:t>
            </w:r>
          </w:p>
        </w:tc>
      </w:tr>
      <w:tr w:rsidR="00147A4E" w:rsidRPr="00147A4E" w14:paraId="571C4A82" w14:textId="77777777" w:rsidTr="00147A4E">
        <w:trPr>
          <w:trHeight w:val="70"/>
        </w:trPr>
        <w:tc>
          <w:tcPr>
            <w:tcW w:w="1765" w:type="pct"/>
            <w:tcBorders>
              <w:top w:val="single" w:sz="4" w:space="0" w:color="000000"/>
              <w:left w:val="single" w:sz="4" w:space="0" w:color="000000"/>
              <w:bottom w:val="single" w:sz="4" w:space="0" w:color="000000"/>
            </w:tcBorders>
          </w:tcPr>
          <w:p w14:paraId="7F255C8D" w14:textId="77777777" w:rsidR="00147A4E" w:rsidRPr="00147A4E" w:rsidRDefault="00147A4E" w:rsidP="00147A4E">
            <w:pPr>
              <w:ind w:firstLine="0"/>
              <w:rPr>
                <w:rFonts w:eastAsiaTheme="minorEastAsia"/>
                <w:sz w:val="28"/>
                <w:szCs w:val="28"/>
                <w:lang w:eastAsia="ru-RU"/>
              </w:rPr>
            </w:pPr>
            <w:r w:rsidRPr="00147A4E">
              <w:rPr>
                <w:rFonts w:eastAsiaTheme="minorEastAsia"/>
                <w:sz w:val="28"/>
                <w:szCs w:val="28"/>
                <w:lang w:eastAsia="ru-RU"/>
              </w:rPr>
              <w:t>Охват дополнительным образованием детей в возрасте 5-18 лет</w:t>
            </w:r>
          </w:p>
        </w:tc>
        <w:tc>
          <w:tcPr>
            <w:tcW w:w="836" w:type="pct"/>
            <w:tcBorders>
              <w:top w:val="single" w:sz="4" w:space="0" w:color="000000"/>
              <w:left w:val="single" w:sz="4" w:space="0" w:color="000000"/>
              <w:bottom w:val="single" w:sz="4" w:space="0" w:color="000000"/>
              <w:right w:val="single" w:sz="4" w:space="0" w:color="000000"/>
            </w:tcBorders>
            <w:vAlign w:val="center"/>
          </w:tcPr>
          <w:p w14:paraId="575C8EFF" w14:textId="77777777" w:rsidR="00147A4E" w:rsidRPr="00147A4E" w:rsidRDefault="00147A4E" w:rsidP="00147A4E">
            <w:pPr>
              <w:ind w:firstLine="0"/>
              <w:jc w:val="center"/>
              <w:rPr>
                <w:rFonts w:eastAsiaTheme="minorEastAsia"/>
                <w:sz w:val="28"/>
                <w:szCs w:val="28"/>
                <w:lang w:eastAsia="ru-RU"/>
              </w:rPr>
            </w:pPr>
            <w:r w:rsidRPr="00147A4E">
              <w:rPr>
                <w:rFonts w:eastAsiaTheme="minorEastAsia"/>
                <w:sz w:val="28"/>
                <w:szCs w:val="28"/>
                <w:lang w:eastAsia="ru-RU"/>
              </w:rPr>
              <w:t>%</w:t>
            </w:r>
          </w:p>
        </w:tc>
        <w:tc>
          <w:tcPr>
            <w:tcW w:w="827" w:type="pct"/>
            <w:tcBorders>
              <w:top w:val="nil"/>
              <w:left w:val="single" w:sz="4" w:space="0" w:color="auto"/>
              <w:bottom w:val="single" w:sz="4" w:space="0" w:color="auto"/>
              <w:right w:val="single" w:sz="4" w:space="0" w:color="auto"/>
            </w:tcBorders>
            <w:shd w:val="clear" w:color="auto" w:fill="auto"/>
            <w:vAlign w:val="center"/>
          </w:tcPr>
          <w:p w14:paraId="14E6BD8E" w14:textId="77777777" w:rsidR="00147A4E" w:rsidRPr="00147A4E" w:rsidRDefault="00147A4E" w:rsidP="00147A4E">
            <w:pPr>
              <w:ind w:firstLine="0"/>
              <w:jc w:val="center"/>
              <w:rPr>
                <w:rFonts w:eastAsiaTheme="minorEastAsia"/>
                <w:sz w:val="28"/>
                <w:szCs w:val="28"/>
                <w:lang w:eastAsia="ru-RU"/>
              </w:rPr>
            </w:pPr>
            <w:r w:rsidRPr="00147A4E">
              <w:rPr>
                <w:rFonts w:eastAsiaTheme="minorEastAsia"/>
                <w:sz w:val="28"/>
                <w:szCs w:val="28"/>
                <w:lang w:eastAsia="ru-RU"/>
              </w:rPr>
              <w:t>80,0</w:t>
            </w:r>
          </w:p>
        </w:tc>
        <w:tc>
          <w:tcPr>
            <w:tcW w:w="784" w:type="pct"/>
            <w:tcBorders>
              <w:top w:val="nil"/>
              <w:left w:val="nil"/>
              <w:bottom w:val="single" w:sz="4" w:space="0" w:color="auto"/>
              <w:right w:val="single" w:sz="4" w:space="0" w:color="auto"/>
            </w:tcBorders>
            <w:shd w:val="clear" w:color="auto" w:fill="auto"/>
            <w:vAlign w:val="center"/>
          </w:tcPr>
          <w:p w14:paraId="7302C028" w14:textId="77777777" w:rsidR="00147A4E" w:rsidRPr="00147A4E" w:rsidRDefault="00147A4E" w:rsidP="00147A4E">
            <w:pPr>
              <w:ind w:firstLine="0"/>
              <w:jc w:val="center"/>
              <w:rPr>
                <w:rFonts w:eastAsiaTheme="minorEastAsia"/>
                <w:sz w:val="28"/>
                <w:szCs w:val="28"/>
                <w:lang w:eastAsia="ru-RU"/>
              </w:rPr>
            </w:pPr>
            <w:r w:rsidRPr="00147A4E">
              <w:rPr>
                <w:rFonts w:eastAsiaTheme="minorEastAsia"/>
                <w:sz w:val="28"/>
                <w:szCs w:val="28"/>
                <w:lang w:eastAsia="ru-RU"/>
              </w:rPr>
              <w:t>80,2</w:t>
            </w:r>
          </w:p>
        </w:tc>
        <w:tc>
          <w:tcPr>
            <w:tcW w:w="788" w:type="pct"/>
            <w:tcBorders>
              <w:top w:val="single" w:sz="4" w:space="0" w:color="000000"/>
              <w:left w:val="single" w:sz="4" w:space="0" w:color="000000"/>
              <w:bottom w:val="single" w:sz="4" w:space="0" w:color="000000"/>
              <w:right w:val="single" w:sz="4" w:space="0" w:color="auto"/>
            </w:tcBorders>
            <w:vAlign w:val="center"/>
          </w:tcPr>
          <w:p w14:paraId="4B92BAFD" w14:textId="77777777" w:rsidR="00147A4E" w:rsidRPr="00147A4E" w:rsidRDefault="00147A4E" w:rsidP="00147A4E">
            <w:pPr>
              <w:ind w:firstLine="0"/>
              <w:jc w:val="center"/>
              <w:rPr>
                <w:rFonts w:eastAsiaTheme="minorEastAsia"/>
                <w:sz w:val="28"/>
                <w:szCs w:val="28"/>
                <w:lang w:eastAsia="ru-RU"/>
              </w:rPr>
            </w:pPr>
            <w:r w:rsidRPr="00147A4E">
              <w:rPr>
                <w:rFonts w:eastAsiaTheme="minorEastAsia"/>
                <w:sz w:val="28"/>
                <w:szCs w:val="28"/>
                <w:lang w:eastAsia="ru-RU"/>
              </w:rPr>
              <w:t>83,0</w:t>
            </w:r>
          </w:p>
        </w:tc>
      </w:tr>
    </w:tbl>
    <w:p w14:paraId="73634BD1" w14:textId="77777777" w:rsidR="00147A4E" w:rsidRPr="00147A4E" w:rsidRDefault="00147A4E" w:rsidP="00147A4E">
      <w:pPr>
        <w:pStyle w:val="af9"/>
        <w:spacing w:after="0" w:line="276" w:lineRule="auto"/>
        <w:rPr>
          <w:rFonts w:eastAsiaTheme="minorEastAsia"/>
          <w:sz w:val="28"/>
          <w:szCs w:val="28"/>
          <w:lang w:eastAsia="ru-RU"/>
        </w:rPr>
      </w:pPr>
      <w:r w:rsidRPr="00147A4E">
        <w:rPr>
          <w:rFonts w:eastAsiaTheme="minorEastAsia"/>
          <w:sz w:val="28"/>
          <w:szCs w:val="28"/>
          <w:lang w:eastAsia="ru-RU"/>
        </w:rPr>
        <w:t>Показатели отрасли «Образование» скорректированы с учетом фактически сложившихся значений за 2020 год и за истекший период 2021 года.</w:t>
      </w:r>
    </w:p>
    <w:p w14:paraId="43609506" w14:textId="77777777" w:rsidR="00147A4E" w:rsidRPr="00147A4E" w:rsidRDefault="00147A4E" w:rsidP="00147A4E">
      <w:pPr>
        <w:pStyle w:val="af9"/>
        <w:spacing w:after="0" w:line="276" w:lineRule="auto"/>
        <w:rPr>
          <w:rFonts w:eastAsiaTheme="minorEastAsia"/>
          <w:sz w:val="28"/>
          <w:szCs w:val="28"/>
          <w:lang w:eastAsia="ru-RU"/>
        </w:rPr>
      </w:pPr>
      <w:r w:rsidRPr="00147A4E">
        <w:rPr>
          <w:rFonts w:eastAsiaTheme="minorEastAsia"/>
          <w:sz w:val="28"/>
          <w:szCs w:val="28"/>
          <w:lang w:eastAsia="ru-RU"/>
        </w:rPr>
        <w:t>Показатели: численность детей в возрасте 1-6 лет, численность детей в дошкольных образовательных учреждениях и численность детей, состоящих на учете для определения в дошкольные образовательные учреждения скорректированы относительно прогнозируемых в 2020 году в сторону уменьшения, в основном за счет сокращения численности детей в городе (рождаемость, миграция).</w:t>
      </w:r>
    </w:p>
    <w:p w14:paraId="6B41EA02" w14:textId="43CB0D31" w:rsidR="00147A4E" w:rsidRPr="00147A4E" w:rsidRDefault="002E114C" w:rsidP="00147A4E">
      <w:pPr>
        <w:pStyle w:val="af9"/>
        <w:spacing w:after="0" w:line="276" w:lineRule="auto"/>
        <w:rPr>
          <w:rFonts w:eastAsiaTheme="minorEastAsia"/>
          <w:sz w:val="28"/>
          <w:szCs w:val="28"/>
          <w:lang w:eastAsia="ru-RU"/>
        </w:rPr>
      </w:pPr>
      <w:r>
        <w:rPr>
          <w:rFonts w:eastAsiaTheme="minorEastAsia"/>
          <w:sz w:val="28"/>
          <w:szCs w:val="28"/>
          <w:lang w:eastAsia="ru-RU"/>
        </w:rPr>
        <w:t>Значение показателя о</w:t>
      </w:r>
      <w:r w:rsidR="00147A4E" w:rsidRPr="00147A4E">
        <w:rPr>
          <w:rFonts w:eastAsiaTheme="minorEastAsia"/>
          <w:sz w:val="28"/>
          <w:szCs w:val="28"/>
          <w:lang w:eastAsia="ru-RU"/>
        </w:rPr>
        <w:t>беспеченност</w:t>
      </w:r>
      <w:r>
        <w:rPr>
          <w:rFonts w:eastAsiaTheme="minorEastAsia"/>
          <w:sz w:val="28"/>
          <w:szCs w:val="28"/>
          <w:lang w:eastAsia="ru-RU"/>
        </w:rPr>
        <w:t>и</w:t>
      </w:r>
      <w:r w:rsidR="00147A4E" w:rsidRPr="00147A4E">
        <w:rPr>
          <w:rFonts w:eastAsiaTheme="minorEastAsia"/>
          <w:sz w:val="28"/>
          <w:szCs w:val="28"/>
          <w:lang w:eastAsia="ru-RU"/>
        </w:rPr>
        <w:t xml:space="preserve"> дошкольными образовательными учреждениями выросл</w:t>
      </w:r>
      <w:r>
        <w:rPr>
          <w:rFonts w:eastAsiaTheme="minorEastAsia"/>
          <w:sz w:val="28"/>
          <w:szCs w:val="28"/>
          <w:lang w:eastAsia="ru-RU"/>
        </w:rPr>
        <w:t>о</w:t>
      </w:r>
      <w:r w:rsidR="00147A4E" w:rsidRPr="00147A4E">
        <w:rPr>
          <w:rFonts w:eastAsiaTheme="minorEastAsia"/>
          <w:sz w:val="28"/>
          <w:szCs w:val="28"/>
          <w:lang w:eastAsia="ru-RU"/>
        </w:rPr>
        <w:t xml:space="preserve"> относительно прогноза 2020 года на 3,6% в связи с уменьшением количества детей в возрасте 3-6 лет, при этом места в дошкольных образовательных учреждениях для детей данной категории сохранены на уровне 2020 года.</w:t>
      </w:r>
    </w:p>
    <w:p w14:paraId="5ABB3EF8" w14:textId="77777777" w:rsidR="00147A4E" w:rsidRPr="00147A4E" w:rsidRDefault="00147A4E" w:rsidP="00147A4E">
      <w:pPr>
        <w:pStyle w:val="af9"/>
        <w:spacing w:after="0" w:line="276" w:lineRule="auto"/>
        <w:rPr>
          <w:rFonts w:eastAsiaTheme="minorEastAsia"/>
          <w:sz w:val="28"/>
          <w:szCs w:val="28"/>
          <w:lang w:eastAsia="ru-RU"/>
        </w:rPr>
      </w:pPr>
      <w:r w:rsidRPr="00147A4E">
        <w:rPr>
          <w:rFonts w:eastAsiaTheme="minorEastAsia"/>
          <w:sz w:val="28"/>
          <w:szCs w:val="28"/>
          <w:lang w:eastAsia="ru-RU"/>
        </w:rPr>
        <w:t>Показатель «Доля обучающихся в дневных муниципальных общеобразовательных учреждениях, занимающихся в первую смену» незначительно скорректирован относительно предыдущего года с учетом фактически сложившихся значений за 2020 год и за истекший период 2021 года.</w:t>
      </w:r>
    </w:p>
    <w:p w14:paraId="5C6B8DD4" w14:textId="77777777" w:rsidR="00147A4E" w:rsidRPr="00147A4E" w:rsidRDefault="00147A4E" w:rsidP="00147A4E">
      <w:pPr>
        <w:pStyle w:val="af9"/>
        <w:spacing w:after="0" w:line="276" w:lineRule="auto"/>
        <w:rPr>
          <w:rFonts w:eastAsiaTheme="minorEastAsia"/>
          <w:sz w:val="28"/>
          <w:szCs w:val="28"/>
          <w:lang w:eastAsia="ru-RU"/>
        </w:rPr>
      </w:pPr>
      <w:r w:rsidRPr="00147A4E">
        <w:rPr>
          <w:rFonts w:eastAsiaTheme="minorEastAsia"/>
          <w:sz w:val="28"/>
          <w:szCs w:val="28"/>
          <w:lang w:eastAsia="ru-RU"/>
        </w:rPr>
        <w:t xml:space="preserve">Сводный показатель охвата дополнительным образованием детей в возрасте от 5 до 18 лет к концу 2021 года скорректирован относительно прогнозируемых в 2020 году на 2,8 процентных пункта (относительно </w:t>
      </w:r>
      <w:r w:rsidRPr="00147A4E">
        <w:rPr>
          <w:rFonts w:eastAsiaTheme="minorEastAsia"/>
          <w:sz w:val="28"/>
          <w:szCs w:val="28"/>
          <w:lang w:eastAsia="ru-RU"/>
        </w:rPr>
        <w:lastRenderedPageBreak/>
        <w:t xml:space="preserve">базового варианта прогноза) и составил 83,0% (целевое значение показателя регионального проекта «Успех каждого ребенка» национального проекта «Образование» на 2021 год). </w:t>
      </w:r>
    </w:p>
    <w:p w14:paraId="252CE0C6" w14:textId="41F32E5F" w:rsidR="00147A4E" w:rsidRPr="00147A4E" w:rsidRDefault="00147A4E" w:rsidP="00147A4E">
      <w:pPr>
        <w:suppressAutoHyphens w:val="0"/>
        <w:spacing w:line="276" w:lineRule="auto"/>
        <w:rPr>
          <w:rFonts w:eastAsiaTheme="minorEastAsia"/>
          <w:sz w:val="28"/>
          <w:szCs w:val="28"/>
          <w:lang w:eastAsia="ru-RU"/>
        </w:rPr>
      </w:pPr>
      <w:r w:rsidRPr="00147A4E">
        <w:rPr>
          <w:rFonts w:eastAsiaTheme="minorEastAsia"/>
          <w:sz w:val="28"/>
          <w:szCs w:val="28"/>
          <w:lang w:eastAsia="ru-RU"/>
        </w:rPr>
        <w:t>Следует отметить, что показатель охвата дополнительным образованием детей в возрасте от 5 до 18 лет включает численность детей по учреждениям отраслей «Образование», «Культура» и «Физкультура», а также организациям, имеющим право на осуществление деятельности по дополнительным общеобразовательным программам (согласно лицензии): учреждения дошкольного образования (муниципальные детские сады, детские сады АНО ДО «Планета детства «Лада»), общеобразовательные учреждения (муниципальные, частные, негосударственные), учреждения среднего профессионального образования, ФГБОУ Тольяттинский государственный университет, школы-интернаты, реабилитационные центры и др</w:t>
      </w:r>
      <w:r w:rsidR="002E114C">
        <w:rPr>
          <w:rFonts w:eastAsiaTheme="minorEastAsia"/>
          <w:sz w:val="28"/>
          <w:szCs w:val="28"/>
          <w:lang w:eastAsia="ru-RU"/>
        </w:rPr>
        <w:t>угие</w:t>
      </w:r>
      <w:r w:rsidRPr="00147A4E">
        <w:rPr>
          <w:rFonts w:eastAsiaTheme="minorEastAsia"/>
          <w:sz w:val="28"/>
          <w:szCs w:val="28"/>
          <w:lang w:eastAsia="ru-RU"/>
        </w:rPr>
        <w:t>.</w:t>
      </w:r>
    </w:p>
    <w:p w14:paraId="1FB7CDF8" w14:textId="6717A6DB" w:rsidR="00A50BA4" w:rsidRPr="005F14C8" w:rsidRDefault="00A50BA4" w:rsidP="00370A1A">
      <w:pPr>
        <w:pStyle w:val="3"/>
        <w:ind w:left="0" w:firstLine="0"/>
        <w:rPr>
          <w:sz w:val="28"/>
          <w:szCs w:val="28"/>
        </w:rPr>
      </w:pPr>
      <w:r w:rsidRPr="005F14C8">
        <w:rPr>
          <w:sz w:val="28"/>
          <w:szCs w:val="28"/>
        </w:rPr>
        <w:t>Культура</w:t>
      </w:r>
      <w:bookmarkStart w:id="12" w:name="культ"/>
      <w:bookmarkEnd w:id="12"/>
    </w:p>
    <w:p w14:paraId="696568C6" w14:textId="77777777" w:rsidR="000E5757" w:rsidRPr="008253D3" w:rsidRDefault="000E5757" w:rsidP="009F2C67">
      <w:pPr>
        <w:tabs>
          <w:tab w:val="left" w:pos="7485"/>
        </w:tabs>
        <w:overflowPunct w:val="0"/>
        <w:autoSpaceDE w:val="0"/>
        <w:spacing w:line="276" w:lineRule="auto"/>
        <w:jc w:val="center"/>
        <w:textAlignment w:val="baseline"/>
        <w:rPr>
          <w:b/>
          <w:sz w:val="28"/>
          <w:szCs w:val="28"/>
          <w:highlight w:val="yellow"/>
        </w:rPr>
      </w:pPr>
    </w:p>
    <w:p w14:paraId="5AAD4182" w14:textId="77777777" w:rsidR="00BF3B5B" w:rsidRPr="00BF3B5B" w:rsidRDefault="00BF3B5B" w:rsidP="00BF3B5B">
      <w:pPr>
        <w:suppressAutoHyphens w:val="0"/>
        <w:spacing w:line="276" w:lineRule="auto"/>
        <w:rPr>
          <w:rFonts w:eastAsia="Calibri"/>
          <w:sz w:val="28"/>
          <w:szCs w:val="28"/>
          <w:lang w:eastAsia="en-US"/>
        </w:rPr>
      </w:pPr>
      <w:r w:rsidRPr="00BF3B5B">
        <w:rPr>
          <w:rFonts w:eastAsia="Calibri"/>
          <w:sz w:val="28"/>
          <w:szCs w:val="28"/>
          <w:lang w:eastAsia="en-US"/>
        </w:rPr>
        <w:t>Сеть муниципальных учреждений по отрасли «Культура» в настоящее время включает в себя 32 учреждения, в том числе: 3 муниципальных учреждения культурно-досугового типа; 2 муниципальных учреждения культуры «Объединение детских библиотек» и МБУК «Библиотеки Тольятти»; 3 муниципальных музея; 4 муниципальных театра; 1 муниципальная концертная организация (Тольяттинская Филармония); 17 муниципальных образовательных учреждений дополнительного образования детей; 1 муниципальное учреждение высшего профессионального образования – Тольяттинская  консерватория, 1 парк (МАУК «Парковый комплекс истории техники имени К.С. Сахарова»). 43 библиотеки функционируют на базе МБУК «Библиотеки Тольятти» (28 библиотек), МБУК «Объединение детских библиотек» (14 библиотек), МАУ «КЦ «Автоград» (1 библиотека).</w:t>
      </w:r>
    </w:p>
    <w:p w14:paraId="2C7B1B83" w14:textId="27073069" w:rsidR="002923F5" w:rsidRPr="002923F5" w:rsidRDefault="002923F5" w:rsidP="002923F5">
      <w:pPr>
        <w:suppressAutoHyphens w:val="0"/>
        <w:spacing w:line="276" w:lineRule="auto"/>
        <w:rPr>
          <w:rFonts w:eastAsia="Calibri"/>
          <w:sz w:val="28"/>
          <w:szCs w:val="28"/>
          <w:lang w:eastAsia="en-US"/>
        </w:rPr>
      </w:pPr>
      <w:r w:rsidRPr="002923F5">
        <w:rPr>
          <w:rFonts w:eastAsia="Calibri"/>
          <w:sz w:val="28"/>
          <w:szCs w:val="28"/>
          <w:lang w:eastAsia="en-US"/>
        </w:rPr>
        <w:t>Основные направления деятельности учреждений отрасли «Культура» на плановый период в зависимости от типа учреждения это</w:t>
      </w:r>
      <w:r w:rsidR="002E114C">
        <w:rPr>
          <w:rFonts w:eastAsia="Calibri"/>
          <w:sz w:val="28"/>
          <w:szCs w:val="28"/>
          <w:lang w:eastAsia="en-US"/>
        </w:rPr>
        <w:t xml:space="preserve"> -</w:t>
      </w:r>
      <w:r w:rsidRPr="002923F5">
        <w:rPr>
          <w:rFonts w:eastAsia="Calibri"/>
          <w:sz w:val="28"/>
          <w:szCs w:val="28"/>
          <w:lang w:eastAsia="en-US"/>
        </w:rPr>
        <w:t xml:space="preserve"> предоставление образовательных услуг в сфере культуры и искусства,  организация досуга, приобщение жителей к творчеству, культурному развитию и самообразованию, просветительской и научно-исследовательской деятельности, в том числе по популяризации культурного наследия, организация библиотечного обслуживания населения. </w:t>
      </w:r>
    </w:p>
    <w:p w14:paraId="564E19E2" w14:textId="323272CD" w:rsidR="005F14C8" w:rsidRPr="005F14C8" w:rsidRDefault="005F14C8" w:rsidP="00C74827">
      <w:pPr>
        <w:suppressAutoHyphens w:val="0"/>
        <w:spacing w:line="276" w:lineRule="auto"/>
        <w:rPr>
          <w:sz w:val="28"/>
          <w:szCs w:val="28"/>
          <w:lang w:eastAsia="ru-RU"/>
        </w:rPr>
      </w:pPr>
      <w:r w:rsidRPr="005F14C8">
        <w:rPr>
          <w:sz w:val="28"/>
          <w:szCs w:val="28"/>
          <w:lang w:eastAsia="ru-RU"/>
        </w:rPr>
        <w:t>Изменений в структуре сети учреждений культуры и искусства и дополнительного образования на 2021 год в настоящий момент не планируется.</w:t>
      </w:r>
    </w:p>
    <w:p w14:paraId="6C092223" w14:textId="77777777" w:rsidR="00BF3B5B" w:rsidRDefault="005F14C8" w:rsidP="007135D6">
      <w:pPr>
        <w:suppressAutoHyphens w:val="0"/>
        <w:spacing w:line="276" w:lineRule="auto"/>
        <w:rPr>
          <w:sz w:val="28"/>
          <w:szCs w:val="28"/>
          <w:lang w:eastAsia="ru-RU"/>
        </w:rPr>
      </w:pPr>
      <w:r w:rsidRPr="005F14C8">
        <w:rPr>
          <w:sz w:val="28"/>
          <w:szCs w:val="28"/>
          <w:lang w:eastAsia="ru-RU"/>
        </w:rPr>
        <w:lastRenderedPageBreak/>
        <w:t xml:space="preserve">Обеспеченность общедоступными библиотеками в 2021 году составила 0,62 учреждение на 10 тыс. населения. </w:t>
      </w:r>
    </w:p>
    <w:p w14:paraId="63A4DA15" w14:textId="464F51FD" w:rsidR="00BF3B5B" w:rsidRDefault="00BF3B5B" w:rsidP="007135D6">
      <w:pPr>
        <w:suppressAutoHyphens w:val="0"/>
        <w:spacing w:line="276" w:lineRule="auto"/>
        <w:rPr>
          <w:sz w:val="28"/>
          <w:szCs w:val="28"/>
        </w:rPr>
      </w:pPr>
      <w:r w:rsidRPr="00BF3B5B">
        <w:rPr>
          <w:sz w:val="28"/>
          <w:szCs w:val="28"/>
        </w:rPr>
        <w:t xml:space="preserve">Количество учреждений культурно-досугового типа (независимо от организационно-правовой формы, в том числе находящихся в частной собственности) в 2021 году не изменялось и составило – 5 единиц:  муниципальное бюджетное  учреждение (МБУК «ДЦ «Русич»), 2 муниципальных автономных учреждения  (МАУ КДЦ «Буревестник», МАУ «КЦ «Автоград»), 2 организации иных форм собственности (ОАО ДК «Тольятти» им. Н.В. Абрамова, ЧУ ЦО «Тольяттиазот»). Обеспеченность учреждениями культурно-досугового типа составила 0,07 учреждений на 10 тыс. населения.  </w:t>
      </w:r>
    </w:p>
    <w:p w14:paraId="627E2DD5" w14:textId="0EAD0951" w:rsidR="007135D6" w:rsidRPr="005F14C8" w:rsidRDefault="007135D6" w:rsidP="007135D6">
      <w:pPr>
        <w:suppressAutoHyphens w:val="0"/>
        <w:spacing w:line="276" w:lineRule="auto"/>
        <w:rPr>
          <w:sz w:val="28"/>
          <w:szCs w:val="28"/>
          <w:lang w:eastAsia="ru-RU"/>
        </w:rPr>
      </w:pPr>
      <w:r w:rsidRPr="005F14C8">
        <w:rPr>
          <w:sz w:val="28"/>
          <w:szCs w:val="28"/>
          <w:lang w:eastAsia="ru-RU"/>
        </w:rPr>
        <w:t xml:space="preserve">Деятельность муниципальных учреждений культуры и искусства выстраивается с учетом проведения в Российской Федерации Десятилетия детства, памятных и праздничных дат федерального, регионального и муниципального значения. Для муниципальных учреждений культуры и искусства приоритетной задачей является организация деятельности по выполнению показателей, установленных Национальными проектами, разработанными в рамках реализации Указа Президента РФ от 21.07.2020 № 474 «О национальных целях и стратегических задачах развития РФ на период до 2030 года», для образовательных учреждений сферы культура также актуальной является реализация Плана мероприятий («дорожной карты») по перспективному развитию детских школ искусств  по видам искусств на 2018-2022 годы, утвержденной первым заместителем </w:t>
      </w:r>
      <w:r w:rsidR="00B23793">
        <w:rPr>
          <w:sz w:val="28"/>
          <w:szCs w:val="28"/>
          <w:lang w:eastAsia="ru-RU"/>
        </w:rPr>
        <w:t>м</w:t>
      </w:r>
      <w:r w:rsidRPr="005F14C8">
        <w:rPr>
          <w:sz w:val="28"/>
          <w:szCs w:val="28"/>
          <w:lang w:eastAsia="ru-RU"/>
        </w:rPr>
        <w:t>инистра культуры Российской Федерации 24.01.2018.</w:t>
      </w:r>
    </w:p>
    <w:p w14:paraId="78B2FF99" w14:textId="20C70365" w:rsidR="005B5DB3" w:rsidRPr="005B5DB3" w:rsidRDefault="005B5DB3" w:rsidP="005B5DB3">
      <w:pPr>
        <w:widowControl w:val="0"/>
        <w:spacing w:line="276" w:lineRule="auto"/>
        <w:rPr>
          <w:sz w:val="28"/>
          <w:szCs w:val="28"/>
          <w:lang w:eastAsia="ru-RU"/>
        </w:rPr>
      </w:pPr>
      <w:r w:rsidRPr="005B5DB3">
        <w:rPr>
          <w:sz w:val="28"/>
          <w:szCs w:val="28"/>
          <w:lang w:eastAsia="ru-RU"/>
        </w:rPr>
        <w:t xml:space="preserve">Муниципальными учреждениями культуры и искусства (музеи, театры, филармония, культурно-досуговые учреждения, образовательные учреждения, оказывающие услуги по организации культурно-досуговых мероприятий, парк) в </w:t>
      </w:r>
      <w:r w:rsidR="004F3625">
        <w:rPr>
          <w:sz w:val="28"/>
          <w:szCs w:val="28"/>
          <w:lang w:val="en-US" w:eastAsia="ru-RU"/>
        </w:rPr>
        <w:t>I</w:t>
      </w:r>
      <w:r w:rsidRPr="005B5DB3">
        <w:rPr>
          <w:sz w:val="28"/>
          <w:szCs w:val="28"/>
          <w:lang w:eastAsia="ru-RU"/>
        </w:rPr>
        <w:t> полугодии 2021 года проведено 2242 мероприятий, что в 2,2 раза больше показателя предыдущего года (</w:t>
      </w:r>
      <w:r w:rsidR="00B81A11">
        <w:rPr>
          <w:sz w:val="28"/>
          <w:szCs w:val="28"/>
          <w:lang w:val="en-US" w:eastAsia="ru-RU"/>
        </w:rPr>
        <w:t>I</w:t>
      </w:r>
      <w:r w:rsidRPr="005B5DB3">
        <w:rPr>
          <w:sz w:val="28"/>
          <w:szCs w:val="28"/>
          <w:lang w:eastAsia="ru-RU"/>
        </w:rPr>
        <w:t xml:space="preserve"> полугодие 2020 года – 1022). Количество зрителей, охваченных этими мероприятиями,  увеличилось в 2,2 раза и составило 783,53 тыс. чел</w:t>
      </w:r>
      <w:r w:rsidR="00BF3B5B">
        <w:rPr>
          <w:sz w:val="28"/>
          <w:szCs w:val="28"/>
          <w:lang w:eastAsia="ru-RU"/>
        </w:rPr>
        <w:t>овек</w:t>
      </w:r>
      <w:r w:rsidRPr="005B5DB3">
        <w:rPr>
          <w:sz w:val="28"/>
          <w:szCs w:val="28"/>
          <w:lang w:eastAsia="ru-RU"/>
        </w:rPr>
        <w:t xml:space="preserve"> (</w:t>
      </w:r>
      <w:r w:rsidR="00B81A11">
        <w:rPr>
          <w:sz w:val="28"/>
          <w:szCs w:val="28"/>
          <w:lang w:val="en-US" w:eastAsia="ru-RU"/>
        </w:rPr>
        <w:t>I</w:t>
      </w:r>
      <w:r w:rsidRPr="005B5DB3">
        <w:rPr>
          <w:sz w:val="28"/>
          <w:szCs w:val="28"/>
          <w:lang w:eastAsia="ru-RU"/>
        </w:rPr>
        <w:t xml:space="preserve"> полугодие 2020 года – 326,3 тыс. чел</w:t>
      </w:r>
      <w:r>
        <w:rPr>
          <w:sz w:val="28"/>
          <w:szCs w:val="28"/>
          <w:lang w:eastAsia="ru-RU"/>
        </w:rPr>
        <w:t>овек</w:t>
      </w:r>
      <w:r w:rsidRPr="005B5DB3">
        <w:rPr>
          <w:sz w:val="28"/>
          <w:szCs w:val="28"/>
          <w:lang w:eastAsia="ru-RU"/>
        </w:rPr>
        <w:t>).</w:t>
      </w:r>
    </w:p>
    <w:p w14:paraId="06048FAA" w14:textId="20A026E9" w:rsidR="005B5DB3" w:rsidRPr="005B5DB3" w:rsidRDefault="005B5DB3" w:rsidP="005B5DB3">
      <w:pPr>
        <w:widowControl w:val="0"/>
        <w:spacing w:line="276" w:lineRule="auto"/>
        <w:rPr>
          <w:sz w:val="28"/>
          <w:szCs w:val="28"/>
          <w:lang w:eastAsia="ru-RU"/>
        </w:rPr>
      </w:pPr>
      <w:r w:rsidRPr="005B5DB3">
        <w:rPr>
          <w:sz w:val="28"/>
          <w:szCs w:val="28"/>
          <w:lang w:eastAsia="ru-RU"/>
        </w:rPr>
        <w:t xml:space="preserve">Муниципальные театры за отчетный период показали 671 спектаклей (в </w:t>
      </w:r>
      <w:r w:rsidR="002E114C">
        <w:rPr>
          <w:sz w:val="28"/>
          <w:szCs w:val="28"/>
          <w:lang w:eastAsia="ru-RU"/>
        </w:rPr>
        <w:t>том числе</w:t>
      </w:r>
      <w:r w:rsidRPr="005B5DB3">
        <w:rPr>
          <w:sz w:val="28"/>
          <w:szCs w:val="28"/>
          <w:lang w:eastAsia="ru-RU"/>
        </w:rPr>
        <w:t xml:space="preserve"> – 8 премьерных), что в 2,1 раза больше, чем в аналогичном периоде 2020 года (324 ед.). Количество театральных зрителей увеличилось на 41,2% и составило 84,6 тыс. чел</w:t>
      </w:r>
      <w:r>
        <w:rPr>
          <w:sz w:val="28"/>
          <w:szCs w:val="28"/>
          <w:lang w:eastAsia="ru-RU"/>
        </w:rPr>
        <w:t>овек</w:t>
      </w:r>
      <w:r w:rsidRPr="005B5DB3">
        <w:rPr>
          <w:sz w:val="28"/>
          <w:szCs w:val="28"/>
          <w:lang w:eastAsia="ru-RU"/>
        </w:rPr>
        <w:t xml:space="preserve"> (</w:t>
      </w:r>
      <w:r w:rsidR="00B81A11">
        <w:rPr>
          <w:sz w:val="28"/>
          <w:szCs w:val="28"/>
          <w:lang w:val="en-US" w:eastAsia="ru-RU"/>
        </w:rPr>
        <w:t>I</w:t>
      </w:r>
      <w:r w:rsidRPr="005B5DB3">
        <w:rPr>
          <w:sz w:val="28"/>
          <w:szCs w:val="28"/>
          <w:lang w:eastAsia="ru-RU"/>
        </w:rPr>
        <w:t> полугодие 2020 года – 59,9 тыс.</w:t>
      </w:r>
      <w:r>
        <w:rPr>
          <w:sz w:val="28"/>
          <w:szCs w:val="28"/>
          <w:lang w:eastAsia="ru-RU"/>
        </w:rPr>
        <w:t xml:space="preserve"> </w:t>
      </w:r>
      <w:r w:rsidRPr="005B5DB3">
        <w:rPr>
          <w:sz w:val="28"/>
          <w:szCs w:val="28"/>
          <w:lang w:eastAsia="ru-RU"/>
        </w:rPr>
        <w:t>чел</w:t>
      </w:r>
      <w:r>
        <w:rPr>
          <w:sz w:val="28"/>
          <w:szCs w:val="28"/>
          <w:lang w:eastAsia="ru-RU"/>
        </w:rPr>
        <w:t>овек</w:t>
      </w:r>
      <w:r w:rsidRPr="005B5DB3">
        <w:rPr>
          <w:sz w:val="28"/>
          <w:szCs w:val="28"/>
          <w:lang w:eastAsia="ru-RU"/>
        </w:rPr>
        <w:t>).</w:t>
      </w:r>
    </w:p>
    <w:p w14:paraId="780822A1" w14:textId="2D119894" w:rsidR="005B5DB3" w:rsidRPr="005B5DB3" w:rsidRDefault="005B5DB3" w:rsidP="005B5DB3">
      <w:pPr>
        <w:widowControl w:val="0"/>
        <w:spacing w:line="276" w:lineRule="auto"/>
        <w:rPr>
          <w:sz w:val="28"/>
          <w:szCs w:val="28"/>
          <w:lang w:eastAsia="ru-RU"/>
        </w:rPr>
      </w:pPr>
      <w:r w:rsidRPr="005B5DB3">
        <w:rPr>
          <w:sz w:val="28"/>
          <w:szCs w:val="28"/>
          <w:lang w:eastAsia="ru-RU"/>
        </w:rPr>
        <w:t xml:space="preserve">Тольяттинской филармонией проведено 127 мероприятий, что в 2,8% раза больше аналогичного показателя предыдущего года (45 ед.), зрителями, </w:t>
      </w:r>
      <w:r w:rsidRPr="005B5DB3">
        <w:rPr>
          <w:sz w:val="28"/>
          <w:szCs w:val="28"/>
          <w:lang w:eastAsia="ru-RU"/>
        </w:rPr>
        <w:lastRenderedPageBreak/>
        <w:t>которых стали 39,2 тыс. чел</w:t>
      </w:r>
      <w:r>
        <w:rPr>
          <w:sz w:val="28"/>
          <w:szCs w:val="28"/>
          <w:lang w:eastAsia="ru-RU"/>
        </w:rPr>
        <w:t>овек.</w:t>
      </w:r>
    </w:p>
    <w:p w14:paraId="6B256B54" w14:textId="078208EF" w:rsidR="005B5DB3" w:rsidRPr="005B5DB3" w:rsidRDefault="005B5DB3" w:rsidP="005B5DB3">
      <w:pPr>
        <w:widowControl w:val="0"/>
        <w:spacing w:line="276" w:lineRule="auto"/>
        <w:rPr>
          <w:sz w:val="28"/>
          <w:szCs w:val="28"/>
          <w:lang w:eastAsia="ru-RU"/>
        </w:rPr>
      </w:pPr>
      <w:r w:rsidRPr="005B5DB3">
        <w:rPr>
          <w:sz w:val="28"/>
          <w:szCs w:val="28"/>
          <w:lang w:eastAsia="ru-RU"/>
        </w:rPr>
        <w:t>Парковым комплексом истории техники имени К.Г. Сахарова проведено 30 мероприятий, что на 15 мероприятие больше показателя в аналогичном периоде 2020 года, зрителями, которых стали 134,9 тыс. чел</w:t>
      </w:r>
      <w:r>
        <w:rPr>
          <w:sz w:val="28"/>
          <w:szCs w:val="28"/>
          <w:lang w:eastAsia="ru-RU"/>
        </w:rPr>
        <w:t>овек</w:t>
      </w:r>
      <w:r w:rsidRPr="005B5DB3">
        <w:rPr>
          <w:sz w:val="28"/>
          <w:szCs w:val="28"/>
          <w:lang w:eastAsia="ru-RU"/>
        </w:rPr>
        <w:t xml:space="preserve"> (</w:t>
      </w:r>
      <w:r w:rsidR="00B81A11">
        <w:rPr>
          <w:sz w:val="28"/>
          <w:szCs w:val="28"/>
          <w:lang w:val="en-US" w:eastAsia="ru-RU"/>
        </w:rPr>
        <w:t>I</w:t>
      </w:r>
      <w:r w:rsidRPr="005B5DB3">
        <w:rPr>
          <w:sz w:val="28"/>
          <w:szCs w:val="28"/>
          <w:lang w:eastAsia="ru-RU"/>
        </w:rPr>
        <w:t xml:space="preserve"> полугодие 2020 года – 17,6 тыс. чел</w:t>
      </w:r>
      <w:r>
        <w:rPr>
          <w:sz w:val="28"/>
          <w:szCs w:val="28"/>
          <w:lang w:eastAsia="ru-RU"/>
        </w:rPr>
        <w:t>овек</w:t>
      </w:r>
      <w:r w:rsidRPr="005B5DB3">
        <w:rPr>
          <w:sz w:val="28"/>
          <w:szCs w:val="28"/>
          <w:lang w:eastAsia="ru-RU"/>
        </w:rPr>
        <w:t>).</w:t>
      </w:r>
    </w:p>
    <w:p w14:paraId="159364A3" w14:textId="76C40525" w:rsidR="005B5DB3" w:rsidRPr="005B5DB3" w:rsidRDefault="005B5DB3" w:rsidP="005B5DB3">
      <w:pPr>
        <w:widowControl w:val="0"/>
        <w:spacing w:line="276" w:lineRule="auto"/>
        <w:rPr>
          <w:sz w:val="28"/>
          <w:szCs w:val="28"/>
          <w:lang w:eastAsia="ru-RU"/>
        </w:rPr>
      </w:pPr>
      <w:r w:rsidRPr="005B5DB3">
        <w:rPr>
          <w:sz w:val="28"/>
          <w:szCs w:val="28"/>
          <w:lang w:eastAsia="ru-RU"/>
        </w:rPr>
        <w:t>Муниципальными музеями проведено 883 мероприятий, что в 2,2 раза больше аналогичного показателя 2020 года (399 ед.). Количество зрителей, посетивших музеи, увеличилось в 2,5 раза и составило 182,5 тыс. чел</w:t>
      </w:r>
      <w:r>
        <w:rPr>
          <w:sz w:val="28"/>
          <w:szCs w:val="28"/>
          <w:lang w:eastAsia="ru-RU"/>
        </w:rPr>
        <w:t>овек</w:t>
      </w:r>
      <w:r w:rsidRPr="005B5DB3">
        <w:rPr>
          <w:sz w:val="28"/>
          <w:szCs w:val="28"/>
          <w:lang w:eastAsia="ru-RU"/>
        </w:rPr>
        <w:t xml:space="preserve"> </w:t>
      </w:r>
      <w:r w:rsidR="002923F5">
        <w:rPr>
          <w:sz w:val="28"/>
          <w:szCs w:val="28"/>
          <w:lang w:eastAsia="ru-RU"/>
        </w:rPr>
        <w:t xml:space="preserve">           </w:t>
      </w:r>
      <w:r w:rsidRPr="005B5DB3">
        <w:rPr>
          <w:sz w:val="28"/>
          <w:szCs w:val="28"/>
          <w:lang w:eastAsia="ru-RU"/>
        </w:rPr>
        <w:t>(</w:t>
      </w:r>
      <w:r w:rsidR="00B81A11">
        <w:rPr>
          <w:sz w:val="28"/>
          <w:szCs w:val="28"/>
          <w:lang w:val="en-US" w:eastAsia="ru-RU"/>
        </w:rPr>
        <w:t>I</w:t>
      </w:r>
      <w:r w:rsidRPr="005B5DB3">
        <w:rPr>
          <w:sz w:val="28"/>
          <w:szCs w:val="28"/>
          <w:lang w:eastAsia="ru-RU"/>
        </w:rPr>
        <w:t xml:space="preserve"> полугодие 2020 года – 71,9 тыс. чел</w:t>
      </w:r>
      <w:r>
        <w:rPr>
          <w:sz w:val="28"/>
          <w:szCs w:val="28"/>
          <w:lang w:eastAsia="ru-RU"/>
        </w:rPr>
        <w:t>овек</w:t>
      </w:r>
      <w:r w:rsidRPr="005B5DB3">
        <w:rPr>
          <w:sz w:val="28"/>
          <w:szCs w:val="28"/>
          <w:lang w:eastAsia="ru-RU"/>
        </w:rPr>
        <w:t>).</w:t>
      </w:r>
    </w:p>
    <w:p w14:paraId="52888313" w14:textId="5EF8BD87" w:rsidR="005B5DB3" w:rsidRPr="005B5DB3" w:rsidRDefault="005B5DB3" w:rsidP="005B5DB3">
      <w:pPr>
        <w:widowControl w:val="0"/>
        <w:spacing w:line="276" w:lineRule="auto"/>
        <w:rPr>
          <w:sz w:val="28"/>
          <w:szCs w:val="28"/>
          <w:lang w:eastAsia="ru-RU"/>
        </w:rPr>
      </w:pPr>
      <w:r w:rsidRPr="005B5DB3">
        <w:rPr>
          <w:sz w:val="28"/>
          <w:szCs w:val="28"/>
          <w:lang w:eastAsia="ru-RU"/>
        </w:rPr>
        <w:t>Культурно-досуговыми учреждениями было проведено 531 мероприятий, что в 2,2 раза больше показателя предыдущего года (239 ед.). Число зрителей увеличилось в 1,8 раза по сравнению с аналогическим периодом прошлого года (159,0 тыс. чел</w:t>
      </w:r>
      <w:r>
        <w:rPr>
          <w:sz w:val="28"/>
          <w:szCs w:val="28"/>
          <w:lang w:eastAsia="ru-RU"/>
        </w:rPr>
        <w:t>овек</w:t>
      </w:r>
      <w:r w:rsidRPr="005B5DB3">
        <w:rPr>
          <w:sz w:val="28"/>
          <w:szCs w:val="28"/>
          <w:lang w:eastAsia="ru-RU"/>
        </w:rPr>
        <w:t>) и составило 285,6 тыс. чел</w:t>
      </w:r>
      <w:r>
        <w:rPr>
          <w:sz w:val="28"/>
          <w:szCs w:val="28"/>
          <w:lang w:eastAsia="ru-RU"/>
        </w:rPr>
        <w:t>овек.</w:t>
      </w:r>
    </w:p>
    <w:p w14:paraId="5A196324" w14:textId="18304520" w:rsidR="005B5DB3" w:rsidRPr="005B5DB3" w:rsidRDefault="005B5DB3" w:rsidP="005B5DB3">
      <w:pPr>
        <w:widowControl w:val="0"/>
        <w:spacing w:line="276" w:lineRule="auto"/>
        <w:rPr>
          <w:sz w:val="28"/>
          <w:szCs w:val="28"/>
          <w:lang w:eastAsia="ru-RU"/>
        </w:rPr>
      </w:pPr>
      <w:r w:rsidRPr="005B5DB3">
        <w:rPr>
          <w:sz w:val="28"/>
          <w:szCs w:val="28"/>
          <w:lang w:eastAsia="ru-RU"/>
        </w:rPr>
        <w:t xml:space="preserve">Библиотечный фонд муниципальных библиотек в </w:t>
      </w:r>
      <w:r w:rsidR="00B81A11">
        <w:rPr>
          <w:sz w:val="28"/>
          <w:szCs w:val="28"/>
          <w:lang w:val="en-US" w:eastAsia="ru-RU"/>
        </w:rPr>
        <w:t>I</w:t>
      </w:r>
      <w:r w:rsidRPr="005B5DB3">
        <w:rPr>
          <w:sz w:val="28"/>
          <w:szCs w:val="28"/>
          <w:lang w:eastAsia="ru-RU"/>
        </w:rPr>
        <w:t xml:space="preserve"> полугодии 2021 года составил 1574,8 тыс. экз., что на 0,2% ниже соответствующего периода прошлого года. Количество читателей всех муниципальных библиотек по итогам января-июня 2021 года составило 128,7 тыс. чел</w:t>
      </w:r>
      <w:r w:rsidR="007135D6">
        <w:rPr>
          <w:sz w:val="28"/>
          <w:szCs w:val="28"/>
          <w:lang w:eastAsia="ru-RU"/>
        </w:rPr>
        <w:t>овек</w:t>
      </w:r>
      <w:r w:rsidRPr="005B5DB3">
        <w:rPr>
          <w:sz w:val="28"/>
          <w:szCs w:val="28"/>
          <w:lang w:eastAsia="ru-RU"/>
        </w:rPr>
        <w:t>, что на 87,1% выше показателя за январь-июнь 2020 года (68,8 тыс. чел</w:t>
      </w:r>
      <w:r w:rsidR="007135D6">
        <w:rPr>
          <w:sz w:val="28"/>
          <w:szCs w:val="28"/>
          <w:lang w:eastAsia="ru-RU"/>
        </w:rPr>
        <w:t>овек</w:t>
      </w:r>
      <w:r w:rsidRPr="005B5DB3">
        <w:rPr>
          <w:sz w:val="28"/>
          <w:szCs w:val="28"/>
          <w:lang w:eastAsia="ru-RU"/>
        </w:rPr>
        <w:t>).</w:t>
      </w:r>
    </w:p>
    <w:p w14:paraId="1AFD43DB" w14:textId="3046F95A" w:rsidR="005B5DB3" w:rsidRDefault="005B5DB3" w:rsidP="005B5DB3">
      <w:pPr>
        <w:widowControl w:val="0"/>
        <w:spacing w:line="276" w:lineRule="auto"/>
        <w:rPr>
          <w:sz w:val="28"/>
          <w:szCs w:val="28"/>
          <w:lang w:eastAsia="ru-RU"/>
        </w:rPr>
      </w:pPr>
      <w:r w:rsidRPr="005B5DB3">
        <w:rPr>
          <w:sz w:val="28"/>
          <w:szCs w:val="28"/>
          <w:lang w:eastAsia="ru-RU"/>
        </w:rPr>
        <w:t xml:space="preserve">Для жителей городского округа Тольятти на открытых площадках и в концертных залах </w:t>
      </w:r>
      <w:r w:rsidR="00B81A11">
        <w:rPr>
          <w:sz w:val="28"/>
          <w:szCs w:val="28"/>
          <w:lang w:eastAsia="ru-RU"/>
        </w:rPr>
        <w:t>в первом</w:t>
      </w:r>
      <w:r w:rsidRPr="005B5DB3">
        <w:rPr>
          <w:sz w:val="28"/>
          <w:szCs w:val="28"/>
          <w:lang w:eastAsia="ru-RU"/>
        </w:rPr>
        <w:t xml:space="preserve"> полугодии 2021 года были проведены традиционные массовые мероприятия и праздники. Основными культурными событиями стали: комплекс мероприятий по празднованию Нового года, Рождества, Масленицы, 9 Мая, День города (с учетом действующих ограничительных мер). 1 Мая в Парковом комплексе им </w:t>
      </w:r>
      <w:proofErr w:type="spellStart"/>
      <w:r w:rsidRPr="005B5DB3">
        <w:rPr>
          <w:sz w:val="28"/>
          <w:szCs w:val="28"/>
          <w:lang w:eastAsia="ru-RU"/>
        </w:rPr>
        <w:t>К.Г.Сахарова</w:t>
      </w:r>
      <w:proofErr w:type="spellEnd"/>
      <w:r w:rsidRPr="005B5DB3">
        <w:rPr>
          <w:sz w:val="28"/>
          <w:szCs w:val="28"/>
          <w:lang w:eastAsia="ru-RU"/>
        </w:rPr>
        <w:t xml:space="preserve"> состоялось открытие интерактивной выставки под открытом небом «Догори-истории – наша Победа». Мероприятие привлекло большое количество посетителей не только городского округа Тольятти, но и жителей Самарской области.</w:t>
      </w:r>
    </w:p>
    <w:p w14:paraId="3114491B" w14:textId="4A4871FD" w:rsidR="00E72F82" w:rsidRDefault="00E72F82" w:rsidP="00E72F82">
      <w:pPr>
        <w:spacing w:before="120" w:after="120" w:line="276" w:lineRule="auto"/>
        <w:ind w:firstLine="0"/>
        <w:jc w:val="center"/>
        <w:rPr>
          <w:sz w:val="28"/>
          <w:szCs w:val="28"/>
        </w:rPr>
      </w:pPr>
      <w:r w:rsidRPr="005F14C8">
        <w:rPr>
          <w:sz w:val="28"/>
          <w:szCs w:val="28"/>
        </w:rPr>
        <w:t xml:space="preserve">Ожидаемое выполнение прогнозных показателей по разделу «Культура» </w:t>
      </w:r>
      <w:r w:rsidR="00282B08">
        <w:rPr>
          <w:sz w:val="28"/>
          <w:szCs w:val="28"/>
        </w:rPr>
        <w:t xml:space="preserve">                 </w:t>
      </w:r>
      <w:r w:rsidRPr="005F14C8">
        <w:rPr>
          <w:sz w:val="28"/>
          <w:szCs w:val="28"/>
        </w:rPr>
        <w:t>на 202</w:t>
      </w:r>
      <w:r w:rsidR="005F14C8">
        <w:rPr>
          <w:sz w:val="28"/>
          <w:szCs w:val="28"/>
        </w:rPr>
        <w:t>1</w:t>
      </w:r>
      <w:r w:rsidRPr="005F14C8">
        <w:rPr>
          <w:sz w:val="28"/>
          <w:szCs w:val="28"/>
        </w:rPr>
        <w:t xml:space="preserve"> год</w:t>
      </w:r>
    </w:p>
    <w:tbl>
      <w:tblPr>
        <w:tblW w:w="9356" w:type="dxa"/>
        <w:tblInd w:w="108" w:type="dxa"/>
        <w:tblLayout w:type="fixed"/>
        <w:tblLook w:val="0000" w:firstRow="0" w:lastRow="0" w:firstColumn="0" w:lastColumn="0" w:noHBand="0" w:noVBand="0"/>
      </w:tblPr>
      <w:tblGrid>
        <w:gridCol w:w="3402"/>
        <w:gridCol w:w="1843"/>
        <w:gridCol w:w="1418"/>
        <w:gridCol w:w="1417"/>
        <w:gridCol w:w="1276"/>
      </w:tblGrid>
      <w:tr w:rsidR="00E72F82" w:rsidRPr="005F14C8" w14:paraId="1BA533F5" w14:textId="77777777" w:rsidTr="00C74827">
        <w:trPr>
          <w:trHeight w:val="195"/>
          <w:tblHeader/>
        </w:trPr>
        <w:tc>
          <w:tcPr>
            <w:tcW w:w="3402" w:type="dxa"/>
            <w:vMerge w:val="restart"/>
            <w:tcBorders>
              <w:top w:val="single" w:sz="4" w:space="0" w:color="000000"/>
              <w:left w:val="single" w:sz="4" w:space="0" w:color="000000"/>
              <w:bottom w:val="single" w:sz="4" w:space="0" w:color="000000"/>
            </w:tcBorders>
            <w:vAlign w:val="center"/>
          </w:tcPr>
          <w:p w14:paraId="72454CC0" w14:textId="77777777" w:rsidR="00E72F82" w:rsidRPr="005F14C8" w:rsidRDefault="00E72F82" w:rsidP="00E72F82">
            <w:pPr>
              <w:ind w:firstLine="0"/>
              <w:jc w:val="center"/>
              <w:rPr>
                <w:sz w:val="28"/>
                <w:szCs w:val="28"/>
              </w:rPr>
            </w:pPr>
            <w:r w:rsidRPr="005F14C8">
              <w:rPr>
                <w:sz w:val="28"/>
                <w:szCs w:val="28"/>
              </w:rPr>
              <w:t>Показатели</w:t>
            </w:r>
          </w:p>
        </w:tc>
        <w:tc>
          <w:tcPr>
            <w:tcW w:w="1843" w:type="dxa"/>
            <w:vMerge w:val="restart"/>
            <w:tcBorders>
              <w:top w:val="single" w:sz="4" w:space="0" w:color="000000"/>
              <w:left w:val="single" w:sz="4" w:space="0" w:color="000000"/>
              <w:bottom w:val="single" w:sz="4" w:space="0" w:color="000000"/>
            </w:tcBorders>
            <w:vAlign w:val="center"/>
          </w:tcPr>
          <w:p w14:paraId="679E5314" w14:textId="77777777" w:rsidR="00E72F82" w:rsidRPr="005F14C8" w:rsidRDefault="00E72F82" w:rsidP="00E72F82">
            <w:pPr>
              <w:ind w:firstLine="0"/>
              <w:jc w:val="center"/>
              <w:rPr>
                <w:sz w:val="28"/>
                <w:szCs w:val="28"/>
              </w:rPr>
            </w:pPr>
            <w:r w:rsidRPr="005F14C8">
              <w:rPr>
                <w:sz w:val="28"/>
                <w:szCs w:val="28"/>
              </w:rPr>
              <w:t>Единица измерения</w:t>
            </w:r>
          </w:p>
        </w:tc>
        <w:tc>
          <w:tcPr>
            <w:tcW w:w="2835" w:type="dxa"/>
            <w:gridSpan w:val="2"/>
            <w:tcBorders>
              <w:top w:val="single" w:sz="4" w:space="0" w:color="000000"/>
              <w:left w:val="single" w:sz="4" w:space="0" w:color="000000"/>
              <w:bottom w:val="single" w:sz="4" w:space="0" w:color="000000"/>
            </w:tcBorders>
            <w:vAlign w:val="center"/>
          </w:tcPr>
          <w:p w14:paraId="3FE60919" w14:textId="1856D9A1" w:rsidR="00E72F82" w:rsidRPr="005F14C8" w:rsidRDefault="00E72F82" w:rsidP="00E72F82">
            <w:pPr>
              <w:ind w:firstLine="0"/>
              <w:jc w:val="center"/>
              <w:rPr>
                <w:sz w:val="28"/>
                <w:szCs w:val="28"/>
              </w:rPr>
            </w:pPr>
            <w:r w:rsidRPr="005F14C8">
              <w:rPr>
                <w:sz w:val="28"/>
                <w:szCs w:val="28"/>
              </w:rPr>
              <w:t>Прогноз на 202</w:t>
            </w:r>
            <w:r w:rsidR="005F14C8">
              <w:rPr>
                <w:sz w:val="28"/>
                <w:szCs w:val="28"/>
              </w:rPr>
              <w:t>1</w:t>
            </w:r>
            <w:r w:rsidRPr="005F14C8">
              <w:rPr>
                <w:sz w:val="28"/>
                <w:szCs w:val="28"/>
              </w:rPr>
              <w:t xml:space="preserve"> год</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76F7CDF5" w14:textId="1260855A" w:rsidR="00E72F82" w:rsidRPr="005F14C8" w:rsidRDefault="00E72F82" w:rsidP="00E72F82">
            <w:pPr>
              <w:ind w:firstLine="0"/>
              <w:jc w:val="center"/>
              <w:rPr>
                <w:sz w:val="28"/>
                <w:szCs w:val="28"/>
              </w:rPr>
            </w:pPr>
            <w:r w:rsidRPr="005F14C8">
              <w:rPr>
                <w:sz w:val="28"/>
                <w:szCs w:val="28"/>
              </w:rPr>
              <w:t>202</w:t>
            </w:r>
            <w:r w:rsidR="005F14C8">
              <w:rPr>
                <w:sz w:val="28"/>
                <w:szCs w:val="28"/>
              </w:rPr>
              <w:t>1</w:t>
            </w:r>
            <w:r w:rsidRPr="005F14C8">
              <w:rPr>
                <w:sz w:val="28"/>
                <w:szCs w:val="28"/>
              </w:rPr>
              <w:t xml:space="preserve"> год (оценка)</w:t>
            </w:r>
          </w:p>
        </w:tc>
      </w:tr>
      <w:tr w:rsidR="00E72F82" w:rsidRPr="005F14C8" w14:paraId="301C980D" w14:textId="77777777" w:rsidTr="00C74827">
        <w:trPr>
          <w:trHeight w:val="195"/>
          <w:tblHeader/>
        </w:trPr>
        <w:tc>
          <w:tcPr>
            <w:tcW w:w="3402" w:type="dxa"/>
            <w:vMerge/>
            <w:tcBorders>
              <w:top w:val="single" w:sz="4" w:space="0" w:color="000000"/>
              <w:left w:val="single" w:sz="4" w:space="0" w:color="000000"/>
              <w:bottom w:val="single" w:sz="4" w:space="0" w:color="000000"/>
            </w:tcBorders>
            <w:vAlign w:val="center"/>
          </w:tcPr>
          <w:p w14:paraId="2BC6EC89" w14:textId="77777777" w:rsidR="00E72F82" w:rsidRPr="005F14C8" w:rsidRDefault="00E72F82" w:rsidP="00E72F82">
            <w:pPr>
              <w:spacing w:line="276" w:lineRule="auto"/>
              <w:ind w:firstLine="0"/>
              <w:jc w:val="center"/>
              <w:rPr>
                <w:sz w:val="28"/>
                <w:szCs w:val="28"/>
              </w:rPr>
            </w:pPr>
          </w:p>
        </w:tc>
        <w:tc>
          <w:tcPr>
            <w:tcW w:w="1843" w:type="dxa"/>
            <w:vMerge/>
            <w:tcBorders>
              <w:top w:val="single" w:sz="4" w:space="0" w:color="000000"/>
              <w:left w:val="single" w:sz="4" w:space="0" w:color="000000"/>
              <w:bottom w:val="single" w:sz="4" w:space="0" w:color="000000"/>
            </w:tcBorders>
            <w:vAlign w:val="center"/>
          </w:tcPr>
          <w:p w14:paraId="096D15E5" w14:textId="77777777" w:rsidR="00E72F82" w:rsidRPr="005F14C8" w:rsidRDefault="00E72F82" w:rsidP="00E72F82">
            <w:pPr>
              <w:spacing w:line="276" w:lineRule="auto"/>
              <w:ind w:firstLine="0"/>
              <w:jc w:val="center"/>
              <w:rPr>
                <w:sz w:val="28"/>
                <w:szCs w:val="28"/>
              </w:rPr>
            </w:pPr>
          </w:p>
        </w:tc>
        <w:tc>
          <w:tcPr>
            <w:tcW w:w="1418" w:type="dxa"/>
            <w:tcBorders>
              <w:top w:val="single" w:sz="4" w:space="0" w:color="000000"/>
              <w:left w:val="single" w:sz="4" w:space="0" w:color="000000"/>
              <w:bottom w:val="single" w:sz="4" w:space="0" w:color="000000"/>
            </w:tcBorders>
            <w:vAlign w:val="center"/>
          </w:tcPr>
          <w:p w14:paraId="38EDA8AA" w14:textId="77777777" w:rsidR="00E72F82" w:rsidRPr="005F14C8" w:rsidRDefault="00E72F82" w:rsidP="00E72F82">
            <w:pPr>
              <w:spacing w:line="276" w:lineRule="auto"/>
              <w:ind w:firstLine="0"/>
              <w:jc w:val="center"/>
              <w:rPr>
                <w:sz w:val="28"/>
                <w:szCs w:val="28"/>
              </w:rPr>
            </w:pPr>
            <w:r w:rsidRPr="005F14C8">
              <w:rPr>
                <w:sz w:val="28"/>
                <w:szCs w:val="28"/>
              </w:rPr>
              <w:t>консерва-</w:t>
            </w:r>
            <w:proofErr w:type="spellStart"/>
            <w:r w:rsidRPr="005F14C8">
              <w:rPr>
                <w:sz w:val="28"/>
                <w:szCs w:val="28"/>
              </w:rPr>
              <w:t>тивный</w:t>
            </w:r>
            <w:proofErr w:type="spellEnd"/>
          </w:p>
        </w:tc>
        <w:tc>
          <w:tcPr>
            <w:tcW w:w="1417" w:type="dxa"/>
            <w:tcBorders>
              <w:top w:val="single" w:sz="4" w:space="0" w:color="000000"/>
              <w:left w:val="single" w:sz="4" w:space="0" w:color="000000"/>
              <w:bottom w:val="single" w:sz="4" w:space="0" w:color="000000"/>
            </w:tcBorders>
            <w:vAlign w:val="center"/>
          </w:tcPr>
          <w:p w14:paraId="106C5DA0" w14:textId="77777777" w:rsidR="00E72F82" w:rsidRPr="005F14C8" w:rsidRDefault="00E72F82" w:rsidP="00E72F82">
            <w:pPr>
              <w:spacing w:line="276" w:lineRule="auto"/>
              <w:ind w:firstLine="0"/>
              <w:jc w:val="center"/>
              <w:rPr>
                <w:sz w:val="28"/>
                <w:szCs w:val="28"/>
              </w:rPr>
            </w:pPr>
            <w:r w:rsidRPr="005F14C8">
              <w:rPr>
                <w:sz w:val="28"/>
                <w:szCs w:val="28"/>
              </w:rPr>
              <w:t>базовый</w:t>
            </w: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28506AC4" w14:textId="77777777" w:rsidR="00E72F82" w:rsidRPr="005F14C8" w:rsidRDefault="00E72F82" w:rsidP="00E72F82">
            <w:pPr>
              <w:spacing w:line="276" w:lineRule="auto"/>
              <w:ind w:firstLine="0"/>
              <w:jc w:val="center"/>
              <w:rPr>
                <w:sz w:val="28"/>
                <w:szCs w:val="28"/>
              </w:rPr>
            </w:pPr>
          </w:p>
        </w:tc>
      </w:tr>
      <w:tr w:rsidR="00E72F82" w:rsidRPr="005F14C8" w14:paraId="5E5D71EF" w14:textId="77777777" w:rsidTr="00AC7FC1">
        <w:trPr>
          <w:trHeight w:val="746"/>
        </w:trPr>
        <w:tc>
          <w:tcPr>
            <w:tcW w:w="3402" w:type="dxa"/>
            <w:tcBorders>
              <w:top w:val="single" w:sz="4" w:space="0" w:color="000000"/>
              <w:left w:val="single" w:sz="4" w:space="0" w:color="000000"/>
              <w:bottom w:val="single" w:sz="4" w:space="0" w:color="000000"/>
            </w:tcBorders>
          </w:tcPr>
          <w:p w14:paraId="54020310" w14:textId="77777777" w:rsidR="00E72F82" w:rsidRDefault="00E72F82" w:rsidP="00E72F82">
            <w:pPr>
              <w:ind w:firstLine="0"/>
              <w:jc w:val="left"/>
              <w:rPr>
                <w:sz w:val="28"/>
                <w:szCs w:val="28"/>
              </w:rPr>
            </w:pPr>
            <w:r w:rsidRPr="005F14C8">
              <w:rPr>
                <w:sz w:val="28"/>
                <w:szCs w:val="28"/>
              </w:rPr>
              <w:t>Обеспеченность:</w:t>
            </w:r>
          </w:p>
          <w:p w14:paraId="79637940" w14:textId="77777777" w:rsidR="00525013" w:rsidRPr="005F14C8" w:rsidRDefault="00525013" w:rsidP="00E72F82">
            <w:pPr>
              <w:ind w:firstLine="0"/>
              <w:jc w:val="left"/>
              <w:rPr>
                <w:sz w:val="28"/>
                <w:szCs w:val="28"/>
              </w:rPr>
            </w:pPr>
          </w:p>
          <w:p w14:paraId="62B82C1F" w14:textId="77777777" w:rsidR="00E72F82" w:rsidRPr="005F14C8" w:rsidRDefault="00E72F82" w:rsidP="00E72F82">
            <w:pPr>
              <w:ind w:firstLine="0"/>
              <w:jc w:val="left"/>
              <w:rPr>
                <w:sz w:val="28"/>
                <w:szCs w:val="28"/>
              </w:rPr>
            </w:pPr>
            <w:r w:rsidRPr="005F14C8">
              <w:rPr>
                <w:sz w:val="28"/>
                <w:szCs w:val="28"/>
              </w:rPr>
              <w:t>Общедоступными библиотеками</w:t>
            </w:r>
          </w:p>
        </w:tc>
        <w:tc>
          <w:tcPr>
            <w:tcW w:w="1843" w:type="dxa"/>
            <w:tcBorders>
              <w:top w:val="single" w:sz="4" w:space="0" w:color="000000"/>
              <w:left w:val="single" w:sz="4" w:space="0" w:color="000000"/>
              <w:bottom w:val="single" w:sz="4" w:space="0" w:color="000000"/>
            </w:tcBorders>
            <w:vAlign w:val="bottom"/>
          </w:tcPr>
          <w:p w14:paraId="782F955E" w14:textId="77777777" w:rsidR="00525013" w:rsidRDefault="00525013" w:rsidP="00E72F82">
            <w:pPr>
              <w:ind w:firstLine="0"/>
              <w:jc w:val="center"/>
              <w:rPr>
                <w:sz w:val="28"/>
                <w:szCs w:val="28"/>
              </w:rPr>
            </w:pPr>
          </w:p>
          <w:p w14:paraId="1F2870C2" w14:textId="77777777" w:rsidR="00525013" w:rsidRDefault="00525013" w:rsidP="00E72F82">
            <w:pPr>
              <w:ind w:firstLine="0"/>
              <w:jc w:val="center"/>
              <w:rPr>
                <w:sz w:val="28"/>
                <w:szCs w:val="28"/>
              </w:rPr>
            </w:pPr>
          </w:p>
          <w:p w14:paraId="5B4204C0" w14:textId="77777777" w:rsidR="00E72F82" w:rsidRPr="005F14C8" w:rsidRDefault="00E72F82" w:rsidP="00E72F82">
            <w:pPr>
              <w:ind w:firstLine="0"/>
              <w:jc w:val="center"/>
              <w:rPr>
                <w:sz w:val="28"/>
                <w:szCs w:val="28"/>
              </w:rPr>
            </w:pPr>
            <w:r w:rsidRPr="005F14C8">
              <w:rPr>
                <w:sz w:val="28"/>
                <w:szCs w:val="28"/>
              </w:rPr>
              <w:t>учреждений на 10 тыс. населения</w:t>
            </w:r>
          </w:p>
        </w:tc>
        <w:tc>
          <w:tcPr>
            <w:tcW w:w="1418" w:type="dxa"/>
            <w:tcBorders>
              <w:top w:val="single" w:sz="4" w:space="0" w:color="000000"/>
              <w:left w:val="single" w:sz="4" w:space="0" w:color="000000"/>
              <w:bottom w:val="single" w:sz="4" w:space="0" w:color="000000"/>
            </w:tcBorders>
            <w:vAlign w:val="bottom"/>
          </w:tcPr>
          <w:p w14:paraId="0EBD1E15" w14:textId="77777777" w:rsidR="00E72F82" w:rsidRPr="005F14C8" w:rsidRDefault="00E72F82" w:rsidP="00203520">
            <w:pPr>
              <w:ind w:firstLine="0"/>
              <w:jc w:val="center"/>
              <w:rPr>
                <w:sz w:val="28"/>
                <w:szCs w:val="28"/>
              </w:rPr>
            </w:pPr>
            <w:r w:rsidRPr="005F14C8">
              <w:rPr>
                <w:sz w:val="28"/>
                <w:szCs w:val="28"/>
              </w:rPr>
              <w:t>0,62</w:t>
            </w:r>
          </w:p>
        </w:tc>
        <w:tc>
          <w:tcPr>
            <w:tcW w:w="1417" w:type="dxa"/>
            <w:tcBorders>
              <w:top w:val="single" w:sz="4" w:space="0" w:color="000000"/>
              <w:left w:val="single" w:sz="4" w:space="0" w:color="000000"/>
              <w:bottom w:val="single" w:sz="4" w:space="0" w:color="000000"/>
            </w:tcBorders>
            <w:vAlign w:val="bottom"/>
          </w:tcPr>
          <w:p w14:paraId="12CBCC9C" w14:textId="77777777" w:rsidR="00525013" w:rsidRDefault="00525013" w:rsidP="00203520">
            <w:pPr>
              <w:ind w:firstLine="0"/>
              <w:jc w:val="center"/>
              <w:rPr>
                <w:sz w:val="28"/>
                <w:szCs w:val="28"/>
              </w:rPr>
            </w:pPr>
          </w:p>
          <w:p w14:paraId="2F754547" w14:textId="77777777" w:rsidR="00525013" w:rsidRDefault="00525013" w:rsidP="00203520">
            <w:pPr>
              <w:ind w:firstLine="0"/>
              <w:jc w:val="center"/>
              <w:rPr>
                <w:sz w:val="28"/>
                <w:szCs w:val="28"/>
              </w:rPr>
            </w:pPr>
          </w:p>
          <w:p w14:paraId="0837C76D" w14:textId="77777777" w:rsidR="00E72F82" w:rsidRPr="005F14C8" w:rsidRDefault="00E72F82" w:rsidP="00203520">
            <w:pPr>
              <w:ind w:firstLine="0"/>
              <w:jc w:val="center"/>
              <w:rPr>
                <w:sz w:val="28"/>
                <w:szCs w:val="28"/>
              </w:rPr>
            </w:pPr>
            <w:r w:rsidRPr="005F14C8">
              <w:rPr>
                <w:sz w:val="28"/>
                <w:szCs w:val="28"/>
              </w:rPr>
              <w:t>0,62</w:t>
            </w:r>
          </w:p>
        </w:tc>
        <w:tc>
          <w:tcPr>
            <w:tcW w:w="1276" w:type="dxa"/>
            <w:tcBorders>
              <w:top w:val="single" w:sz="4" w:space="0" w:color="000000"/>
              <w:left w:val="single" w:sz="4" w:space="0" w:color="000000"/>
              <w:bottom w:val="single" w:sz="4" w:space="0" w:color="000000"/>
              <w:right w:val="single" w:sz="4" w:space="0" w:color="000000"/>
            </w:tcBorders>
            <w:vAlign w:val="bottom"/>
          </w:tcPr>
          <w:p w14:paraId="40EF8F02" w14:textId="77777777" w:rsidR="00525013" w:rsidRDefault="00525013" w:rsidP="00203520">
            <w:pPr>
              <w:ind w:firstLine="0"/>
              <w:jc w:val="center"/>
              <w:rPr>
                <w:sz w:val="28"/>
                <w:szCs w:val="28"/>
              </w:rPr>
            </w:pPr>
          </w:p>
          <w:p w14:paraId="414E0DE1" w14:textId="77777777" w:rsidR="00525013" w:rsidRDefault="00525013" w:rsidP="00203520">
            <w:pPr>
              <w:ind w:firstLine="0"/>
              <w:jc w:val="center"/>
              <w:rPr>
                <w:sz w:val="28"/>
                <w:szCs w:val="28"/>
              </w:rPr>
            </w:pPr>
          </w:p>
          <w:p w14:paraId="5EEA5220" w14:textId="77777777" w:rsidR="00E72F82" w:rsidRPr="005F14C8" w:rsidRDefault="00E72F82" w:rsidP="00203520">
            <w:pPr>
              <w:ind w:firstLine="0"/>
              <w:jc w:val="center"/>
              <w:rPr>
                <w:sz w:val="28"/>
                <w:szCs w:val="28"/>
              </w:rPr>
            </w:pPr>
            <w:r w:rsidRPr="005F14C8">
              <w:rPr>
                <w:sz w:val="28"/>
                <w:szCs w:val="28"/>
              </w:rPr>
              <w:t>0,62</w:t>
            </w:r>
          </w:p>
        </w:tc>
      </w:tr>
      <w:tr w:rsidR="00E72F82" w:rsidRPr="005F14C8" w14:paraId="68036009" w14:textId="77777777" w:rsidTr="00C74827">
        <w:trPr>
          <w:trHeight w:val="378"/>
        </w:trPr>
        <w:tc>
          <w:tcPr>
            <w:tcW w:w="3402" w:type="dxa"/>
            <w:tcBorders>
              <w:top w:val="single" w:sz="4" w:space="0" w:color="000000"/>
              <w:left w:val="single" w:sz="4" w:space="0" w:color="000000"/>
              <w:bottom w:val="single" w:sz="4" w:space="0" w:color="000000"/>
            </w:tcBorders>
            <w:vAlign w:val="center"/>
          </w:tcPr>
          <w:p w14:paraId="41E8D5A2" w14:textId="77777777" w:rsidR="00E72F82" w:rsidRPr="005F14C8" w:rsidRDefault="00E72F82" w:rsidP="00E72F82">
            <w:pPr>
              <w:ind w:firstLine="0"/>
              <w:jc w:val="left"/>
              <w:rPr>
                <w:sz w:val="28"/>
                <w:szCs w:val="28"/>
              </w:rPr>
            </w:pPr>
            <w:r w:rsidRPr="005F14C8">
              <w:rPr>
                <w:sz w:val="28"/>
                <w:szCs w:val="28"/>
              </w:rPr>
              <w:lastRenderedPageBreak/>
              <w:t>Учреждениями культурно-досугового типа</w:t>
            </w:r>
          </w:p>
        </w:tc>
        <w:tc>
          <w:tcPr>
            <w:tcW w:w="1843" w:type="dxa"/>
            <w:tcBorders>
              <w:top w:val="single" w:sz="4" w:space="0" w:color="000000"/>
              <w:left w:val="single" w:sz="4" w:space="0" w:color="000000"/>
              <w:bottom w:val="single" w:sz="4" w:space="0" w:color="000000"/>
            </w:tcBorders>
            <w:vAlign w:val="bottom"/>
          </w:tcPr>
          <w:p w14:paraId="1C5892B4" w14:textId="77777777" w:rsidR="00E72F82" w:rsidRPr="005F14C8" w:rsidRDefault="00E72F82" w:rsidP="00E72F82">
            <w:pPr>
              <w:ind w:firstLine="0"/>
              <w:jc w:val="center"/>
              <w:rPr>
                <w:sz w:val="28"/>
                <w:szCs w:val="28"/>
              </w:rPr>
            </w:pPr>
            <w:r w:rsidRPr="005F14C8">
              <w:rPr>
                <w:sz w:val="28"/>
                <w:szCs w:val="28"/>
              </w:rPr>
              <w:t>учреждений на 10 тыс. населения</w:t>
            </w:r>
          </w:p>
        </w:tc>
        <w:tc>
          <w:tcPr>
            <w:tcW w:w="1418" w:type="dxa"/>
            <w:tcBorders>
              <w:top w:val="single" w:sz="4" w:space="0" w:color="000000"/>
              <w:left w:val="single" w:sz="4" w:space="0" w:color="000000"/>
              <w:bottom w:val="single" w:sz="4" w:space="0" w:color="000000"/>
            </w:tcBorders>
            <w:vAlign w:val="bottom"/>
          </w:tcPr>
          <w:p w14:paraId="0D00B79E" w14:textId="77777777" w:rsidR="00E72F82" w:rsidRPr="005F14C8" w:rsidRDefault="00E72F82" w:rsidP="00203520">
            <w:pPr>
              <w:ind w:firstLine="0"/>
              <w:jc w:val="center"/>
              <w:rPr>
                <w:sz w:val="28"/>
                <w:szCs w:val="28"/>
              </w:rPr>
            </w:pPr>
            <w:r w:rsidRPr="005F14C8">
              <w:rPr>
                <w:sz w:val="28"/>
                <w:szCs w:val="28"/>
              </w:rPr>
              <w:t>0,07</w:t>
            </w:r>
          </w:p>
        </w:tc>
        <w:tc>
          <w:tcPr>
            <w:tcW w:w="1417" w:type="dxa"/>
            <w:tcBorders>
              <w:top w:val="single" w:sz="4" w:space="0" w:color="000000"/>
              <w:left w:val="single" w:sz="4" w:space="0" w:color="000000"/>
              <w:bottom w:val="single" w:sz="4" w:space="0" w:color="000000"/>
            </w:tcBorders>
            <w:vAlign w:val="bottom"/>
          </w:tcPr>
          <w:p w14:paraId="6F90F306" w14:textId="77777777" w:rsidR="00E72F82" w:rsidRPr="005F14C8" w:rsidRDefault="00E72F82" w:rsidP="00203520">
            <w:pPr>
              <w:ind w:firstLine="0"/>
              <w:jc w:val="center"/>
              <w:rPr>
                <w:sz w:val="28"/>
                <w:szCs w:val="28"/>
              </w:rPr>
            </w:pPr>
            <w:r w:rsidRPr="005F14C8">
              <w:rPr>
                <w:sz w:val="28"/>
                <w:szCs w:val="28"/>
              </w:rPr>
              <w:t>0,07</w:t>
            </w:r>
          </w:p>
        </w:tc>
        <w:tc>
          <w:tcPr>
            <w:tcW w:w="1276" w:type="dxa"/>
            <w:tcBorders>
              <w:top w:val="single" w:sz="4" w:space="0" w:color="000000"/>
              <w:left w:val="single" w:sz="4" w:space="0" w:color="000000"/>
              <w:bottom w:val="single" w:sz="4" w:space="0" w:color="000000"/>
              <w:right w:val="single" w:sz="4" w:space="0" w:color="000000"/>
            </w:tcBorders>
            <w:vAlign w:val="bottom"/>
          </w:tcPr>
          <w:p w14:paraId="26C82A16" w14:textId="77777777" w:rsidR="00E72F82" w:rsidRPr="005F14C8" w:rsidRDefault="00E72F82" w:rsidP="00203520">
            <w:pPr>
              <w:ind w:firstLine="0"/>
              <w:jc w:val="center"/>
              <w:rPr>
                <w:sz w:val="28"/>
                <w:szCs w:val="28"/>
              </w:rPr>
            </w:pPr>
            <w:r w:rsidRPr="005F14C8">
              <w:rPr>
                <w:sz w:val="28"/>
                <w:szCs w:val="28"/>
              </w:rPr>
              <w:t>0,07</w:t>
            </w:r>
          </w:p>
        </w:tc>
      </w:tr>
      <w:tr w:rsidR="00E72F82" w:rsidRPr="008253D3" w14:paraId="45C02BFC" w14:textId="77777777" w:rsidTr="00AC7FC1">
        <w:tc>
          <w:tcPr>
            <w:tcW w:w="3402" w:type="dxa"/>
            <w:tcBorders>
              <w:top w:val="single" w:sz="4" w:space="0" w:color="000000"/>
              <w:left w:val="single" w:sz="4" w:space="0" w:color="000000"/>
              <w:bottom w:val="single" w:sz="4" w:space="0" w:color="000000"/>
            </w:tcBorders>
            <w:vAlign w:val="bottom"/>
          </w:tcPr>
          <w:p w14:paraId="64883580" w14:textId="77777777" w:rsidR="00E72F82" w:rsidRPr="005F14C8" w:rsidRDefault="00E72F82" w:rsidP="00E72F82">
            <w:pPr>
              <w:ind w:firstLine="0"/>
              <w:jc w:val="left"/>
              <w:rPr>
                <w:sz w:val="28"/>
                <w:szCs w:val="28"/>
              </w:rPr>
            </w:pPr>
            <w:r w:rsidRPr="005F14C8">
              <w:rPr>
                <w:sz w:val="28"/>
                <w:szCs w:val="28"/>
              </w:rPr>
              <w:t>Количество посещений социокультурных мероприятий на территории муниципального образования</w:t>
            </w:r>
          </w:p>
        </w:tc>
        <w:tc>
          <w:tcPr>
            <w:tcW w:w="1843" w:type="dxa"/>
            <w:tcBorders>
              <w:top w:val="single" w:sz="4" w:space="0" w:color="000000"/>
              <w:left w:val="single" w:sz="4" w:space="0" w:color="000000"/>
              <w:bottom w:val="single" w:sz="4" w:space="0" w:color="000000"/>
            </w:tcBorders>
            <w:vAlign w:val="bottom"/>
          </w:tcPr>
          <w:p w14:paraId="58794F7B" w14:textId="77777777" w:rsidR="00E72F82" w:rsidRPr="005F14C8" w:rsidRDefault="00E72F82" w:rsidP="00E72F82">
            <w:pPr>
              <w:ind w:firstLine="0"/>
              <w:jc w:val="center"/>
              <w:rPr>
                <w:sz w:val="28"/>
                <w:szCs w:val="28"/>
              </w:rPr>
            </w:pPr>
            <w:r w:rsidRPr="005F14C8">
              <w:rPr>
                <w:sz w:val="28"/>
                <w:szCs w:val="28"/>
              </w:rPr>
              <w:t>посещений на 1000 чел. населения</w:t>
            </w:r>
          </w:p>
        </w:tc>
        <w:tc>
          <w:tcPr>
            <w:tcW w:w="1418" w:type="dxa"/>
            <w:tcBorders>
              <w:top w:val="single" w:sz="4" w:space="0" w:color="000000"/>
              <w:left w:val="single" w:sz="4" w:space="0" w:color="000000"/>
              <w:bottom w:val="single" w:sz="4" w:space="0" w:color="000000"/>
            </w:tcBorders>
            <w:vAlign w:val="bottom"/>
          </w:tcPr>
          <w:p w14:paraId="40EB15AC" w14:textId="6B21D518" w:rsidR="00E72F82" w:rsidRPr="005F14C8" w:rsidRDefault="005F14C8" w:rsidP="00203520">
            <w:pPr>
              <w:ind w:firstLine="0"/>
              <w:jc w:val="center"/>
              <w:rPr>
                <w:sz w:val="28"/>
                <w:szCs w:val="28"/>
              </w:rPr>
            </w:pPr>
            <w:r>
              <w:rPr>
                <w:sz w:val="28"/>
                <w:szCs w:val="28"/>
              </w:rPr>
              <w:t>1520</w:t>
            </w:r>
          </w:p>
        </w:tc>
        <w:tc>
          <w:tcPr>
            <w:tcW w:w="1417" w:type="dxa"/>
            <w:tcBorders>
              <w:top w:val="single" w:sz="4" w:space="0" w:color="000000"/>
              <w:left w:val="single" w:sz="4" w:space="0" w:color="000000"/>
              <w:bottom w:val="single" w:sz="4" w:space="0" w:color="000000"/>
            </w:tcBorders>
            <w:vAlign w:val="bottom"/>
          </w:tcPr>
          <w:p w14:paraId="15AB4838" w14:textId="5BAAB525" w:rsidR="00E72F82" w:rsidRPr="005F14C8" w:rsidRDefault="005F14C8" w:rsidP="00203520">
            <w:pPr>
              <w:ind w:firstLine="0"/>
              <w:jc w:val="center"/>
              <w:rPr>
                <w:sz w:val="28"/>
                <w:szCs w:val="28"/>
              </w:rPr>
            </w:pPr>
            <w:r>
              <w:rPr>
                <w:sz w:val="28"/>
                <w:szCs w:val="28"/>
              </w:rPr>
              <w:t>2566</w:t>
            </w:r>
          </w:p>
        </w:tc>
        <w:tc>
          <w:tcPr>
            <w:tcW w:w="1276" w:type="dxa"/>
            <w:tcBorders>
              <w:top w:val="single" w:sz="4" w:space="0" w:color="000000"/>
              <w:left w:val="single" w:sz="4" w:space="0" w:color="000000"/>
              <w:bottom w:val="single" w:sz="4" w:space="0" w:color="000000"/>
              <w:right w:val="single" w:sz="4" w:space="0" w:color="000000"/>
            </w:tcBorders>
            <w:vAlign w:val="bottom"/>
          </w:tcPr>
          <w:p w14:paraId="66FE52ED" w14:textId="4F438513" w:rsidR="00E72F82" w:rsidRPr="005F14C8" w:rsidRDefault="00CB1923" w:rsidP="00203520">
            <w:pPr>
              <w:ind w:firstLine="0"/>
              <w:jc w:val="center"/>
              <w:rPr>
                <w:sz w:val="28"/>
                <w:szCs w:val="28"/>
              </w:rPr>
            </w:pPr>
            <w:r>
              <w:rPr>
                <w:sz w:val="28"/>
                <w:szCs w:val="28"/>
              </w:rPr>
              <w:t>5419</w:t>
            </w:r>
          </w:p>
        </w:tc>
      </w:tr>
    </w:tbl>
    <w:p w14:paraId="78642CDF" w14:textId="77777777" w:rsidR="00E72F82" w:rsidRPr="008253D3" w:rsidRDefault="00E72F82" w:rsidP="00E72F82">
      <w:pPr>
        <w:spacing w:line="276" w:lineRule="auto"/>
        <w:rPr>
          <w:sz w:val="28"/>
          <w:szCs w:val="28"/>
          <w:highlight w:val="yellow"/>
        </w:rPr>
      </w:pPr>
    </w:p>
    <w:p w14:paraId="5808E153" w14:textId="5D17A3BF" w:rsidR="00B75DCF" w:rsidRDefault="00B75DCF" w:rsidP="00B75DCF">
      <w:pPr>
        <w:suppressAutoHyphens w:val="0"/>
        <w:spacing w:line="276" w:lineRule="auto"/>
        <w:rPr>
          <w:rFonts w:eastAsia="Calibri"/>
          <w:sz w:val="28"/>
          <w:szCs w:val="28"/>
          <w:lang w:eastAsia="en-US"/>
        </w:rPr>
      </w:pPr>
      <w:r w:rsidRPr="00B75DCF">
        <w:rPr>
          <w:rFonts w:eastAsia="Calibri"/>
          <w:sz w:val="28"/>
          <w:szCs w:val="28"/>
          <w:lang w:eastAsia="en-US"/>
        </w:rPr>
        <w:t xml:space="preserve">Значение показателя «Количество посещений социокультурных мероприятий на территории муниципального образования» на 1000 человек определяется исходя из результатов деятельности всех видов учреждений культуры, с учетом платных и безвозмездных услуг. При этом ранее по библиотекам учитывалось только количество посещения мероприятий (без учета общего количества посещений библиотек), с </w:t>
      </w:r>
      <w:r w:rsidR="00B81A11">
        <w:rPr>
          <w:rFonts w:eastAsia="Calibri"/>
          <w:sz w:val="28"/>
          <w:szCs w:val="28"/>
          <w:lang w:eastAsia="en-US"/>
        </w:rPr>
        <w:t>2021</w:t>
      </w:r>
      <w:r w:rsidRPr="00B75DCF">
        <w:rPr>
          <w:rFonts w:eastAsia="Calibri"/>
          <w:sz w:val="28"/>
          <w:szCs w:val="28"/>
          <w:lang w:eastAsia="en-US"/>
        </w:rPr>
        <w:t xml:space="preserve"> года в соответствии с методикой расчета показателя национального проекта «Культура» учитываются все виды посещения библиотек, что привело к увеличению значения показателя.   </w:t>
      </w:r>
    </w:p>
    <w:p w14:paraId="444704CD" w14:textId="77777777" w:rsidR="002923F5" w:rsidRPr="002923F5" w:rsidRDefault="002923F5" w:rsidP="002923F5">
      <w:pPr>
        <w:suppressAutoHyphens w:val="0"/>
        <w:spacing w:line="276" w:lineRule="auto"/>
        <w:ind w:firstLine="708"/>
        <w:rPr>
          <w:rFonts w:eastAsia="Calibri"/>
          <w:sz w:val="28"/>
          <w:szCs w:val="28"/>
          <w:lang w:eastAsia="en-US"/>
        </w:rPr>
      </w:pPr>
      <w:r w:rsidRPr="002923F5">
        <w:rPr>
          <w:rFonts w:eastAsia="Calibri"/>
          <w:sz w:val="28"/>
          <w:szCs w:val="28"/>
          <w:lang w:eastAsia="en-US"/>
        </w:rPr>
        <w:t>В 2020 году в рамках реализации государственных программ выполнены мероприятия:</w:t>
      </w:r>
    </w:p>
    <w:p w14:paraId="73900602" w14:textId="4D13B796" w:rsidR="002923F5" w:rsidRPr="002923F5" w:rsidRDefault="00096551" w:rsidP="002923F5">
      <w:pPr>
        <w:suppressAutoHyphens w:val="0"/>
        <w:spacing w:line="276" w:lineRule="auto"/>
        <w:ind w:firstLine="708"/>
        <w:rPr>
          <w:sz w:val="28"/>
          <w:szCs w:val="28"/>
          <w:lang w:eastAsia="en-US"/>
        </w:rPr>
      </w:pPr>
      <w:r>
        <w:rPr>
          <w:rFonts w:eastAsia="Calibri"/>
          <w:sz w:val="28"/>
          <w:szCs w:val="28"/>
          <w:lang w:eastAsia="en-US"/>
        </w:rPr>
        <w:t xml:space="preserve">- </w:t>
      </w:r>
      <w:r w:rsidR="002923F5" w:rsidRPr="002923F5">
        <w:rPr>
          <w:rFonts w:eastAsia="Calibri"/>
          <w:sz w:val="28"/>
          <w:szCs w:val="28"/>
          <w:lang w:eastAsia="en-US"/>
        </w:rPr>
        <w:t xml:space="preserve">в рамках реализации национального проекта «Культура» </w:t>
      </w:r>
      <w:r w:rsidR="002923F5" w:rsidRPr="002923F5">
        <w:rPr>
          <w:sz w:val="28"/>
          <w:szCs w:val="28"/>
          <w:lang w:eastAsia="en-US"/>
        </w:rPr>
        <w:t>МБУ ДО «Лицей искусств» оснащен музыкальными инструментами, оборудованием и литературой для учебного процесса (5 735,33 тыс. руб</w:t>
      </w:r>
      <w:r w:rsidR="002923F5">
        <w:rPr>
          <w:sz w:val="28"/>
          <w:szCs w:val="28"/>
          <w:lang w:eastAsia="en-US"/>
        </w:rPr>
        <w:t>лей</w:t>
      </w:r>
      <w:r w:rsidR="002923F5" w:rsidRPr="002923F5">
        <w:rPr>
          <w:sz w:val="28"/>
          <w:szCs w:val="28"/>
          <w:lang w:eastAsia="en-US"/>
        </w:rPr>
        <w:t>)</w:t>
      </w:r>
      <w:r w:rsidR="002923F5">
        <w:rPr>
          <w:sz w:val="28"/>
          <w:szCs w:val="28"/>
          <w:lang w:eastAsia="en-US"/>
        </w:rPr>
        <w:t>;</w:t>
      </w:r>
    </w:p>
    <w:p w14:paraId="77437D40" w14:textId="5313697F" w:rsidR="002923F5" w:rsidRPr="002923F5" w:rsidRDefault="00096551" w:rsidP="002923F5">
      <w:pPr>
        <w:suppressAutoHyphens w:val="0"/>
        <w:spacing w:line="276" w:lineRule="auto"/>
        <w:ind w:firstLine="708"/>
        <w:rPr>
          <w:sz w:val="28"/>
          <w:szCs w:val="28"/>
          <w:lang w:eastAsia="en-US"/>
        </w:rPr>
      </w:pPr>
      <w:r>
        <w:rPr>
          <w:rFonts w:eastAsia="Calibri"/>
          <w:sz w:val="28"/>
          <w:szCs w:val="28"/>
          <w:lang w:eastAsia="en-US"/>
        </w:rPr>
        <w:t xml:space="preserve">- </w:t>
      </w:r>
      <w:r w:rsidR="002923F5" w:rsidRPr="002923F5">
        <w:rPr>
          <w:rFonts w:eastAsia="Calibri"/>
          <w:sz w:val="28"/>
          <w:szCs w:val="28"/>
          <w:lang w:eastAsia="en-US"/>
        </w:rPr>
        <w:t xml:space="preserve">в рамках государственной программы </w:t>
      </w:r>
      <w:r w:rsidR="002923F5">
        <w:rPr>
          <w:rFonts w:eastAsia="Calibri"/>
          <w:sz w:val="28"/>
          <w:szCs w:val="28"/>
          <w:lang w:eastAsia="en-US"/>
        </w:rPr>
        <w:t>«</w:t>
      </w:r>
      <w:r w:rsidR="002923F5" w:rsidRPr="002923F5">
        <w:rPr>
          <w:rFonts w:eastAsia="Calibri"/>
          <w:sz w:val="28"/>
          <w:szCs w:val="28"/>
          <w:lang w:eastAsia="en-US"/>
        </w:rPr>
        <w:t>Поддержка инициатив населения муниципальных образований в Самарской области на 2017-2025 годы</w:t>
      </w:r>
      <w:r w:rsidR="002923F5">
        <w:rPr>
          <w:rFonts w:eastAsia="Calibri"/>
          <w:sz w:val="28"/>
          <w:szCs w:val="28"/>
          <w:lang w:eastAsia="en-US"/>
        </w:rPr>
        <w:t>»</w:t>
      </w:r>
      <w:r w:rsidR="002923F5" w:rsidRPr="002923F5">
        <w:rPr>
          <w:rFonts w:eastAsia="Calibri"/>
          <w:sz w:val="28"/>
          <w:szCs w:val="28"/>
          <w:lang w:eastAsia="en-US"/>
        </w:rPr>
        <w:t xml:space="preserve"> </w:t>
      </w:r>
      <w:r w:rsidR="002923F5" w:rsidRPr="002923F5">
        <w:rPr>
          <w:sz w:val="28"/>
          <w:szCs w:val="28"/>
          <w:lang w:eastAsia="en-US"/>
        </w:rPr>
        <w:t xml:space="preserve"> р</w:t>
      </w:r>
      <w:r w:rsidR="002923F5" w:rsidRPr="002923F5">
        <w:rPr>
          <w:rFonts w:eastAsia="Calibri"/>
          <w:sz w:val="28"/>
          <w:szCs w:val="28"/>
          <w:lang w:eastAsia="en-US"/>
        </w:rPr>
        <w:t>еализовано 6 общественных проектов (8 618,2 тыс.</w:t>
      </w:r>
      <w:r w:rsidR="002923F5">
        <w:rPr>
          <w:rFonts w:eastAsia="Calibri"/>
          <w:sz w:val="28"/>
          <w:szCs w:val="28"/>
          <w:lang w:eastAsia="en-US"/>
        </w:rPr>
        <w:t xml:space="preserve"> </w:t>
      </w:r>
      <w:r w:rsidR="002923F5" w:rsidRPr="002923F5">
        <w:rPr>
          <w:rFonts w:eastAsia="Calibri"/>
          <w:sz w:val="28"/>
          <w:szCs w:val="28"/>
          <w:lang w:eastAsia="en-US"/>
        </w:rPr>
        <w:t>руб</w:t>
      </w:r>
      <w:r w:rsidR="002923F5">
        <w:rPr>
          <w:rFonts w:eastAsia="Calibri"/>
          <w:sz w:val="28"/>
          <w:szCs w:val="28"/>
          <w:lang w:eastAsia="en-US"/>
        </w:rPr>
        <w:t>лей</w:t>
      </w:r>
      <w:r w:rsidR="002923F5" w:rsidRPr="002923F5">
        <w:rPr>
          <w:rFonts w:eastAsia="Calibri"/>
          <w:sz w:val="28"/>
          <w:szCs w:val="28"/>
          <w:lang w:eastAsia="en-US"/>
        </w:rPr>
        <w:t>).</w:t>
      </w:r>
    </w:p>
    <w:p w14:paraId="7328EA45" w14:textId="41ABFCB1" w:rsidR="002923F5" w:rsidRPr="002923F5" w:rsidRDefault="002923F5" w:rsidP="002923F5">
      <w:pPr>
        <w:suppressAutoHyphens w:val="0"/>
        <w:spacing w:line="276" w:lineRule="auto"/>
        <w:rPr>
          <w:rFonts w:eastAsia="Calibri"/>
          <w:sz w:val="28"/>
          <w:szCs w:val="28"/>
          <w:lang w:eastAsia="en-US"/>
        </w:rPr>
      </w:pPr>
      <w:r w:rsidRPr="002923F5">
        <w:rPr>
          <w:rFonts w:eastAsia="Calibri"/>
          <w:sz w:val="28"/>
          <w:szCs w:val="28"/>
          <w:lang w:eastAsia="en-US"/>
        </w:rPr>
        <w:t xml:space="preserve">В целях обеспечения деятельности учреждений культуры, в том числе созданию благоприятных условий для организации работы с посетителями и оказанию услуг в области культуры в рамках муниципальной программы </w:t>
      </w:r>
      <w:r w:rsidR="002E114C">
        <w:rPr>
          <w:rFonts w:eastAsia="Calibri"/>
          <w:sz w:val="28"/>
          <w:szCs w:val="28"/>
          <w:lang w:eastAsia="en-US"/>
        </w:rPr>
        <w:t xml:space="preserve">городского округа Тольятти </w:t>
      </w:r>
      <w:r w:rsidRPr="002923F5">
        <w:rPr>
          <w:rFonts w:eastAsia="Calibri"/>
          <w:sz w:val="28"/>
          <w:szCs w:val="28"/>
          <w:lang w:eastAsia="en-US"/>
        </w:rPr>
        <w:t xml:space="preserve">«Культура Тольятти на 2019-2023 годы», утвержденной постановлением администрации городского округа Тольятти от 21.09.2018 № 2799-п/1, на капитальный ремонт зданий и материально-техническое оснащение объектов культуры с учетом </w:t>
      </w:r>
      <w:proofErr w:type="spellStart"/>
      <w:r w:rsidRPr="002923F5">
        <w:rPr>
          <w:rFonts w:eastAsia="Calibri"/>
          <w:sz w:val="28"/>
          <w:szCs w:val="28"/>
          <w:lang w:eastAsia="en-US"/>
        </w:rPr>
        <w:t>софинансирования</w:t>
      </w:r>
      <w:proofErr w:type="spellEnd"/>
      <w:r w:rsidRPr="002923F5">
        <w:rPr>
          <w:rFonts w:eastAsia="Calibri"/>
          <w:sz w:val="28"/>
          <w:szCs w:val="28"/>
          <w:lang w:eastAsia="en-US"/>
        </w:rPr>
        <w:t xml:space="preserve"> областных субсидий в 2021 году запланировано:</w:t>
      </w:r>
    </w:p>
    <w:p w14:paraId="0A87F636" w14:textId="0222A7DB" w:rsidR="00275A62" w:rsidRPr="00275A62" w:rsidRDefault="00275A62" w:rsidP="00275A62">
      <w:pPr>
        <w:spacing w:line="276" w:lineRule="auto"/>
        <w:rPr>
          <w:sz w:val="28"/>
          <w:szCs w:val="28"/>
        </w:rPr>
      </w:pPr>
      <w:r w:rsidRPr="00275A62">
        <w:rPr>
          <w:sz w:val="28"/>
          <w:szCs w:val="28"/>
        </w:rPr>
        <w:lastRenderedPageBreak/>
        <w:t>- создание модельной муниципальной библиотеки на базе Центральной библиотеки имени А.С. Пушкина МБУК «Объединение детских библиотек» (</w:t>
      </w:r>
      <w:proofErr w:type="spellStart"/>
      <w:r w:rsidRPr="00275A62">
        <w:rPr>
          <w:sz w:val="28"/>
          <w:szCs w:val="28"/>
        </w:rPr>
        <w:t>г.Тольятти</w:t>
      </w:r>
      <w:proofErr w:type="spellEnd"/>
      <w:r w:rsidRPr="00275A62">
        <w:rPr>
          <w:sz w:val="28"/>
          <w:szCs w:val="28"/>
        </w:rPr>
        <w:t>, ул. Горького, 42) (10 167,0 тыс.</w:t>
      </w:r>
      <w:r>
        <w:rPr>
          <w:sz w:val="28"/>
          <w:szCs w:val="28"/>
        </w:rPr>
        <w:t xml:space="preserve"> </w:t>
      </w:r>
      <w:r w:rsidRPr="00275A62">
        <w:rPr>
          <w:sz w:val="28"/>
          <w:szCs w:val="28"/>
        </w:rPr>
        <w:t>руб</w:t>
      </w:r>
      <w:r>
        <w:rPr>
          <w:sz w:val="28"/>
          <w:szCs w:val="28"/>
        </w:rPr>
        <w:t>лей</w:t>
      </w:r>
      <w:r w:rsidRPr="00275A62">
        <w:rPr>
          <w:sz w:val="28"/>
          <w:szCs w:val="28"/>
        </w:rPr>
        <w:t>)</w:t>
      </w:r>
      <w:r>
        <w:rPr>
          <w:sz w:val="28"/>
          <w:szCs w:val="28"/>
        </w:rPr>
        <w:t>;</w:t>
      </w:r>
    </w:p>
    <w:p w14:paraId="1CFD34DC" w14:textId="377489AB" w:rsidR="00275A62" w:rsidRPr="00275A62" w:rsidRDefault="00275A62" w:rsidP="00275A62">
      <w:pPr>
        <w:suppressAutoHyphens w:val="0"/>
        <w:spacing w:line="276" w:lineRule="auto"/>
        <w:rPr>
          <w:rFonts w:eastAsia="Calibri"/>
          <w:sz w:val="28"/>
          <w:szCs w:val="28"/>
          <w:lang w:eastAsia="ru-RU"/>
        </w:rPr>
      </w:pPr>
      <w:r w:rsidRPr="00275A62">
        <w:rPr>
          <w:rFonts w:eastAsia="Calibri"/>
          <w:sz w:val="28"/>
          <w:szCs w:val="28"/>
          <w:lang w:eastAsia="ru-RU"/>
        </w:rPr>
        <w:t>-  оснащение в рамках федерального проекта «Театры – детям» специализированным оборудованием и материалами, а также на премьерные постановки в МБУИ «Молодежный драматический театр», МБУИ «Тольяттинский театр кукол», ТЮЗ «Дилижанс» (8 246 тыс. руб</w:t>
      </w:r>
      <w:r>
        <w:rPr>
          <w:rFonts w:eastAsia="Calibri"/>
          <w:sz w:val="28"/>
          <w:szCs w:val="28"/>
          <w:lang w:eastAsia="ru-RU"/>
        </w:rPr>
        <w:t>лей</w:t>
      </w:r>
      <w:r w:rsidRPr="00275A62">
        <w:rPr>
          <w:rFonts w:eastAsia="Calibri"/>
          <w:sz w:val="28"/>
          <w:szCs w:val="28"/>
          <w:lang w:eastAsia="ru-RU"/>
        </w:rPr>
        <w:t xml:space="preserve">); </w:t>
      </w:r>
    </w:p>
    <w:p w14:paraId="38E19B16" w14:textId="1CBEEF5A" w:rsidR="00275A62" w:rsidRPr="00275A62" w:rsidRDefault="00275A62" w:rsidP="00275A62">
      <w:pPr>
        <w:suppressAutoHyphens w:val="0"/>
        <w:spacing w:line="276" w:lineRule="auto"/>
        <w:rPr>
          <w:rFonts w:eastAsia="Calibri"/>
          <w:sz w:val="28"/>
          <w:szCs w:val="28"/>
          <w:lang w:eastAsia="ru-RU"/>
        </w:rPr>
      </w:pPr>
      <w:r w:rsidRPr="00275A62">
        <w:rPr>
          <w:rFonts w:eastAsia="Calibri"/>
          <w:sz w:val="28"/>
          <w:szCs w:val="28"/>
          <w:lang w:eastAsia="ru-RU"/>
        </w:rPr>
        <w:t xml:space="preserve">- реализация общественных проектов в рамках государственной программы </w:t>
      </w:r>
      <w:r>
        <w:rPr>
          <w:rFonts w:eastAsia="Calibri"/>
          <w:sz w:val="28"/>
          <w:szCs w:val="28"/>
          <w:lang w:eastAsia="ru-RU"/>
        </w:rPr>
        <w:t>«</w:t>
      </w:r>
      <w:r w:rsidRPr="00275A62">
        <w:rPr>
          <w:rFonts w:eastAsia="Calibri"/>
          <w:sz w:val="28"/>
          <w:szCs w:val="28"/>
          <w:lang w:eastAsia="ru-RU"/>
        </w:rPr>
        <w:t>Поддержка инициатив населения муниципальных образований в Самарской области на 2017-2025 годы</w:t>
      </w:r>
      <w:r>
        <w:rPr>
          <w:rFonts w:eastAsia="Calibri"/>
          <w:sz w:val="28"/>
          <w:szCs w:val="28"/>
          <w:lang w:eastAsia="ru-RU"/>
        </w:rPr>
        <w:t>»</w:t>
      </w:r>
      <w:r w:rsidRPr="00275A62">
        <w:rPr>
          <w:rFonts w:eastAsia="Calibri"/>
          <w:sz w:val="28"/>
          <w:szCs w:val="28"/>
          <w:lang w:eastAsia="ru-RU"/>
        </w:rPr>
        <w:t xml:space="preserve"> (26 957,5 тыс. руб</w:t>
      </w:r>
      <w:r>
        <w:rPr>
          <w:rFonts w:eastAsia="Calibri"/>
          <w:sz w:val="28"/>
          <w:szCs w:val="28"/>
          <w:lang w:eastAsia="ru-RU"/>
        </w:rPr>
        <w:t>лей</w:t>
      </w:r>
      <w:r w:rsidRPr="00275A62">
        <w:rPr>
          <w:rFonts w:eastAsia="Calibri"/>
          <w:sz w:val="28"/>
          <w:szCs w:val="28"/>
          <w:lang w:eastAsia="ru-RU"/>
        </w:rPr>
        <w:t>);</w:t>
      </w:r>
    </w:p>
    <w:p w14:paraId="4207798D" w14:textId="29FCC2FE" w:rsidR="00275A62" w:rsidRPr="00275A62" w:rsidRDefault="00275A62" w:rsidP="00275A62">
      <w:pPr>
        <w:suppressAutoHyphens w:val="0"/>
        <w:spacing w:line="276" w:lineRule="auto"/>
        <w:rPr>
          <w:rFonts w:eastAsia="Calibri"/>
          <w:sz w:val="28"/>
          <w:szCs w:val="28"/>
          <w:lang w:eastAsia="ru-RU"/>
        </w:rPr>
      </w:pPr>
      <w:r w:rsidRPr="00275A62">
        <w:rPr>
          <w:rFonts w:eastAsia="Calibri"/>
          <w:sz w:val="28"/>
          <w:szCs w:val="28"/>
          <w:lang w:eastAsia="ru-RU"/>
        </w:rPr>
        <w:t>приобретение оборудования для Выставочного зала 50-летия АВТОВАЗА (общая сумма финансирования в 2020-2021 году 19 622 тыс.</w:t>
      </w:r>
      <w:r>
        <w:rPr>
          <w:rFonts w:eastAsia="Calibri"/>
          <w:sz w:val="28"/>
          <w:szCs w:val="28"/>
          <w:lang w:eastAsia="ru-RU"/>
        </w:rPr>
        <w:t xml:space="preserve"> </w:t>
      </w:r>
      <w:r w:rsidRPr="00275A62">
        <w:rPr>
          <w:rFonts w:eastAsia="Calibri"/>
          <w:sz w:val="28"/>
          <w:szCs w:val="28"/>
          <w:lang w:eastAsia="ru-RU"/>
        </w:rPr>
        <w:t>руб</w:t>
      </w:r>
      <w:r>
        <w:rPr>
          <w:rFonts w:eastAsia="Calibri"/>
          <w:sz w:val="28"/>
          <w:szCs w:val="28"/>
          <w:lang w:eastAsia="ru-RU"/>
        </w:rPr>
        <w:t>лей</w:t>
      </w:r>
      <w:r w:rsidRPr="00275A62">
        <w:rPr>
          <w:rFonts w:eastAsia="Calibri"/>
          <w:sz w:val="28"/>
          <w:szCs w:val="28"/>
          <w:lang w:eastAsia="ru-RU"/>
        </w:rPr>
        <w:t>, в том числе в 2021 году - 13 736 тыс.</w:t>
      </w:r>
      <w:r>
        <w:rPr>
          <w:rFonts w:eastAsia="Calibri"/>
          <w:sz w:val="28"/>
          <w:szCs w:val="28"/>
          <w:lang w:eastAsia="ru-RU"/>
        </w:rPr>
        <w:t xml:space="preserve"> </w:t>
      </w:r>
      <w:r w:rsidRPr="00275A62">
        <w:rPr>
          <w:rFonts w:eastAsia="Calibri"/>
          <w:sz w:val="28"/>
          <w:szCs w:val="28"/>
          <w:lang w:eastAsia="ru-RU"/>
        </w:rPr>
        <w:t>руб</w:t>
      </w:r>
      <w:r>
        <w:rPr>
          <w:rFonts w:eastAsia="Calibri"/>
          <w:sz w:val="28"/>
          <w:szCs w:val="28"/>
          <w:lang w:eastAsia="ru-RU"/>
        </w:rPr>
        <w:t>лей</w:t>
      </w:r>
      <w:r w:rsidRPr="00275A62">
        <w:rPr>
          <w:rFonts w:eastAsia="Calibri"/>
          <w:sz w:val="28"/>
          <w:szCs w:val="28"/>
          <w:lang w:eastAsia="ru-RU"/>
        </w:rPr>
        <w:t>)</w:t>
      </w:r>
      <w:r>
        <w:rPr>
          <w:rFonts w:eastAsia="Calibri"/>
          <w:sz w:val="28"/>
          <w:szCs w:val="28"/>
          <w:lang w:eastAsia="ru-RU"/>
        </w:rPr>
        <w:t>;</w:t>
      </w:r>
    </w:p>
    <w:p w14:paraId="33CEF8E7" w14:textId="4055B930" w:rsidR="00275A62" w:rsidRPr="00275A62" w:rsidRDefault="00275A62" w:rsidP="00275A62">
      <w:pPr>
        <w:suppressAutoHyphens w:val="0"/>
        <w:spacing w:line="276" w:lineRule="auto"/>
        <w:rPr>
          <w:rFonts w:eastAsia="Calibri"/>
          <w:sz w:val="28"/>
          <w:szCs w:val="28"/>
          <w:lang w:eastAsia="ru-RU"/>
        </w:rPr>
      </w:pPr>
      <w:r w:rsidRPr="00275A62">
        <w:rPr>
          <w:rFonts w:eastAsia="Calibri"/>
          <w:sz w:val="28"/>
          <w:szCs w:val="28"/>
          <w:lang w:eastAsia="ru-RU"/>
        </w:rPr>
        <w:t xml:space="preserve">- капитальный ремонт образовательных учреждений МБУ ДО Детский дом культуры, МБУ ДО ДМШ № 4 им. В.М. Свердлова, МБУ ДО ШИ </w:t>
      </w:r>
      <w:r>
        <w:rPr>
          <w:rFonts w:eastAsia="Calibri"/>
          <w:sz w:val="28"/>
          <w:szCs w:val="28"/>
          <w:lang w:eastAsia="ru-RU"/>
        </w:rPr>
        <w:t>«</w:t>
      </w:r>
      <w:r w:rsidRPr="00275A62">
        <w:rPr>
          <w:rFonts w:eastAsia="Calibri"/>
          <w:sz w:val="28"/>
          <w:szCs w:val="28"/>
          <w:lang w:eastAsia="ru-RU"/>
        </w:rPr>
        <w:t>Камертон</w:t>
      </w:r>
      <w:r>
        <w:rPr>
          <w:rFonts w:eastAsia="Calibri"/>
          <w:sz w:val="28"/>
          <w:szCs w:val="28"/>
          <w:lang w:eastAsia="ru-RU"/>
        </w:rPr>
        <w:t>»</w:t>
      </w:r>
      <w:r w:rsidRPr="00275A62">
        <w:rPr>
          <w:rFonts w:eastAsia="Calibri"/>
          <w:sz w:val="28"/>
          <w:szCs w:val="28"/>
          <w:lang w:eastAsia="ru-RU"/>
        </w:rPr>
        <w:t xml:space="preserve">, выдача заключения на техническое обследование здания МБОУ ВО </w:t>
      </w:r>
      <w:r>
        <w:rPr>
          <w:rFonts w:eastAsia="Calibri"/>
          <w:sz w:val="28"/>
          <w:szCs w:val="28"/>
          <w:lang w:eastAsia="ru-RU"/>
        </w:rPr>
        <w:t>«</w:t>
      </w:r>
      <w:r w:rsidRPr="00275A62">
        <w:rPr>
          <w:rFonts w:eastAsia="Calibri"/>
          <w:sz w:val="28"/>
          <w:szCs w:val="28"/>
          <w:lang w:eastAsia="ru-RU"/>
        </w:rPr>
        <w:t>Тольяттинская консерватория</w:t>
      </w:r>
      <w:r>
        <w:rPr>
          <w:rFonts w:eastAsia="Calibri"/>
          <w:sz w:val="28"/>
          <w:szCs w:val="28"/>
          <w:lang w:eastAsia="ru-RU"/>
        </w:rPr>
        <w:t>»</w:t>
      </w:r>
      <w:r w:rsidRPr="00275A62">
        <w:rPr>
          <w:rFonts w:eastAsia="Calibri"/>
          <w:sz w:val="28"/>
          <w:szCs w:val="28"/>
          <w:lang w:eastAsia="ru-RU"/>
        </w:rPr>
        <w:t xml:space="preserve"> (3 476,89 тыс.</w:t>
      </w:r>
      <w:r>
        <w:rPr>
          <w:rFonts w:eastAsia="Calibri"/>
          <w:sz w:val="28"/>
          <w:szCs w:val="28"/>
          <w:lang w:eastAsia="ru-RU"/>
        </w:rPr>
        <w:t xml:space="preserve"> </w:t>
      </w:r>
      <w:r w:rsidRPr="00275A62">
        <w:rPr>
          <w:rFonts w:eastAsia="Calibri"/>
          <w:sz w:val="28"/>
          <w:szCs w:val="28"/>
          <w:lang w:eastAsia="ru-RU"/>
        </w:rPr>
        <w:t>руб</w:t>
      </w:r>
      <w:r>
        <w:rPr>
          <w:rFonts w:eastAsia="Calibri"/>
          <w:sz w:val="28"/>
          <w:szCs w:val="28"/>
          <w:lang w:eastAsia="ru-RU"/>
        </w:rPr>
        <w:t>лей</w:t>
      </w:r>
      <w:r w:rsidRPr="00275A62">
        <w:rPr>
          <w:rFonts w:eastAsia="Calibri"/>
          <w:sz w:val="28"/>
          <w:szCs w:val="28"/>
          <w:lang w:eastAsia="ru-RU"/>
        </w:rPr>
        <w:t>)</w:t>
      </w:r>
      <w:r>
        <w:rPr>
          <w:rFonts w:eastAsia="Calibri"/>
          <w:sz w:val="28"/>
          <w:szCs w:val="28"/>
          <w:lang w:eastAsia="ru-RU"/>
        </w:rPr>
        <w:t>.</w:t>
      </w:r>
    </w:p>
    <w:p w14:paraId="262F983A" w14:textId="360F13D2" w:rsidR="00275A62" w:rsidRPr="00275A62" w:rsidRDefault="00275A62" w:rsidP="00275A62">
      <w:pPr>
        <w:suppressAutoHyphens w:val="0"/>
        <w:spacing w:line="276" w:lineRule="auto"/>
        <w:rPr>
          <w:rFonts w:eastAsia="Calibri"/>
          <w:sz w:val="28"/>
          <w:szCs w:val="28"/>
          <w:lang w:eastAsia="ru-RU"/>
        </w:rPr>
      </w:pPr>
      <w:r w:rsidRPr="00275A62">
        <w:rPr>
          <w:rFonts w:eastAsia="Calibri"/>
          <w:sz w:val="28"/>
          <w:szCs w:val="28"/>
          <w:lang w:eastAsia="ru-RU"/>
        </w:rPr>
        <w:t xml:space="preserve">- пополнение книжных фондов, в том числе электронная подписка полнотекстовых электронных документов </w:t>
      </w:r>
      <w:r>
        <w:rPr>
          <w:rFonts w:eastAsia="Calibri"/>
          <w:sz w:val="28"/>
          <w:szCs w:val="28"/>
          <w:lang w:eastAsia="ru-RU"/>
        </w:rPr>
        <w:t>«</w:t>
      </w:r>
      <w:proofErr w:type="spellStart"/>
      <w:r w:rsidRPr="00275A62">
        <w:rPr>
          <w:rFonts w:eastAsia="Calibri"/>
          <w:sz w:val="28"/>
          <w:szCs w:val="28"/>
          <w:lang w:eastAsia="ru-RU"/>
        </w:rPr>
        <w:t>ЛитРес</w:t>
      </w:r>
      <w:proofErr w:type="spellEnd"/>
      <w:r>
        <w:rPr>
          <w:rFonts w:eastAsia="Calibri"/>
          <w:sz w:val="28"/>
          <w:szCs w:val="28"/>
          <w:lang w:eastAsia="ru-RU"/>
        </w:rPr>
        <w:t>»</w:t>
      </w:r>
      <w:r w:rsidRPr="00275A62">
        <w:rPr>
          <w:rFonts w:eastAsia="Calibri"/>
          <w:sz w:val="28"/>
          <w:szCs w:val="28"/>
          <w:lang w:eastAsia="ru-RU"/>
        </w:rPr>
        <w:t xml:space="preserve"> в МБУК «Библиотеки Тольятти» (350,0 тыс. руб</w:t>
      </w:r>
      <w:r>
        <w:rPr>
          <w:rFonts w:eastAsia="Calibri"/>
          <w:sz w:val="28"/>
          <w:szCs w:val="28"/>
          <w:lang w:eastAsia="ru-RU"/>
        </w:rPr>
        <w:t>лей</w:t>
      </w:r>
      <w:r w:rsidRPr="00275A62">
        <w:rPr>
          <w:rFonts w:eastAsia="Calibri"/>
          <w:sz w:val="28"/>
          <w:szCs w:val="28"/>
          <w:lang w:eastAsia="ru-RU"/>
        </w:rPr>
        <w:t>)</w:t>
      </w:r>
      <w:r>
        <w:rPr>
          <w:rFonts w:eastAsia="Calibri"/>
          <w:sz w:val="28"/>
          <w:szCs w:val="28"/>
          <w:lang w:eastAsia="ru-RU"/>
        </w:rPr>
        <w:t>.</w:t>
      </w:r>
    </w:p>
    <w:p w14:paraId="46F78305" w14:textId="51744DD0" w:rsidR="00C74827" w:rsidRDefault="00C74827" w:rsidP="00096551">
      <w:pPr>
        <w:suppressAutoHyphens w:val="0"/>
        <w:spacing w:line="276" w:lineRule="auto"/>
        <w:rPr>
          <w:sz w:val="28"/>
          <w:szCs w:val="28"/>
          <w:lang w:eastAsia="ru-RU"/>
        </w:rPr>
      </w:pPr>
      <w:r w:rsidRPr="005F14C8">
        <w:rPr>
          <w:sz w:val="28"/>
          <w:szCs w:val="28"/>
          <w:lang w:eastAsia="ru-RU"/>
        </w:rPr>
        <w:t xml:space="preserve">Ключевой проблемой, препятствующей развитию сферы культура в городском округе Тольятти продолжает оставаться потребность в существенном обновлении материально-технического оснащения учреждений культуры и искусства, в том числе недостаточность ресурсов на разработку проектно-сметной документации и осуществлений капитального ремонта существующих и строительства новых зданий для объектов культуры и искусства. Развитие кадрового потенциала отрасли планируется через проведение и участие в конкурсах профессионального мастерства в целях поддержки и профессионального развития специалистов учреждений культуры, участие в программах повышения квалификации в рамках реализации национального проекта «Культура». </w:t>
      </w:r>
    </w:p>
    <w:p w14:paraId="0E360277" w14:textId="03E1EA09" w:rsidR="00FA601B" w:rsidRDefault="00FA601B" w:rsidP="00096551">
      <w:pPr>
        <w:pStyle w:val="3"/>
        <w:spacing w:before="120" w:line="276" w:lineRule="auto"/>
        <w:ind w:left="0" w:firstLine="0"/>
        <w:rPr>
          <w:sz w:val="28"/>
          <w:szCs w:val="28"/>
        </w:rPr>
      </w:pPr>
      <w:r w:rsidRPr="005F14C8">
        <w:rPr>
          <w:sz w:val="28"/>
          <w:szCs w:val="28"/>
        </w:rPr>
        <w:t>Физическая культура и спорт</w:t>
      </w:r>
    </w:p>
    <w:p w14:paraId="3269D018" w14:textId="77777777" w:rsidR="005F14C8" w:rsidRPr="005F14C8" w:rsidRDefault="005F14C8" w:rsidP="005F14C8"/>
    <w:p w14:paraId="51DF96F6" w14:textId="77777777" w:rsidR="00986B8B" w:rsidRPr="00986B8B" w:rsidRDefault="00986B8B" w:rsidP="002E114C">
      <w:pPr>
        <w:pStyle w:val="aff0"/>
        <w:spacing w:line="276" w:lineRule="auto"/>
        <w:rPr>
          <w:szCs w:val="28"/>
        </w:rPr>
      </w:pPr>
      <w:r w:rsidRPr="00986B8B">
        <w:rPr>
          <w:szCs w:val="28"/>
        </w:rPr>
        <w:t>По состоянию на 01.07.2021 на территории городского округа Тольятти 533 ед. учреждений, предприятий и организаций проводят физкультурно-спортивную работу различной направленности, в том числе:</w:t>
      </w:r>
    </w:p>
    <w:p w14:paraId="09AF4518" w14:textId="77777777" w:rsidR="00986B8B" w:rsidRPr="00986B8B" w:rsidRDefault="00986B8B" w:rsidP="002E114C">
      <w:pPr>
        <w:pStyle w:val="aff0"/>
        <w:spacing w:line="276" w:lineRule="auto"/>
        <w:rPr>
          <w:szCs w:val="28"/>
        </w:rPr>
      </w:pPr>
      <w:r w:rsidRPr="00986B8B">
        <w:rPr>
          <w:szCs w:val="28"/>
        </w:rPr>
        <w:t>- 14 муниципальных бюджетных учреждений спортивных школ и спортивных школ олимпийского резерва с общим количеством обучающихся – около 15,0 тыс. человек;</w:t>
      </w:r>
    </w:p>
    <w:p w14:paraId="23FA6883" w14:textId="77777777" w:rsidR="00986B8B" w:rsidRPr="00986B8B" w:rsidRDefault="00986B8B" w:rsidP="002E114C">
      <w:pPr>
        <w:pStyle w:val="aff0"/>
        <w:spacing w:line="276" w:lineRule="auto"/>
        <w:rPr>
          <w:szCs w:val="28"/>
        </w:rPr>
      </w:pPr>
      <w:r w:rsidRPr="00986B8B">
        <w:rPr>
          <w:szCs w:val="28"/>
        </w:rPr>
        <w:lastRenderedPageBreak/>
        <w:t xml:space="preserve">- 1 муниципальное бюджетное учреждение спорта (Центр физической культуры и спорта городского округа Тольятти; </w:t>
      </w:r>
    </w:p>
    <w:p w14:paraId="5888254E" w14:textId="77777777" w:rsidR="00986B8B" w:rsidRPr="00986B8B" w:rsidRDefault="00986B8B" w:rsidP="002E114C">
      <w:pPr>
        <w:pStyle w:val="aff0"/>
        <w:spacing w:line="276" w:lineRule="auto"/>
        <w:rPr>
          <w:szCs w:val="28"/>
        </w:rPr>
      </w:pPr>
      <w:r w:rsidRPr="00986B8B">
        <w:rPr>
          <w:szCs w:val="28"/>
        </w:rPr>
        <w:t>- 4 государственных бюджетных учреждения - государственное бюджетное учреждение Самарской области «Спортивная техническая школа», государственное автономное учреждение Самарской области «Спортивная школа олимпийского резерва № 1» (Тольяттинское отделение), государственное бюджетное учреждение Самарской области «Спортивная школа олимпийского резерва № 6», государственное автономное учреждение Самарской области «Спортивная школа олимпийского резерва № 4»;</w:t>
      </w:r>
    </w:p>
    <w:p w14:paraId="7A0C189E" w14:textId="77777777" w:rsidR="00986B8B" w:rsidRPr="00986B8B" w:rsidRDefault="00986B8B" w:rsidP="002E114C">
      <w:pPr>
        <w:pStyle w:val="aff0"/>
        <w:spacing w:line="276" w:lineRule="auto"/>
        <w:rPr>
          <w:szCs w:val="28"/>
        </w:rPr>
      </w:pPr>
      <w:r w:rsidRPr="00986B8B">
        <w:rPr>
          <w:szCs w:val="28"/>
        </w:rPr>
        <w:t>- государственное автономное учреждение Самарской области «Арена», в составе которого входят - ледовый дворец спорта «Лада-Арена», спортивный комплекс «Труд»;</w:t>
      </w:r>
    </w:p>
    <w:p w14:paraId="3D196C32" w14:textId="77777777" w:rsidR="00986B8B" w:rsidRPr="00986B8B" w:rsidRDefault="00986B8B" w:rsidP="002E114C">
      <w:pPr>
        <w:pStyle w:val="aff0"/>
        <w:spacing w:line="276" w:lineRule="auto"/>
        <w:rPr>
          <w:szCs w:val="28"/>
        </w:rPr>
      </w:pPr>
      <w:r w:rsidRPr="00986B8B">
        <w:rPr>
          <w:szCs w:val="28"/>
        </w:rPr>
        <w:t>- 227 ед. общественных и коммерческих организаций спортивной направленности - клубов, федераций, ассоциаций и т.д., из них 56 ед. фитнес-клубов, с общим количеством занимающихся 72,8 тыс. человек.</w:t>
      </w:r>
    </w:p>
    <w:p w14:paraId="13588B51" w14:textId="77777777" w:rsidR="00986B8B" w:rsidRPr="00986B8B" w:rsidRDefault="00986B8B" w:rsidP="005F14C8">
      <w:pPr>
        <w:spacing w:line="276" w:lineRule="auto"/>
        <w:rPr>
          <w:sz w:val="28"/>
          <w:szCs w:val="28"/>
        </w:rPr>
      </w:pPr>
      <w:r w:rsidRPr="00986B8B">
        <w:rPr>
          <w:sz w:val="28"/>
          <w:szCs w:val="28"/>
        </w:rPr>
        <w:t xml:space="preserve">В городском округе Тольятти сохраняются многолетние спортивные традиции в проведении соревнований (легкоатлетическая эстафета, посвященная Дню Победы проводится более 50 лет, тольяттинский лыжный марафон – более 20 лет), в последнее десятилетие получили развитие новые спортивные традиции: детский фестиваль гандбола (более 10 лет), фестиваль «Жигули-Баскет», соревнования по месту жительства «Семейные старты», «Большая игра», «Зимний мяч», «Мяч над сеткой», фестиваль стритбола, фестиваль по фитнес-аэробике «Мир движения и красоты» и детско-юношеский фестиваль футбола. </w:t>
      </w:r>
    </w:p>
    <w:p w14:paraId="46E54B09" w14:textId="5E14D8EE" w:rsidR="00986B8B" w:rsidRPr="00986B8B" w:rsidRDefault="00986B8B" w:rsidP="005F14C8">
      <w:pPr>
        <w:pStyle w:val="aff0"/>
        <w:spacing w:line="276" w:lineRule="auto"/>
        <w:rPr>
          <w:szCs w:val="28"/>
        </w:rPr>
      </w:pPr>
      <w:r w:rsidRPr="00986B8B">
        <w:rPr>
          <w:szCs w:val="28"/>
        </w:rPr>
        <w:t>В январе-июне 2021 г</w:t>
      </w:r>
      <w:r w:rsidR="002E114C">
        <w:rPr>
          <w:szCs w:val="28"/>
        </w:rPr>
        <w:t>ода</w:t>
      </w:r>
      <w:r w:rsidRPr="00986B8B">
        <w:rPr>
          <w:szCs w:val="28"/>
        </w:rPr>
        <w:t xml:space="preserve"> в городском округе Тольятти проведено 150 официальных физкультурно-спортивных мероприятий с общим количеством участников 42,8 тыс. чел</w:t>
      </w:r>
      <w:r w:rsidR="004D1069">
        <w:rPr>
          <w:szCs w:val="28"/>
        </w:rPr>
        <w:t>овек</w:t>
      </w:r>
      <w:r w:rsidRPr="00986B8B">
        <w:rPr>
          <w:szCs w:val="28"/>
        </w:rPr>
        <w:t>.</w:t>
      </w:r>
    </w:p>
    <w:p w14:paraId="657C8357" w14:textId="60D2F900" w:rsidR="00986B8B" w:rsidRPr="00986B8B" w:rsidRDefault="00986B8B" w:rsidP="005F14C8">
      <w:pPr>
        <w:pStyle w:val="aff0"/>
        <w:spacing w:line="276" w:lineRule="auto"/>
        <w:rPr>
          <w:szCs w:val="28"/>
        </w:rPr>
      </w:pPr>
      <w:r w:rsidRPr="00986B8B">
        <w:rPr>
          <w:szCs w:val="28"/>
        </w:rPr>
        <w:t xml:space="preserve">По разделу «Общегородские массовые физкультурные мероприятия и массовые спортивные мероприятия» количество мероприятий Календарного плана в сравнении с </w:t>
      </w:r>
      <w:r w:rsidR="00B81A11">
        <w:rPr>
          <w:szCs w:val="28"/>
          <w:lang w:val="en-US"/>
        </w:rPr>
        <w:t>I</w:t>
      </w:r>
      <w:r w:rsidRPr="00986B8B">
        <w:rPr>
          <w:szCs w:val="28"/>
        </w:rPr>
        <w:t xml:space="preserve"> полугодием 2020 года увеличилось на 13 ед. (на 92,9%). По разделу «Спортивные соревнования по видам спорта» относительно аналогичного периода 2020 года количество мероприятий увеличилось в 2,4 раза, число участников – в 2,2 раза. </w:t>
      </w:r>
    </w:p>
    <w:p w14:paraId="74C79019" w14:textId="77777777" w:rsidR="00986B8B" w:rsidRPr="00986B8B" w:rsidRDefault="00986B8B" w:rsidP="002E114C">
      <w:pPr>
        <w:tabs>
          <w:tab w:val="left" w:pos="851"/>
        </w:tabs>
        <w:spacing w:line="276" w:lineRule="auto"/>
        <w:rPr>
          <w:sz w:val="28"/>
          <w:szCs w:val="28"/>
        </w:rPr>
      </w:pPr>
      <w:r w:rsidRPr="00986B8B">
        <w:rPr>
          <w:sz w:val="28"/>
          <w:szCs w:val="28"/>
        </w:rPr>
        <w:t xml:space="preserve">Увеличение количества физкультурных и спортивных мероприятий Календарного плана произошло в связи с введением дополнений и изменений в 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утвержденного Министерством спорта РФ и Роспотребнадзором от 31.07.2020, которые </w:t>
      </w:r>
      <w:r w:rsidRPr="00986B8B">
        <w:rPr>
          <w:sz w:val="28"/>
          <w:szCs w:val="28"/>
        </w:rPr>
        <w:lastRenderedPageBreak/>
        <w:t>позволили провести запланированные физкультурно-спортивные мероприятия с соблюдением всех рекомендаций Роспотребнадзора.</w:t>
      </w:r>
    </w:p>
    <w:p w14:paraId="26EFF3B6" w14:textId="77777777" w:rsidR="00986B8B" w:rsidRPr="00986B8B" w:rsidRDefault="00986B8B" w:rsidP="002E114C">
      <w:pPr>
        <w:pStyle w:val="aff0"/>
        <w:spacing w:line="276" w:lineRule="auto"/>
        <w:rPr>
          <w:szCs w:val="28"/>
        </w:rPr>
      </w:pPr>
      <w:r w:rsidRPr="00986B8B">
        <w:rPr>
          <w:szCs w:val="28"/>
        </w:rPr>
        <w:t xml:space="preserve">Несмотря на наличие системной работы в городском округе Тольятти, как и в целом в стране, существуют проблемы, сдерживающие развитие физической культуры и спорта: в городском округе Тольятти низкая обеспеченность населения городского округа Тольятти спортивными сооружениями. </w:t>
      </w:r>
    </w:p>
    <w:p w14:paraId="5E6564DB" w14:textId="77777777" w:rsidR="00986B8B" w:rsidRPr="00986B8B" w:rsidRDefault="00986B8B" w:rsidP="002E114C">
      <w:pPr>
        <w:pStyle w:val="aff0"/>
        <w:spacing w:line="276" w:lineRule="auto"/>
        <w:rPr>
          <w:szCs w:val="28"/>
        </w:rPr>
      </w:pPr>
      <w:r w:rsidRPr="00986B8B">
        <w:rPr>
          <w:szCs w:val="28"/>
        </w:rPr>
        <w:t>По состоянию на 31.12.2020 общее количество спортивных сооружений составляет 860 ед., в том числе: стадионы - 2 ед., плоскостные площадки, футбольные поля - 467 ед., спортивные залы - 200 ед., крытые объекты с искусственным льдом - 6 ед., плавательные бассейны - 22 ед., лыжные базы - 3 ед., стрелковые тиры - 16 ед., объекты городской и рекреационной инфраструктуры – 32 ед. и другие спортивные сооружения - 112 ед.</w:t>
      </w:r>
    </w:p>
    <w:p w14:paraId="72DB1A4B" w14:textId="28A215D5" w:rsidR="00986B8B" w:rsidRPr="00986B8B" w:rsidRDefault="00986B8B" w:rsidP="002E114C">
      <w:pPr>
        <w:pStyle w:val="aff0"/>
        <w:spacing w:line="276" w:lineRule="auto"/>
        <w:rPr>
          <w:szCs w:val="28"/>
        </w:rPr>
      </w:pPr>
      <w:r w:rsidRPr="00986B8B">
        <w:rPr>
          <w:szCs w:val="28"/>
        </w:rPr>
        <w:t>Увеличение спортивных сооружений на 3% (на 25 ед.) произошло в связи с вводом в эксплуатацию - 23 спортивных площадок (различных типов), 1 велодорожки вдоль ул. Матросова (территория общего пользования) и 1 спортивного зала во вновь построенном физкультурно-спортивном комплексе «Батут» МБУ СШОР №7 «Акробат».</w:t>
      </w:r>
    </w:p>
    <w:p w14:paraId="5A8CAF4C" w14:textId="77777777" w:rsidR="00986B8B" w:rsidRPr="00986B8B" w:rsidRDefault="00986B8B" w:rsidP="005F14C8">
      <w:pPr>
        <w:pStyle w:val="aff0"/>
        <w:spacing w:line="276" w:lineRule="auto"/>
        <w:rPr>
          <w:szCs w:val="28"/>
        </w:rPr>
      </w:pPr>
      <w:r w:rsidRPr="00986B8B">
        <w:rPr>
          <w:szCs w:val="28"/>
        </w:rPr>
        <w:t>Распределение спортивных сооружений, расположенных на территории городского округа Тольятти, по формам собственности: в федеральной собственности - 35 ед., в собственности субъекта - 62 ед., в муниципальной собственности - 702 ед., в другой собственности - 61 ед.</w:t>
      </w:r>
    </w:p>
    <w:p w14:paraId="622DE0C8" w14:textId="59913894" w:rsidR="00986B8B" w:rsidRPr="00986B8B" w:rsidRDefault="00986B8B" w:rsidP="005F14C8">
      <w:pPr>
        <w:pStyle w:val="aff0"/>
        <w:spacing w:line="276" w:lineRule="auto"/>
        <w:rPr>
          <w:szCs w:val="28"/>
        </w:rPr>
      </w:pPr>
      <w:r w:rsidRPr="00986B8B">
        <w:rPr>
          <w:szCs w:val="28"/>
        </w:rPr>
        <w:t xml:space="preserve">Анализ уровня фактической обеспеченности населения объектами спорта от нормативной потребности за 2020 год составляет - 31,2% (в 2019 году - 30,6%). Значение показателя рассчитано в соответствии с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 утвержденными приказом </w:t>
      </w:r>
      <w:r w:rsidR="002E114C">
        <w:rPr>
          <w:szCs w:val="28"/>
        </w:rPr>
        <w:t>м</w:t>
      </w:r>
      <w:r w:rsidRPr="00986B8B">
        <w:rPr>
          <w:szCs w:val="28"/>
        </w:rPr>
        <w:t>инистерства спорта Российской Федерации от 21.03.2018 № 244 и данным, представленным по форме № 1-ФК «Сведения о физической культуре и спорте» за 2020 год.</w:t>
      </w:r>
    </w:p>
    <w:p w14:paraId="15154142" w14:textId="77777777" w:rsidR="00986B8B" w:rsidRPr="00986B8B" w:rsidRDefault="00986B8B" w:rsidP="005F14C8">
      <w:pPr>
        <w:pStyle w:val="aff0"/>
        <w:spacing w:line="276" w:lineRule="auto"/>
        <w:rPr>
          <w:szCs w:val="28"/>
        </w:rPr>
      </w:pPr>
      <w:r w:rsidRPr="00986B8B">
        <w:rPr>
          <w:szCs w:val="28"/>
        </w:rPr>
        <w:t xml:space="preserve">Приоритетное направление работы по развитию физической культуры и спорта – развитие спортивной инфраструктуры, в том числе, проектирование и строительство новых спортивных сооружений и реконструкция имеющихся спортивных объектов для более эффективного их использования, и увеличение пропускной способности. </w:t>
      </w:r>
    </w:p>
    <w:p w14:paraId="6B754A54" w14:textId="77777777" w:rsidR="00986B8B" w:rsidRPr="00986B8B" w:rsidRDefault="00986B8B" w:rsidP="005F14C8">
      <w:pPr>
        <w:pStyle w:val="aff0"/>
        <w:spacing w:line="276" w:lineRule="auto"/>
        <w:rPr>
          <w:szCs w:val="28"/>
        </w:rPr>
      </w:pPr>
      <w:r w:rsidRPr="00986B8B">
        <w:rPr>
          <w:szCs w:val="28"/>
        </w:rPr>
        <w:t xml:space="preserve">Кроме того, для повышения качества предоставления услуг, проведения учебно-тренировочных занятий и физкультурных мероприятий и спортивных мероприятий, привлечения обучающихся образовательных </w:t>
      </w:r>
      <w:r w:rsidRPr="00986B8B">
        <w:rPr>
          <w:szCs w:val="28"/>
        </w:rPr>
        <w:lastRenderedPageBreak/>
        <w:t xml:space="preserve">организаций к регулярным занятиям физической культурой и спортом, удовлетворения потребностей населения, а также повышения интереса различных категорий граждан к занятиям физической культурой и спортом, необходимо создание малобюджетных спортивных объектов в шаговой доступности и выполнить ремонт пришкольных спортивных площадок, оснащение их оборудованием в соответствии с современными требованиями. </w:t>
      </w:r>
    </w:p>
    <w:p w14:paraId="0DB1720D" w14:textId="77777777" w:rsidR="00986B8B" w:rsidRPr="00986B8B" w:rsidRDefault="00986B8B" w:rsidP="005F14C8">
      <w:pPr>
        <w:pStyle w:val="aff0"/>
        <w:spacing w:line="276" w:lineRule="auto"/>
        <w:rPr>
          <w:szCs w:val="28"/>
        </w:rPr>
      </w:pPr>
      <w:r w:rsidRPr="00986B8B">
        <w:rPr>
          <w:szCs w:val="28"/>
        </w:rPr>
        <w:t>Наличие соответствующих современным требованиям спортивных сооружений сможет повысить интерес различных категорий граждан к занятиям физической культурой и спортом, будет способствовать развитию массового спорта, спартакиадного движения, увеличению двигательной активности населения, улучшению физической подготовленности молодежи допризывного возраста.</w:t>
      </w:r>
    </w:p>
    <w:p w14:paraId="6B71282C" w14:textId="225168BE" w:rsidR="00986B8B" w:rsidRPr="00986B8B" w:rsidRDefault="00986B8B" w:rsidP="005F14C8">
      <w:pPr>
        <w:pStyle w:val="aff0"/>
        <w:spacing w:line="276" w:lineRule="auto"/>
        <w:rPr>
          <w:szCs w:val="28"/>
        </w:rPr>
      </w:pPr>
      <w:r w:rsidRPr="00986B8B">
        <w:rPr>
          <w:szCs w:val="28"/>
        </w:rPr>
        <w:t xml:space="preserve">В 2020 году из средств местного бюджета в рамках муниципальной программы </w:t>
      </w:r>
      <w:r w:rsidR="00AE71EC">
        <w:rPr>
          <w:szCs w:val="28"/>
        </w:rPr>
        <w:t xml:space="preserve">городского округа Тольятти </w:t>
      </w:r>
      <w:r w:rsidRPr="00986B8B">
        <w:rPr>
          <w:szCs w:val="28"/>
        </w:rPr>
        <w:t>«Развитие физической культуры и спорта на территории городского округа Тольятти на 2017-2021 годы»</w:t>
      </w:r>
      <w:r w:rsidR="00AE71EC">
        <w:rPr>
          <w:szCs w:val="28"/>
        </w:rPr>
        <w:t xml:space="preserve">, </w:t>
      </w:r>
      <w:r w:rsidR="00AE71EC" w:rsidRPr="00525013">
        <w:rPr>
          <w:szCs w:val="28"/>
        </w:rPr>
        <w:t>утвержденной</w:t>
      </w:r>
      <w:r w:rsidR="00AE71EC">
        <w:rPr>
          <w:szCs w:val="28"/>
        </w:rPr>
        <w:t xml:space="preserve"> </w:t>
      </w:r>
      <w:r w:rsidR="00525013" w:rsidRPr="00525013">
        <w:rPr>
          <w:szCs w:val="28"/>
        </w:rPr>
        <w:t xml:space="preserve">постановлением мэрии городского округа Тольятти №3066-п/1 от 30.09.2016 </w:t>
      </w:r>
      <w:r w:rsidRPr="00986B8B">
        <w:rPr>
          <w:szCs w:val="28"/>
        </w:rPr>
        <w:t>реализованы мероприятия по развитию спортивной инфраструктуры:</w:t>
      </w:r>
    </w:p>
    <w:p w14:paraId="6F1F1CD0" w14:textId="77777777" w:rsidR="00986B8B" w:rsidRPr="00986B8B" w:rsidRDefault="00986B8B" w:rsidP="005F14C8">
      <w:pPr>
        <w:pStyle w:val="aff0"/>
        <w:spacing w:line="276" w:lineRule="auto"/>
        <w:rPr>
          <w:szCs w:val="28"/>
        </w:rPr>
      </w:pPr>
      <w:r w:rsidRPr="00986B8B">
        <w:rPr>
          <w:szCs w:val="28"/>
        </w:rPr>
        <w:t xml:space="preserve">- построен и введён в эксплуатацию физкультурно-спортивный комплекс в 21 квартале Автозаводского района по адресу: г. Тольятти, Автозаводский район, южнее здания Южное шоссе, 19, для создания условий развития олимпийского вида спорта прыжки на батуте, а также для видов спорта - прыжки на акробатической дорожке и двойном </w:t>
      </w:r>
      <w:proofErr w:type="spellStart"/>
      <w:r w:rsidRPr="00986B8B">
        <w:rPr>
          <w:szCs w:val="28"/>
        </w:rPr>
        <w:t>минитрампе</w:t>
      </w:r>
      <w:proofErr w:type="spellEnd"/>
      <w:r w:rsidRPr="00986B8B">
        <w:rPr>
          <w:szCs w:val="28"/>
        </w:rPr>
        <w:t xml:space="preserve">, после завершения строительства объект передан в оперативное управление МБУДО СШОР № 7 «Акробат»; </w:t>
      </w:r>
    </w:p>
    <w:p w14:paraId="17A14915" w14:textId="77777777" w:rsidR="00986B8B" w:rsidRPr="00986B8B" w:rsidRDefault="00986B8B" w:rsidP="005F14C8">
      <w:pPr>
        <w:pStyle w:val="aff0"/>
        <w:spacing w:line="276" w:lineRule="auto"/>
        <w:rPr>
          <w:szCs w:val="28"/>
        </w:rPr>
      </w:pPr>
      <w:r w:rsidRPr="00986B8B">
        <w:rPr>
          <w:szCs w:val="28"/>
        </w:rPr>
        <w:t>- капитальный ремонт объектов обособленного структурного подразделения база отдыха «Спартак» МБУ СШОР № 9 «</w:t>
      </w:r>
      <w:proofErr w:type="spellStart"/>
      <w:r w:rsidRPr="00986B8B">
        <w:rPr>
          <w:szCs w:val="28"/>
        </w:rPr>
        <w:t>Велотол</w:t>
      </w:r>
      <w:proofErr w:type="spellEnd"/>
      <w:r w:rsidRPr="00986B8B">
        <w:rPr>
          <w:szCs w:val="28"/>
        </w:rPr>
        <w:t>» (6 объектов - водопровод, здание душевых, здание спортклуба, здание столовой, ограждение и здание клуба);</w:t>
      </w:r>
    </w:p>
    <w:p w14:paraId="217D654D" w14:textId="77777777" w:rsidR="00986B8B" w:rsidRPr="00986B8B" w:rsidRDefault="00986B8B" w:rsidP="005F14C8">
      <w:pPr>
        <w:pStyle w:val="aff0"/>
        <w:spacing w:line="276" w:lineRule="auto"/>
        <w:rPr>
          <w:szCs w:val="28"/>
        </w:rPr>
      </w:pPr>
      <w:r w:rsidRPr="00986B8B">
        <w:rPr>
          <w:szCs w:val="28"/>
        </w:rPr>
        <w:t>- ремонт кровель здания МБУ СШОР № 8 «Союз» (б-р Буденного, 20) и спортивного комплекса «Кристалл» МБУ СШОР № 13 «Волгарь»;</w:t>
      </w:r>
    </w:p>
    <w:p w14:paraId="62A3F710" w14:textId="77777777" w:rsidR="00986B8B" w:rsidRPr="00986B8B" w:rsidRDefault="00986B8B" w:rsidP="005F14C8">
      <w:pPr>
        <w:overflowPunct w:val="0"/>
        <w:autoSpaceDE w:val="0"/>
        <w:spacing w:line="276" w:lineRule="auto"/>
        <w:ind w:firstLine="851"/>
        <w:rPr>
          <w:sz w:val="28"/>
          <w:szCs w:val="28"/>
        </w:rPr>
      </w:pPr>
      <w:r w:rsidRPr="00986B8B">
        <w:rPr>
          <w:sz w:val="28"/>
          <w:szCs w:val="28"/>
        </w:rPr>
        <w:t>- выполнены работы по устройству эвакуационных выходов во дворце спорта «Волгарь».</w:t>
      </w:r>
    </w:p>
    <w:p w14:paraId="474A1494" w14:textId="2C148469" w:rsidR="00986B8B" w:rsidRPr="00986B8B" w:rsidRDefault="00986B8B" w:rsidP="005F14C8">
      <w:pPr>
        <w:overflowPunct w:val="0"/>
        <w:autoSpaceDE w:val="0"/>
        <w:spacing w:line="276" w:lineRule="auto"/>
        <w:ind w:firstLine="851"/>
        <w:rPr>
          <w:sz w:val="28"/>
          <w:szCs w:val="28"/>
        </w:rPr>
      </w:pPr>
      <w:r w:rsidRPr="00986B8B">
        <w:rPr>
          <w:sz w:val="28"/>
          <w:szCs w:val="28"/>
        </w:rPr>
        <w:t xml:space="preserve">В </w:t>
      </w:r>
      <w:r w:rsidR="004F3625">
        <w:rPr>
          <w:sz w:val="28"/>
          <w:szCs w:val="28"/>
          <w:lang w:val="en-US"/>
        </w:rPr>
        <w:t>I</w:t>
      </w:r>
      <w:r w:rsidRPr="00986B8B">
        <w:rPr>
          <w:sz w:val="28"/>
          <w:szCs w:val="28"/>
        </w:rPr>
        <w:t xml:space="preserve"> полугодии 2021 года разработана проектно-сметная документация Центра спортивной гимнастики «Немов-центр», в сентябре 2021 года введен в эксплуатацию объект «Крытый плавательный бассейн ТГУ» в рамках Федерального проекта «500 бассейнов» с целью создания условий для массовых занятий водными видами спорта.</w:t>
      </w:r>
    </w:p>
    <w:p w14:paraId="00043D99" w14:textId="7BD303B8" w:rsidR="00986B8B" w:rsidRPr="00986B8B" w:rsidRDefault="00986B8B" w:rsidP="005F14C8">
      <w:pPr>
        <w:overflowPunct w:val="0"/>
        <w:autoSpaceDE w:val="0"/>
        <w:spacing w:line="276" w:lineRule="auto"/>
        <w:ind w:firstLine="851"/>
        <w:rPr>
          <w:sz w:val="28"/>
          <w:szCs w:val="28"/>
        </w:rPr>
      </w:pPr>
      <w:r w:rsidRPr="00986B8B">
        <w:rPr>
          <w:sz w:val="28"/>
          <w:szCs w:val="28"/>
        </w:rPr>
        <w:lastRenderedPageBreak/>
        <w:t xml:space="preserve">Основным показателем развития отрасли является доля граждан населения, систематически занимающихся физической культурой и спортом. Данный показатель по городскому округу Тольятти в 2019 году составил 41,0%, в 2020 году – 44,2% и в 2021 году планируется не менее – 47%. </w:t>
      </w:r>
    </w:p>
    <w:p w14:paraId="3DBBC32A" w14:textId="77777777" w:rsidR="00986B8B" w:rsidRPr="00986B8B" w:rsidRDefault="00986B8B" w:rsidP="005F14C8">
      <w:pPr>
        <w:overflowPunct w:val="0"/>
        <w:autoSpaceDE w:val="0"/>
        <w:spacing w:line="276" w:lineRule="auto"/>
        <w:ind w:firstLine="851"/>
        <w:rPr>
          <w:sz w:val="28"/>
          <w:szCs w:val="28"/>
        </w:rPr>
      </w:pPr>
      <w:r w:rsidRPr="00986B8B">
        <w:rPr>
          <w:sz w:val="28"/>
          <w:szCs w:val="28"/>
        </w:rPr>
        <w:t>В рамках реализации государственной программы Самарской области «Развитие физической культуры и спорта в Самарской области на 2014-2023 годы» и региональной составляющей федерального проекта «Спорт - норма жизни» национального проекта «Демография» осуществляется работа по строительству следующих спортивных объектов:</w:t>
      </w:r>
    </w:p>
    <w:p w14:paraId="673AFF05" w14:textId="77777777" w:rsidR="00986B8B" w:rsidRPr="00986B8B" w:rsidRDefault="00986B8B" w:rsidP="005F14C8">
      <w:pPr>
        <w:overflowPunct w:val="0"/>
        <w:autoSpaceDE w:val="0"/>
        <w:spacing w:line="276" w:lineRule="auto"/>
        <w:ind w:firstLine="851"/>
        <w:rPr>
          <w:sz w:val="28"/>
          <w:szCs w:val="28"/>
        </w:rPr>
      </w:pPr>
      <w:r w:rsidRPr="00986B8B">
        <w:rPr>
          <w:sz w:val="28"/>
          <w:szCs w:val="28"/>
        </w:rPr>
        <w:t>- завершение строительства легкоатлетического манежа около стадиона «Торпедо» (планируемый срок сдачи объекта – 2021 год);</w:t>
      </w:r>
    </w:p>
    <w:p w14:paraId="5D564592" w14:textId="77777777" w:rsidR="00986B8B" w:rsidRPr="00986B8B" w:rsidRDefault="00986B8B" w:rsidP="005F14C8">
      <w:pPr>
        <w:overflowPunct w:val="0"/>
        <w:autoSpaceDE w:val="0"/>
        <w:spacing w:line="276" w:lineRule="auto"/>
        <w:ind w:firstLine="851"/>
        <w:rPr>
          <w:sz w:val="28"/>
          <w:szCs w:val="28"/>
        </w:rPr>
      </w:pPr>
      <w:r w:rsidRPr="00986B8B">
        <w:rPr>
          <w:sz w:val="28"/>
          <w:szCs w:val="28"/>
        </w:rPr>
        <w:t>- устройство спортивной площадки с покрытием искусственная трава 56х28 м на территории МБУ Школа № 32 (б-р Буденного, 4).</w:t>
      </w:r>
    </w:p>
    <w:p w14:paraId="51B7DB50" w14:textId="4D89D143" w:rsidR="00986B8B" w:rsidRPr="00986B8B" w:rsidRDefault="00986B8B" w:rsidP="005F14C8">
      <w:pPr>
        <w:overflowPunct w:val="0"/>
        <w:autoSpaceDE w:val="0"/>
        <w:spacing w:line="276" w:lineRule="auto"/>
        <w:ind w:firstLine="851"/>
        <w:rPr>
          <w:sz w:val="28"/>
          <w:szCs w:val="28"/>
        </w:rPr>
      </w:pPr>
      <w:r w:rsidRPr="00986B8B">
        <w:rPr>
          <w:sz w:val="28"/>
          <w:szCs w:val="28"/>
        </w:rPr>
        <w:t xml:space="preserve">В рамках реализации муниципальной программы </w:t>
      </w:r>
      <w:r w:rsidR="00AE71EC">
        <w:rPr>
          <w:sz w:val="28"/>
          <w:szCs w:val="28"/>
        </w:rPr>
        <w:t xml:space="preserve">городского округа Тольятти </w:t>
      </w:r>
      <w:r w:rsidRPr="00986B8B">
        <w:rPr>
          <w:sz w:val="28"/>
          <w:szCs w:val="28"/>
        </w:rPr>
        <w:t>«Развитие физической культуры и спорта в городском окру</w:t>
      </w:r>
      <w:r w:rsidR="00806DED">
        <w:rPr>
          <w:sz w:val="28"/>
          <w:szCs w:val="28"/>
        </w:rPr>
        <w:t xml:space="preserve">ге Тольятти на 2017-2021 годы» </w:t>
      </w:r>
      <w:r w:rsidRPr="00986B8B">
        <w:rPr>
          <w:sz w:val="28"/>
          <w:szCs w:val="28"/>
        </w:rPr>
        <w:t>в 2021 году запланированы мероприятия по развитию спортивной инфраструктуры:</w:t>
      </w:r>
    </w:p>
    <w:p w14:paraId="15656DC6" w14:textId="77777777" w:rsidR="00986B8B" w:rsidRPr="00986B8B" w:rsidRDefault="00986B8B" w:rsidP="005F14C8">
      <w:pPr>
        <w:overflowPunct w:val="0"/>
        <w:autoSpaceDE w:val="0"/>
        <w:spacing w:line="276" w:lineRule="auto"/>
        <w:ind w:firstLine="851"/>
        <w:rPr>
          <w:sz w:val="28"/>
          <w:szCs w:val="28"/>
        </w:rPr>
      </w:pPr>
      <w:r w:rsidRPr="00986B8B">
        <w:rPr>
          <w:sz w:val="28"/>
          <w:szCs w:val="28"/>
        </w:rPr>
        <w:t>- проектирование физкультурно-оздоровительного комплекса по адресу: г. Тольятти, Комсомольский район, ул. Гидротехническая, 36;</w:t>
      </w:r>
    </w:p>
    <w:p w14:paraId="6F30F302" w14:textId="77777777" w:rsidR="00986B8B" w:rsidRPr="00986B8B" w:rsidRDefault="00986B8B" w:rsidP="005F14C8">
      <w:pPr>
        <w:overflowPunct w:val="0"/>
        <w:autoSpaceDE w:val="0"/>
        <w:spacing w:line="276" w:lineRule="auto"/>
        <w:ind w:firstLine="851"/>
        <w:rPr>
          <w:sz w:val="28"/>
          <w:szCs w:val="28"/>
        </w:rPr>
      </w:pPr>
      <w:r w:rsidRPr="00986B8B">
        <w:rPr>
          <w:sz w:val="28"/>
          <w:szCs w:val="28"/>
        </w:rPr>
        <w:t>- разработка проектно-сметной документации на капитальный ремонт футбольного поля спортивного комплекса «Спутник»;</w:t>
      </w:r>
    </w:p>
    <w:p w14:paraId="43E788C4" w14:textId="77777777" w:rsidR="00986B8B" w:rsidRPr="00986B8B" w:rsidRDefault="00986B8B" w:rsidP="005F14C8">
      <w:pPr>
        <w:pStyle w:val="aff0"/>
        <w:spacing w:line="276" w:lineRule="auto"/>
        <w:rPr>
          <w:rFonts w:eastAsiaTheme="minorHAnsi"/>
          <w:szCs w:val="28"/>
          <w:lang w:eastAsia="en-US"/>
        </w:rPr>
      </w:pPr>
      <w:r w:rsidRPr="00986B8B">
        <w:rPr>
          <w:rFonts w:eastAsiaTheme="minorHAnsi"/>
          <w:szCs w:val="28"/>
          <w:lang w:eastAsia="en-US"/>
        </w:rPr>
        <w:t>- разработка проектно-сметной документации на капитальный ремонт спортивного комплекса по адресу: ул. Матросова, 5а;</w:t>
      </w:r>
    </w:p>
    <w:p w14:paraId="2476968E" w14:textId="77777777" w:rsidR="00986B8B" w:rsidRPr="00986B8B" w:rsidRDefault="00986B8B" w:rsidP="005F14C8">
      <w:pPr>
        <w:pStyle w:val="aff0"/>
        <w:spacing w:line="276" w:lineRule="auto"/>
        <w:rPr>
          <w:rFonts w:eastAsiaTheme="minorHAnsi"/>
          <w:szCs w:val="28"/>
          <w:lang w:eastAsia="en-US"/>
        </w:rPr>
      </w:pPr>
      <w:r w:rsidRPr="00986B8B">
        <w:rPr>
          <w:rFonts w:eastAsiaTheme="minorHAnsi"/>
          <w:szCs w:val="28"/>
          <w:lang w:eastAsia="en-US"/>
        </w:rPr>
        <w:t>- разработка проектно-сметной документации на капитальный ремонт стадиона «Дружба» по адресу: ул. Никонова, 19/21.</w:t>
      </w:r>
    </w:p>
    <w:p w14:paraId="747A86C5" w14:textId="77777777" w:rsidR="00986B8B" w:rsidRPr="00986B8B" w:rsidRDefault="00986B8B" w:rsidP="005F14C8">
      <w:pPr>
        <w:overflowPunct w:val="0"/>
        <w:autoSpaceDE w:val="0"/>
        <w:spacing w:line="276" w:lineRule="auto"/>
        <w:ind w:firstLine="851"/>
        <w:rPr>
          <w:sz w:val="28"/>
          <w:szCs w:val="28"/>
        </w:rPr>
      </w:pPr>
      <w:r w:rsidRPr="00986B8B">
        <w:rPr>
          <w:sz w:val="28"/>
          <w:szCs w:val="28"/>
        </w:rPr>
        <w:t>Кроме того, в рамках государственно-частного партнерства ПАО «Газпром» продолжает строительство физкультурно-спортивного комплекса (площадка «Певческое поле»).</w:t>
      </w:r>
    </w:p>
    <w:p w14:paraId="1B9134D2" w14:textId="77777777" w:rsidR="00986B8B" w:rsidRPr="00986B8B" w:rsidRDefault="00986B8B" w:rsidP="005F14C8">
      <w:pPr>
        <w:overflowPunct w:val="0"/>
        <w:autoSpaceDE w:val="0"/>
        <w:spacing w:line="276" w:lineRule="auto"/>
        <w:ind w:firstLine="851"/>
        <w:rPr>
          <w:sz w:val="28"/>
          <w:szCs w:val="28"/>
        </w:rPr>
      </w:pPr>
      <w:r w:rsidRPr="00986B8B">
        <w:rPr>
          <w:sz w:val="28"/>
          <w:szCs w:val="28"/>
        </w:rPr>
        <w:t xml:space="preserve">В настоящее время отсутствует острая проблема с укомплектованностью тренерами и специалистами 14 муниципальных учреждений, находящихся в ведомственном подчинении администрации </w:t>
      </w:r>
      <w:r w:rsidRPr="00986B8B">
        <w:rPr>
          <w:sz w:val="28"/>
          <w:szCs w:val="28"/>
          <w:shd w:val="clear" w:color="auto" w:fill="FFFFFF"/>
        </w:rPr>
        <w:t>городского округа Тольятти</w:t>
      </w:r>
      <w:r w:rsidRPr="00986B8B">
        <w:rPr>
          <w:sz w:val="28"/>
          <w:szCs w:val="28"/>
        </w:rPr>
        <w:t>. Возникающие вакансии оперативно заполняются в соответствии с потребностью.</w:t>
      </w:r>
    </w:p>
    <w:p w14:paraId="2CA41C81" w14:textId="77777777" w:rsidR="00986B8B" w:rsidRPr="00986B8B" w:rsidRDefault="00986B8B" w:rsidP="005F14C8">
      <w:pPr>
        <w:overflowPunct w:val="0"/>
        <w:autoSpaceDE w:val="0"/>
        <w:spacing w:line="276" w:lineRule="auto"/>
        <w:ind w:firstLine="851"/>
        <w:rPr>
          <w:sz w:val="28"/>
          <w:szCs w:val="28"/>
        </w:rPr>
      </w:pPr>
      <w:r w:rsidRPr="00986B8B">
        <w:rPr>
          <w:sz w:val="28"/>
          <w:szCs w:val="28"/>
        </w:rPr>
        <w:t>В сфере физической культуры и спорта населению городского округа Тольятти оказываются услуги:</w:t>
      </w:r>
    </w:p>
    <w:p w14:paraId="2EE64DE4" w14:textId="77777777" w:rsidR="00986B8B" w:rsidRPr="00986B8B" w:rsidRDefault="00986B8B" w:rsidP="005F14C8">
      <w:pPr>
        <w:overflowPunct w:val="0"/>
        <w:autoSpaceDE w:val="0"/>
        <w:spacing w:line="276" w:lineRule="auto"/>
        <w:ind w:firstLine="851"/>
        <w:rPr>
          <w:sz w:val="28"/>
          <w:szCs w:val="28"/>
        </w:rPr>
      </w:pPr>
      <w:r w:rsidRPr="00986B8B">
        <w:rPr>
          <w:sz w:val="28"/>
          <w:szCs w:val="28"/>
        </w:rPr>
        <w:t xml:space="preserve">- муниципальные услуги «Спортивная подготовка по видам спорта»; </w:t>
      </w:r>
    </w:p>
    <w:p w14:paraId="5446F32D" w14:textId="70B8DF1B" w:rsidR="00986B8B" w:rsidRPr="00986B8B" w:rsidRDefault="00986B8B" w:rsidP="005F14C8">
      <w:pPr>
        <w:overflowPunct w:val="0"/>
        <w:autoSpaceDE w:val="0"/>
        <w:spacing w:line="276" w:lineRule="auto"/>
        <w:ind w:firstLine="851"/>
        <w:rPr>
          <w:sz w:val="28"/>
          <w:szCs w:val="28"/>
        </w:rPr>
      </w:pPr>
      <w:r w:rsidRPr="00986B8B">
        <w:rPr>
          <w:sz w:val="28"/>
          <w:szCs w:val="28"/>
        </w:rPr>
        <w:t>-</w:t>
      </w:r>
      <w:r w:rsidR="00AE71EC">
        <w:rPr>
          <w:sz w:val="28"/>
          <w:szCs w:val="28"/>
        </w:rPr>
        <w:t> </w:t>
      </w:r>
      <w:r w:rsidRPr="00986B8B">
        <w:rPr>
          <w:sz w:val="28"/>
          <w:szCs w:val="28"/>
        </w:rPr>
        <w:t>муниципальная услуга «Реализация дополнительных предпрофессиональных программ в области физической культуры и спорта»;</w:t>
      </w:r>
    </w:p>
    <w:p w14:paraId="40EBECE6" w14:textId="77777777" w:rsidR="00986B8B" w:rsidRPr="00986B8B" w:rsidRDefault="00986B8B" w:rsidP="005F14C8">
      <w:pPr>
        <w:overflowPunct w:val="0"/>
        <w:autoSpaceDE w:val="0"/>
        <w:spacing w:line="276" w:lineRule="auto"/>
        <w:ind w:firstLine="851"/>
        <w:rPr>
          <w:sz w:val="28"/>
          <w:szCs w:val="28"/>
        </w:rPr>
      </w:pPr>
      <w:r w:rsidRPr="00986B8B">
        <w:rPr>
          <w:sz w:val="28"/>
          <w:szCs w:val="28"/>
        </w:rPr>
        <w:lastRenderedPageBreak/>
        <w:t>- платные услуги, оказываемые в муниципальных спортивных объектах, находящихся в оперативном управлении муниципальных спортивных школ.</w:t>
      </w:r>
    </w:p>
    <w:p w14:paraId="35EC0E72" w14:textId="77777777" w:rsidR="00986B8B" w:rsidRPr="00986B8B" w:rsidRDefault="00986B8B" w:rsidP="005F14C8">
      <w:pPr>
        <w:overflowPunct w:val="0"/>
        <w:autoSpaceDE w:val="0"/>
        <w:spacing w:line="276" w:lineRule="auto"/>
        <w:ind w:firstLine="851"/>
        <w:rPr>
          <w:sz w:val="28"/>
          <w:szCs w:val="28"/>
        </w:rPr>
      </w:pPr>
      <w:r w:rsidRPr="00986B8B">
        <w:rPr>
          <w:sz w:val="28"/>
          <w:szCs w:val="28"/>
        </w:rPr>
        <w:t>Проблема по качественному предоставлению платных услуг, оказываемых на муниципальных спортивных объектах, является следствием отсутствия средств на проведение мероприятий по капитальному ремонту и реконструкции данных объектов.</w:t>
      </w:r>
    </w:p>
    <w:p w14:paraId="3BF2EB8E" w14:textId="3B2DE70F" w:rsidR="00986B8B" w:rsidRPr="00986B8B" w:rsidRDefault="00986B8B" w:rsidP="005F14C8">
      <w:pPr>
        <w:overflowPunct w:val="0"/>
        <w:autoSpaceDE w:val="0"/>
        <w:spacing w:line="276" w:lineRule="auto"/>
        <w:ind w:firstLine="851"/>
        <w:rPr>
          <w:sz w:val="28"/>
          <w:szCs w:val="28"/>
        </w:rPr>
      </w:pPr>
      <w:r w:rsidRPr="00986B8B">
        <w:rPr>
          <w:sz w:val="28"/>
          <w:szCs w:val="28"/>
        </w:rPr>
        <w:t>В целях привлечения работающих граждан к физической подготовке и последующей сдаче нормативов Всероссийского физкультурно-спортивного комплекса «Готов к труду и обороне» (далее</w:t>
      </w:r>
      <w:r w:rsidR="00AE71EC">
        <w:rPr>
          <w:sz w:val="28"/>
          <w:szCs w:val="28"/>
        </w:rPr>
        <w:t xml:space="preserve"> </w:t>
      </w:r>
      <w:r w:rsidR="00806DED">
        <w:rPr>
          <w:sz w:val="28"/>
          <w:szCs w:val="28"/>
        </w:rPr>
        <w:t xml:space="preserve">по разделу </w:t>
      </w:r>
      <w:r w:rsidRPr="00986B8B">
        <w:rPr>
          <w:sz w:val="28"/>
          <w:szCs w:val="28"/>
        </w:rPr>
        <w:t>-</w:t>
      </w:r>
      <w:r w:rsidR="00AE71EC">
        <w:rPr>
          <w:sz w:val="28"/>
          <w:szCs w:val="28"/>
        </w:rPr>
        <w:t xml:space="preserve"> </w:t>
      </w:r>
      <w:r w:rsidRPr="00986B8B">
        <w:rPr>
          <w:sz w:val="28"/>
          <w:szCs w:val="28"/>
        </w:rPr>
        <w:t xml:space="preserve">ВФСК ГТО) руководителям промышленных предприятий необходимо предусмотреть в коллективных договорах меры по стимулированию работников, участвующих в подготовке и сдаче нормативов. </w:t>
      </w:r>
    </w:p>
    <w:p w14:paraId="71436CA4" w14:textId="5BE4A771" w:rsidR="00986B8B" w:rsidRPr="00986B8B" w:rsidRDefault="00986B8B" w:rsidP="005F14C8">
      <w:pPr>
        <w:overflowPunct w:val="0"/>
        <w:autoSpaceDE w:val="0"/>
        <w:spacing w:line="276" w:lineRule="auto"/>
        <w:ind w:firstLine="851"/>
        <w:rPr>
          <w:sz w:val="28"/>
          <w:szCs w:val="28"/>
        </w:rPr>
      </w:pPr>
      <w:r w:rsidRPr="00986B8B">
        <w:rPr>
          <w:sz w:val="28"/>
          <w:szCs w:val="28"/>
        </w:rPr>
        <w:t xml:space="preserve">В рамках внедрения комплекса «Готов к труду и обороне» на территории городского округа Тольятти в соответствии с постановлением мэрии городского округа Тольятти от 08.06.2015 № 1810-п/1 «Об организационном обеспечении мероприятий Всероссийского физкультурно-спортивного комплекса «Готов к труду и обороне» (ГТО) на период 2022-2026 гг. на территории городского округа Тольятти», необходимо создание не менее 4-х Центров тестирования ВФСК ГТО и укомплектование их кадрами в количестве по 9 человек каждый. </w:t>
      </w:r>
    </w:p>
    <w:p w14:paraId="42ABC969" w14:textId="77777777" w:rsidR="00986B8B" w:rsidRPr="00986B8B" w:rsidRDefault="00986B8B" w:rsidP="005F14C8">
      <w:pPr>
        <w:overflowPunct w:val="0"/>
        <w:autoSpaceDE w:val="0"/>
        <w:spacing w:line="276" w:lineRule="auto"/>
        <w:ind w:firstLine="851"/>
        <w:rPr>
          <w:sz w:val="28"/>
          <w:szCs w:val="28"/>
        </w:rPr>
      </w:pPr>
      <w:r w:rsidRPr="00986B8B">
        <w:rPr>
          <w:sz w:val="28"/>
          <w:szCs w:val="28"/>
        </w:rPr>
        <w:t xml:space="preserve">Необходимо открытие дополнительных физкультурно-спортивных клубов по работе с населением по месту жительства (включая кадровое и материально техническое обеспечение) до нормативной потребности. Реконструированные и вновь построенные спортивные объекты позволят проводить на более высоком уровне спортивные мероприятия для жителей городского округа Тольятти, а также соревнований любого ранга, (включая всероссийский и международный), что будет способствовать популяризации среди населения здорового образа жизни. </w:t>
      </w:r>
    </w:p>
    <w:p w14:paraId="535AA878" w14:textId="77777777" w:rsidR="00986B8B" w:rsidRPr="00986B8B" w:rsidRDefault="00986B8B" w:rsidP="005F14C8">
      <w:pPr>
        <w:overflowPunct w:val="0"/>
        <w:autoSpaceDE w:val="0"/>
        <w:spacing w:line="276" w:lineRule="auto"/>
        <w:ind w:firstLine="851"/>
        <w:rPr>
          <w:sz w:val="28"/>
          <w:szCs w:val="28"/>
        </w:rPr>
      </w:pPr>
      <w:r w:rsidRPr="00986B8B">
        <w:rPr>
          <w:sz w:val="28"/>
          <w:szCs w:val="28"/>
        </w:rPr>
        <w:t xml:space="preserve">Строительство сооружений непосредственно в жилых кварталах обеспечит шаговую доступность для жителей разного возраста, а также доступность для инвалидов. Наличие спортивных объектов будет способствовать созданию сети спортивных клубов по месту жительства. </w:t>
      </w:r>
    </w:p>
    <w:p w14:paraId="51E50C24" w14:textId="420B6D45" w:rsidR="00385123" w:rsidRDefault="00385123" w:rsidP="000E0026">
      <w:pPr>
        <w:spacing w:line="276" w:lineRule="auto"/>
        <w:ind w:firstLine="0"/>
        <w:jc w:val="center"/>
        <w:rPr>
          <w:sz w:val="28"/>
          <w:szCs w:val="28"/>
        </w:rPr>
      </w:pPr>
    </w:p>
    <w:p w14:paraId="4B6BC226" w14:textId="0004184E" w:rsidR="00385123" w:rsidRDefault="00385123" w:rsidP="000E0026">
      <w:pPr>
        <w:spacing w:line="276" w:lineRule="auto"/>
        <w:ind w:firstLine="0"/>
        <w:jc w:val="center"/>
        <w:rPr>
          <w:sz w:val="28"/>
          <w:szCs w:val="28"/>
        </w:rPr>
      </w:pPr>
    </w:p>
    <w:p w14:paraId="38251C69" w14:textId="02BFCB35" w:rsidR="00385123" w:rsidRDefault="00385123" w:rsidP="000E0026">
      <w:pPr>
        <w:spacing w:line="276" w:lineRule="auto"/>
        <w:ind w:firstLine="0"/>
        <w:jc w:val="center"/>
        <w:rPr>
          <w:sz w:val="28"/>
          <w:szCs w:val="28"/>
        </w:rPr>
      </w:pPr>
    </w:p>
    <w:p w14:paraId="12E3502D" w14:textId="3587905D" w:rsidR="00385123" w:rsidRDefault="00385123" w:rsidP="000E0026">
      <w:pPr>
        <w:spacing w:line="276" w:lineRule="auto"/>
        <w:ind w:firstLine="0"/>
        <w:jc w:val="center"/>
        <w:rPr>
          <w:sz w:val="28"/>
          <w:szCs w:val="28"/>
        </w:rPr>
      </w:pPr>
    </w:p>
    <w:p w14:paraId="2CBA0B3D" w14:textId="77777777" w:rsidR="00385123" w:rsidRDefault="00385123" w:rsidP="000E0026">
      <w:pPr>
        <w:spacing w:line="276" w:lineRule="auto"/>
        <w:ind w:firstLine="0"/>
        <w:jc w:val="center"/>
        <w:rPr>
          <w:sz w:val="28"/>
          <w:szCs w:val="28"/>
        </w:rPr>
      </w:pPr>
    </w:p>
    <w:p w14:paraId="00C83A45" w14:textId="77777777" w:rsidR="00385123" w:rsidRDefault="00385123" w:rsidP="000E0026">
      <w:pPr>
        <w:spacing w:line="276" w:lineRule="auto"/>
        <w:ind w:firstLine="0"/>
        <w:jc w:val="center"/>
        <w:rPr>
          <w:sz w:val="28"/>
          <w:szCs w:val="28"/>
        </w:rPr>
      </w:pPr>
    </w:p>
    <w:p w14:paraId="43EABD0D" w14:textId="5B0F9B5E" w:rsidR="00986B8B" w:rsidRPr="00986B8B" w:rsidRDefault="00986B8B" w:rsidP="000E0026">
      <w:pPr>
        <w:spacing w:line="276" w:lineRule="auto"/>
        <w:ind w:firstLine="0"/>
        <w:jc w:val="center"/>
        <w:rPr>
          <w:sz w:val="28"/>
          <w:szCs w:val="28"/>
        </w:rPr>
      </w:pPr>
      <w:r w:rsidRPr="00986B8B">
        <w:rPr>
          <w:sz w:val="28"/>
          <w:szCs w:val="28"/>
        </w:rPr>
        <w:lastRenderedPageBreak/>
        <w:t>Ожидаемое выполнение прогнозных показателей по разделу</w:t>
      </w:r>
    </w:p>
    <w:p w14:paraId="1F638706" w14:textId="1C7029BB" w:rsidR="00986B8B" w:rsidRDefault="00986B8B" w:rsidP="000E0026">
      <w:pPr>
        <w:spacing w:line="276" w:lineRule="auto"/>
        <w:ind w:firstLine="0"/>
        <w:jc w:val="center"/>
        <w:rPr>
          <w:sz w:val="28"/>
          <w:szCs w:val="28"/>
        </w:rPr>
      </w:pPr>
      <w:r w:rsidRPr="00986B8B">
        <w:rPr>
          <w:sz w:val="28"/>
          <w:szCs w:val="28"/>
        </w:rPr>
        <w:t>«Физическая культура и спорт» на 2021 год</w:t>
      </w:r>
    </w:p>
    <w:p w14:paraId="15FDBB69" w14:textId="77777777" w:rsidR="00385123" w:rsidRDefault="00385123" w:rsidP="000E0026">
      <w:pPr>
        <w:spacing w:line="276" w:lineRule="auto"/>
        <w:ind w:firstLine="0"/>
        <w:jc w:val="center"/>
        <w:rPr>
          <w:sz w:val="28"/>
          <w:szCs w:val="28"/>
        </w:rPr>
      </w:pPr>
    </w:p>
    <w:tbl>
      <w:tblPr>
        <w:tblW w:w="0" w:type="auto"/>
        <w:tblInd w:w="108" w:type="dxa"/>
        <w:tblLayout w:type="fixed"/>
        <w:tblLook w:val="0000" w:firstRow="0" w:lastRow="0" w:firstColumn="0" w:lastColumn="0" w:noHBand="0" w:noVBand="0"/>
      </w:tblPr>
      <w:tblGrid>
        <w:gridCol w:w="3828"/>
        <w:gridCol w:w="937"/>
        <w:gridCol w:w="1614"/>
        <w:gridCol w:w="1701"/>
        <w:gridCol w:w="1276"/>
      </w:tblGrid>
      <w:tr w:rsidR="00986B8B" w:rsidRPr="00986B8B" w14:paraId="47A4A54D" w14:textId="77777777" w:rsidTr="00903559">
        <w:trPr>
          <w:trHeight w:hRule="exact" w:val="490"/>
          <w:tblHeader/>
        </w:trPr>
        <w:tc>
          <w:tcPr>
            <w:tcW w:w="3828" w:type="dxa"/>
            <w:vMerge w:val="restart"/>
            <w:tcBorders>
              <w:top w:val="single" w:sz="4" w:space="0" w:color="000000"/>
              <w:left w:val="single" w:sz="4" w:space="0" w:color="000000"/>
              <w:bottom w:val="single" w:sz="4" w:space="0" w:color="000000"/>
            </w:tcBorders>
            <w:vAlign w:val="center"/>
          </w:tcPr>
          <w:p w14:paraId="483FA8DA" w14:textId="77777777" w:rsidR="00986B8B" w:rsidRPr="00986B8B" w:rsidRDefault="00986B8B" w:rsidP="00147A4E">
            <w:pPr>
              <w:snapToGrid w:val="0"/>
              <w:spacing w:line="276" w:lineRule="auto"/>
              <w:ind w:firstLine="851"/>
              <w:rPr>
                <w:sz w:val="28"/>
                <w:szCs w:val="28"/>
              </w:rPr>
            </w:pPr>
            <w:r w:rsidRPr="00986B8B">
              <w:rPr>
                <w:sz w:val="28"/>
                <w:szCs w:val="28"/>
              </w:rPr>
              <w:t>Показатели</w:t>
            </w:r>
          </w:p>
        </w:tc>
        <w:tc>
          <w:tcPr>
            <w:tcW w:w="937" w:type="dxa"/>
            <w:vMerge w:val="restart"/>
            <w:tcBorders>
              <w:top w:val="single" w:sz="4" w:space="0" w:color="000000"/>
              <w:left w:val="single" w:sz="4" w:space="0" w:color="000000"/>
              <w:bottom w:val="single" w:sz="4" w:space="0" w:color="000000"/>
            </w:tcBorders>
            <w:vAlign w:val="center"/>
          </w:tcPr>
          <w:p w14:paraId="4D1C06A8" w14:textId="758F25FB" w:rsidR="00986B8B" w:rsidRPr="00986B8B" w:rsidRDefault="00986B8B" w:rsidP="00986B8B">
            <w:pPr>
              <w:snapToGrid w:val="0"/>
              <w:spacing w:line="276" w:lineRule="auto"/>
              <w:ind w:firstLine="0"/>
              <w:jc w:val="center"/>
              <w:rPr>
                <w:sz w:val="28"/>
                <w:szCs w:val="28"/>
              </w:rPr>
            </w:pPr>
            <w:r w:rsidRPr="00986B8B">
              <w:rPr>
                <w:sz w:val="28"/>
                <w:szCs w:val="28"/>
              </w:rPr>
              <w:t>Ед</w:t>
            </w:r>
            <w:r>
              <w:rPr>
                <w:sz w:val="28"/>
                <w:szCs w:val="28"/>
              </w:rPr>
              <w:t>.</w:t>
            </w:r>
            <w:r w:rsidRPr="00986B8B">
              <w:rPr>
                <w:sz w:val="28"/>
                <w:szCs w:val="28"/>
              </w:rPr>
              <w:t xml:space="preserve"> изм</w:t>
            </w:r>
            <w:r>
              <w:rPr>
                <w:sz w:val="28"/>
                <w:szCs w:val="28"/>
              </w:rPr>
              <w:t>.</w:t>
            </w:r>
          </w:p>
        </w:tc>
        <w:tc>
          <w:tcPr>
            <w:tcW w:w="3315" w:type="dxa"/>
            <w:gridSpan w:val="2"/>
            <w:tcBorders>
              <w:top w:val="single" w:sz="4" w:space="0" w:color="000000"/>
              <w:left w:val="single" w:sz="4" w:space="0" w:color="000000"/>
              <w:bottom w:val="single" w:sz="4" w:space="0" w:color="000000"/>
            </w:tcBorders>
            <w:vAlign w:val="center"/>
          </w:tcPr>
          <w:p w14:paraId="47383E3C" w14:textId="77777777" w:rsidR="00986B8B" w:rsidRPr="00986B8B" w:rsidRDefault="00986B8B" w:rsidP="00986B8B">
            <w:pPr>
              <w:ind w:firstLine="0"/>
              <w:jc w:val="center"/>
              <w:rPr>
                <w:sz w:val="28"/>
                <w:szCs w:val="28"/>
              </w:rPr>
            </w:pPr>
            <w:r w:rsidRPr="00986B8B">
              <w:rPr>
                <w:sz w:val="28"/>
                <w:szCs w:val="28"/>
              </w:rPr>
              <w:t>Прогноз на 2021 год</w:t>
            </w:r>
          </w:p>
        </w:tc>
        <w:tc>
          <w:tcPr>
            <w:tcW w:w="1276" w:type="dxa"/>
            <w:vMerge w:val="restart"/>
            <w:tcBorders>
              <w:top w:val="single" w:sz="4" w:space="0" w:color="000000"/>
              <w:left w:val="single" w:sz="4" w:space="0" w:color="000000"/>
              <w:right w:val="single" w:sz="4" w:space="0" w:color="000000"/>
            </w:tcBorders>
            <w:vAlign w:val="center"/>
          </w:tcPr>
          <w:p w14:paraId="53B87084" w14:textId="77777777" w:rsidR="00986B8B" w:rsidRPr="00986B8B" w:rsidRDefault="00986B8B" w:rsidP="00986B8B">
            <w:pPr>
              <w:ind w:firstLine="0"/>
              <w:jc w:val="center"/>
              <w:rPr>
                <w:sz w:val="28"/>
                <w:szCs w:val="28"/>
              </w:rPr>
            </w:pPr>
            <w:r w:rsidRPr="00986B8B">
              <w:rPr>
                <w:sz w:val="28"/>
                <w:szCs w:val="28"/>
              </w:rPr>
              <w:t>2021 год</w:t>
            </w:r>
          </w:p>
          <w:p w14:paraId="65C1674B" w14:textId="77777777" w:rsidR="00986B8B" w:rsidRPr="00986B8B" w:rsidRDefault="00986B8B" w:rsidP="00986B8B">
            <w:pPr>
              <w:ind w:firstLine="0"/>
              <w:jc w:val="center"/>
              <w:rPr>
                <w:sz w:val="28"/>
                <w:szCs w:val="28"/>
              </w:rPr>
            </w:pPr>
            <w:r w:rsidRPr="00986B8B">
              <w:rPr>
                <w:sz w:val="28"/>
                <w:szCs w:val="28"/>
              </w:rPr>
              <w:t>(оценка)</w:t>
            </w:r>
          </w:p>
        </w:tc>
      </w:tr>
      <w:tr w:rsidR="00986B8B" w:rsidRPr="00986B8B" w14:paraId="64F3BD8C" w14:textId="77777777" w:rsidTr="00A50AAC">
        <w:trPr>
          <w:trHeight w:hRule="exact" w:val="415"/>
          <w:tblHeader/>
        </w:trPr>
        <w:tc>
          <w:tcPr>
            <w:tcW w:w="3828" w:type="dxa"/>
            <w:vMerge/>
            <w:tcBorders>
              <w:top w:val="single" w:sz="4" w:space="0" w:color="000000"/>
              <w:left w:val="single" w:sz="4" w:space="0" w:color="000000"/>
              <w:bottom w:val="single" w:sz="4" w:space="0" w:color="000000"/>
            </w:tcBorders>
            <w:vAlign w:val="center"/>
          </w:tcPr>
          <w:p w14:paraId="12665AE2" w14:textId="77777777" w:rsidR="00986B8B" w:rsidRPr="00986B8B" w:rsidRDefault="00986B8B" w:rsidP="00147A4E">
            <w:pPr>
              <w:snapToGrid w:val="0"/>
              <w:spacing w:line="276" w:lineRule="auto"/>
              <w:ind w:firstLine="851"/>
              <w:rPr>
                <w:sz w:val="28"/>
                <w:szCs w:val="28"/>
              </w:rPr>
            </w:pPr>
          </w:p>
        </w:tc>
        <w:tc>
          <w:tcPr>
            <w:tcW w:w="937" w:type="dxa"/>
            <w:vMerge/>
            <w:tcBorders>
              <w:top w:val="single" w:sz="4" w:space="0" w:color="000000"/>
              <w:left w:val="single" w:sz="4" w:space="0" w:color="000000"/>
              <w:bottom w:val="single" w:sz="4" w:space="0" w:color="000000"/>
            </w:tcBorders>
            <w:vAlign w:val="center"/>
          </w:tcPr>
          <w:p w14:paraId="7BB956C1" w14:textId="77777777" w:rsidR="00986B8B" w:rsidRPr="00986B8B" w:rsidRDefault="00986B8B" w:rsidP="00147A4E">
            <w:pPr>
              <w:snapToGrid w:val="0"/>
              <w:spacing w:line="276" w:lineRule="auto"/>
              <w:ind w:firstLine="851"/>
              <w:rPr>
                <w:sz w:val="28"/>
                <w:szCs w:val="28"/>
              </w:rPr>
            </w:pPr>
          </w:p>
        </w:tc>
        <w:tc>
          <w:tcPr>
            <w:tcW w:w="1614" w:type="dxa"/>
            <w:tcBorders>
              <w:top w:val="single" w:sz="4" w:space="0" w:color="000000"/>
              <w:left w:val="single" w:sz="4" w:space="0" w:color="000000"/>
              <w:bottom w:val="single" w:sz="4" w:space="0" w:color="000000"/>
            </w:tcBorders>
            <w:vAlign w:val="center"/>
          </w:tcPr>
          <w:p w14:paraId="10423555" w14:textId="750738B4" w:rsidR="00986B8B" w:rsidRPr="00986B8B" w:rsidRDefault="00986B8B" w:rsidP="00903559">
            <w:pPr>
              <w:ind w:firstLine="0"/>
              <w:jc w:val="center"/>
              <w:rPr>
                <w:sz w:val="28"/>
                <w:szCs w:val="28"/>
              </w:rPr>
            </w:pPr>
            <w:r w:rsidRPr="00986B8B">
              <w:rPr>
                <w:sz w:val="28"/>
                <w:szCs w:val="28"/>
              </w:rPr>
              <w:t xml:space="preserve">1 вариант </w:t>
            </w:r>
          </w:p>
        </w:tc>
        <w:tc>
          <w:tcPr>
            <w:tcW w:w="1701" w:type="dxa"/>
            <w:tcBorders>
              <w:top w:val="single" w:sz="4" w:space="0" w:color="000000"/>
              <w:left w:val="single" w:sz="4" w:space="0" w:color="000000"/>
              <w:bottom w:val="single" w:sz="4" w:space="0" w:color="000000"/>
              <w:right w:val="single" w:sz="4" w:space="0" w:color="000000"/>
            </w:tcBorders>
            <w:vAlign w:val="center"/>
          </w:tcPr>
          <w:p w14:paraId="5704C43C" w14:textId="77777777" w:rsidR="00986B8B" w:rsidRPr="00986B8B" w:rsidRDefault="00986B8B" w:rsidP="00986B8B">
            <w:pPr>
              <w:ind w:firstLine="0"/>
              <w:jc w:val="center"/>
              <w:rPr>
                <w:sz w:val="28"/>
                <w:szCs w:val="28"/>
              </w:rPr>
            </w:pPr>
            <w:r w:rsidRPr="00986B8B">
              <w:rPr>
                <w:sz w:val="28"/>
                <w:szCs w:val="28"/>
              </w:rPr>
              <w:t>2 вариант</w:t>
            </w:r>
          </w:p>
          <w:p w14:paraId="6CE92123" w14:textId="31174109" w:rsidR="00986B8B" w:rsidRPr="00986B8B" w:rsidRDefault="00986B8B" w:rsidP="00986B8B">
            <w:pPr>
              <w:ind w:firstLine="0"/>
              <w:jc w:val="center"/>
              <w:rPr>
                <w:sz w:val="28"/>
                <w:szCs w:val="28"/>
              </w:rPr>
            </w:pPr>
          </w:p>
        </w:tc>
        <w:tc>
          <w:tcPr>
            <w:tcW w:w="1276" w:type="dxa"/>
            <w:vMerge/>
            <w:tcBorders>
              <w:left w:val="single" w:sz="4" w:space="0" w:color="000000"/>
              <w:bottom w:val="single" w:sz="4" w:space="0" w:color="auto"/>
              <w:right w:val="single" w:sz="4" w:space="0" w:color="000000"/>
            </w:tcBorders>
          </w:tcPr>
          <w:p w14:paraId="46A938C5" w14:textId="77777777" w:rsidR="00986B8B" w:rsidRPr="00986B8B" w:rsidRDefault="00986B8B" w:rsidP="00147A4E">
            <w:pPr>
              <w:snapToGrid w:val="0"/>
              <w:ind w:firstLine="851"/>
              <w:rPr>
                <w:sz w:val="28"/>
                <w:szCs w:val="28"/>
              </w:rPr>
            </w:pPr>
          </w:p>
        </w:tc>
      </w:tr>
      <w:tr w:rsidR="00986B8B" w:rsidRPr="00986B8B" w14:paraId="259E4E46" w14:textId="77777777" w:rsidTr="00A50AAC">
        <w:trPr>
          <w:trHeight w:val="640"/>
        </w:trPr>
        <w:tc>
          <w:tcPr>
            <w:tcW w:w="3828" w:type="dxa"/>
            <w:tcBorders>
              <w:left w:val="single" w:sz="4" w:space="0" w:color="000000"/>
              <w:bottom w:val="single" w:sz="4" w:space="0" w:color="auto"/>
            </w:tcBorders>
            <w:vAlign w:val="center"/>
          </w:tcPr>
          <w:p w14:paraId="75BB97D8" w14:textId="77777777" w:rsidR="00986B8B" w:rsidRPr="00986B8B" w:rsidRDefault="00986B8B" w:rsidP="00986B8B">
            <w:pPr>
              <w:snapToGrid w:val="0"/>
              <w:ind w:firstLine="0"/>
              <w:rPr>
                <w:iCs/>
                <w:sz w:val="28"/>
                <w:szCs w:val="28"/>
              </w:rPr>
            </w:pPr>
            <w:r w:rsidRPr="00986B8B">
              <w:rPr>
                <w:sz w:val="28"/>
                <w:szCs w:val="28"/>
              </w:rPr>
              <w:t>Доля населения, систематически занимающихся физической культурой и спортом, в общей численности населения в возрасте 3-79 лет</w:t>
            </w:r>
          </w:p>
        </w:tc>
        <w:tc>
          <w:tcPr>
            <w:tcW w:w="937" w:type="dxa"/>
            <w:tcBorders>
              <w:left w:val="single" w:sz="4" w:space="0" w:color="000000"/>
              <w:bottom w:val="single" w:sz="4" w:space="0" w:color="auto"/>
            </w:tcBorders>
            <w:vAlign w:val="center"/>
          </w:tcPr>
          <w:p w14:paraId="38BD4091" w14:textId="77777777" w:rsidR="00986B8B" w:rsidRPr="00986B8B" w:rsidRDefault="00986B8B" w:rsidP="00986B8B">
            <w:pPr>
              <w:snapToGrid w:val="0"/>
              <w:ind w:firstLine="0"/>
              <w:jc w:val="center"/>
              <w:rPr>
                <w:sz w:val="28"/>
                <w:szCs w:val="28"/>
              </w:rPr>
            </w:pPr>
            <w:r w:rsidRPr="00986B8B">
              <w:rPr>
                <w:iCs/>
                <w:sz w:val="28"/>
                <w:szCs w:val="28"/>
              </w:rPr>
              <w:t>%</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4F62C155" w14:textId="77777777" w:rsidR="00986B8B" w:rsidRPr="00986B8B" w:rsidRDefault="00986B8B" w:rsidP="00903559">
            <w:pPr>
              <w:ind w:firstLine="0"/>
              <w:jc w:val="center"/>
              <w:rPr>
                <w:sz w:val="28"/>
                <w:szCs w:val="28"/>
                <w:lang w:eastAsia="ru-RU"/>
              </w:rPr>
            </w:pPr>
            <w:r w:rsidRPr="00986B8B">
              <w:rPr>
                <w:sz w:val="28"/>
                <w:szCs w:val="28"/>
              </w:rPr>
              <w:t>43,3</w:t>
            </w:r>
          </w:p>
        </w:tc>
        <w:tc>
          <w:tcPr>
            <w:tcW w:w="1701" w:type="dxa"/>
            <w:tcBorders>
              <w:top w:val="single" w:sz="4" w:space="0" w:color="auto"/>
              <w:left w:val="nil"/>
              <w:bottom w:val="single" w:sz="4" w:space="0" w:color="auto"/>
              <w:right w:val="single" w:sz="4" w:space="0" w:color="auto"/>
            </w:tcBorders>
            <w:shd w:val="clear" w:color="auto" w:fill="auto"/>
            <w:vAlign w:val="center"/>
          </w:tcPr>
          <w:p w14:paraId="1A9FBEBC" w14:textId="77777777" w:rsidR="00986B8B" w:rsidRPr="00986B8B" w:rsidRDefault="00986B8B" w:rsidP="00903559">
            <w:pPr>
              <w:ind w:firstLine="0"/>
              <w:jc w:val="center"/>
              <w:rPr>
                <w:sz w:val="28"/>
                <w:szCs w:val="28"/>
              </w:rPr>
            </w:pPr>
            <w:r w:rsidRPr="00986B8B">
              <w:rPr>
                <w:sz w:val="28"/>
                <w:szCs w:val="28"/>
              </w:rPr>
              <w:t>45,6</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64F880" w14:textId="77777777" w:rsidR="00986B8B" w:rsidRPr="00986B8B" w:rsidRDefault="00986B8B" w:rsidP="00903559">
            <w:pPr>
              <w:ind w:firstLine="0"/>
              <w:jc w:val="center"/>
              <w:rPr>
                <w:sz w:val="28"/>
                <w:szCs w:val="28"/>
                <w:highlight w:val="yellow"/>
              </w:rPr>
            </w:pPr>
            <w:r w:rsidRPr="00986B8B">
              <w:rPr>
                <w:sz w:val="28"/>
                <w:szCs w:val="28"/>
              </w:rPr>
              <w:t>47,0</w:t>
            </w:r>
          </w:p>
        </w:tc>
      </w:tr>
      <w:tr w:rsidR="00986B8B" w:rsidRPr="00986B8B" w14:paraId="1AB46951" w14:textId="77777777" w:rsidTr="00A50AAC">
        <w:trPr>
          <w:trHeight w:val="708"/>
        </w:trPr>
        <w:tc>
          <w:tcPr>
            <w:tcW w:w="3828" w:type="dxa"/>
            <w:tcBorders>
              <w:top w:val="single" w:sz="4" w:space="0" w:color="auto"/>
              <w:left w:val="single" w:sz="4" w:space="0" w:color="000000"/>
              <w:bottom w:val="single" w:sz="4" w:space="0" w:color="000000"/>
            </w:tcBorders>
            <w:vAlign w:val="center"/>
          </w:tcPr>
          <w:p w14:paraId="452D8C00" w14:textId="77777777" w:rsidR="00986B8B" w:rsidRPr="00986B8B" w:rsidRDefault="00986B8B" w:rsidP="00903559">
            <w:pPr>
              <w:snapToGrid w:val="0"/>
              <w:ind w:firstLine="0"/>
              <w:rPr>
                <w:sz w:val="28"/>
                <w:szCs w:val="28"/>
              </w:rPr>
            </w:pPr>
            <w:r w:rsidRPr="00986B8B">
              <w:rPr>
                <w:sz w:val="28"/>
                <w:szCs w:val="28"/>
              </w:rPr>
              <w:t>Уровень фактической обеспеченности населения объектами спорта от нормативной потребности</w:t>
            </w:r>
          </w:p>
        </w:tc>
        <w:tc>
          <w:tcPr>
            <w:tcW w:w="937" w:type="dxa"/>
            <w:tcBorders>
              <w:top w:val="single" w:sz="4" w:space="0" w:color="auto"/>
              <w:left w:val="single" w:sz="4" w:space="0" w:color="000000"/>
              <w:bottom w:val="single" w:sz="4" w:space="0" w:color="000000"/>
            </w:tcBorders>
            <w:vAlign w:val="center"/>
          </w:tcPr>
          <w:p w14:paraId="7F60BB28" w14:textId="7E0FCC5C" w:rsidR="00986B8B" w:rsidRPr="00986B8B" w:rsidRDefault="00986B8B" w:rsidP="00903559">
            <w:pPr>
              <w:snapToGrid w:val="0"/>
              <w:ind w:firstLine="0"/>
              <w:jc w:val="center"/>
              <w:rPr>
                <w:iCs/>
                <w:sz w:val="28"/>
                <w:szCs w:val="28"/>
              </w:rPr>
            </w:pPr>
            <w:r w:rsidRPr="00986B8B">
              <w:rPr>
                <w:iCs/>
                <w:sz w:val="28"/>
                <w:szCs w:val="28"/>
              </w:rPr>
              <w:t>%</w:t>
            </w:r>
          </w:p>
        </w:tc>
        <w:tc>
          <w:tcPr>
            <w:tcW w:w="1614" w:type="dxa"/>
            <w:tcBorders>
              <w:top w:val="nil"/>
              <w:left w:val="single" w:sz="4" w:space="0" w:color="auto"/>
              <w:bottom w:val="single" w:sz="4" w:space="0" w:color="auto"/>
              <w:right w:val="single" w:sz="4" w:space="0" w:color="auto"/>
            </w:tcBorders>
            <w:shd w:val="clear" w:color="000000" w:fill="FFFFFF"/>
            <w:vAlign w:val="center"/>
          </w:tcPr>
          <w:p w14:paraId="3CF8E198" w14:textId="77777777" w:rsidR="00986B8B" w:rsidRPr="00986B8B" w:rsidRDefault="00986B8B" w:rsidP="00903559">
            <w:pPr>
              <w:ind w:firstLine="0"/>
              <w:jc w:val="center"/>
              <w:rPr>
                <w:sz w:val="28"/>
                <w:szCs w:val="28"/>
              </w:rPr>
            </w:pPr>
            <w:r w:rsidRPr="00986B8B">
              <w:rPr>
                <w:sz w:val="28"/>
                <w:szCs w:val="28"/>
              </w:rPr>
              <w:t>31,1</w:t>
            </w:r>
          </w:p>
        </w:tc>
        <w:tc>
          <w:tcPr>
            <w:tcW w:w="1701" w:type="dxa"/>
            <w:tcBorders>
              <w:top w:val="nil"/>
              <w:left w:val="nil"/>
              <w:bottom w:val="single" w:sz="4" w:space="0" w:color="auto"/>
              <w:right w:val="single" w:sz="4" w:space="0" w:color="auto"/>
            </w:tcBorders>
            <w:shd w:val="clear" w:color="000000" w:fill="FFFFFF"/>
            <w:vAlign w:val="center"/>
          </w:tcPr>
          <w:p w14:paraId="32F36BFF" w14:textId="77777777" w:rsidR="00986B8B" w:rsidRPr="00986B8B" w:rsidRDefault="00986B8B" w:rsidP="00903559">
            <w:pPr>
              <w:ind w:firstLine="0"/>
              <w:jc w:val="center"/>
              <w:rPr>
                <w:sz w:val="28"/>
                <w:szCs w:val="28"/>
              </w:rPr>
            </w:pPr>
            <w:r w:rsidRPr="00986B8B">
              <w:rPr>
                <w:sz w:val="28"/>
                <w:szCs w:val="28"/>
              </w:rPr>
              <w:t>31,4</w:t>
            </w:r>
          </w:p>
        </w:tc>
        <w:tc>
          <w:tcPr>
            <w:tcW w:w="1276" w:type="dxa"/>
            <w:tcBorders>
              <w:top w:val="nil"/>
              <w:left w:val="nil"/>
              <w:bottom w:val="single" w:sz="4" w:space="0" w:color="auto"/>
              <w:right w:val="single" w:sz="4" w:space="0" w:color="auto"/>
            </w:tcBorders>
            <w:shd w:val="clear" w:color="000000" w:fill="FFFFFF"/>
            <w:vAlign w:val="center"/>
          </w:tcPr>
          <w:p w14:paraId="3F82DF11" w14:textId="77777777" w:rsidR="00986B8B" w:rsidRPr="00986B8B" w:rsidRDefault="00986B8B" w:rsidP="00903559">
            <w:pPr>
              <w:ind w:firstLine="0"/>
              <w:jc w:val="center"/>
              <w:rPr>
                <w:sz w:val="28"/>
                <w:szCs w:val="28"/>
                <w:highlight w:val="yellow"/>
              </w:rPr>
            </w:pPr>
            <w:r w:rsidRPr="00986B8B">
              <w:rPr>
                <w:sz w:val="28"/>
                <w:szCs w:val="28"/>
              </w:rPr>
              <w:t>31,3</w:t>
            </w:r>
          </w:p>
        </w:tc>
      </w:tr>
    </w:tbl>
    <w:p w14:paraId="26189C94" w14:textId="72A9C781" w:rsidR="00986B8B" w:rsidRPr="00986B8B" w:rsidRDefault="00986B8B" w:rsidP="00282B08">
      <w:pPr>
        <w:spacing w:before="120" w:line="276" w:lineRule="auto"/>
        <w:ind w:firstLine="851"/>
        <w:rPr>
          <w:sz w:val="28"/>
          <w:szCs w:val="28"/>
        </w:rPr>
      </w:pPr>
      <w:r w:rsidRPr="00986B8B">
        <w:rPr>
          <w:sz w:val="28"/>
          <w:szCs w:val="28"/>
        </w:rPr>
        <w:t xml:space="preserve">Показатель «Доля населения, систематически занимающихся физической культурой и спортом, в общей численности населения в возрасте 3-79 лет» в 2021 году скорректирован в сторону увеличения до 47%, в связи доведением планового значения показателя </w:t>
      </w:r>
      <w:r w:rsidR="000E0026">
        <w:rPr>
          <w:sz w:val="28"/>
          <w:szCs w:val="28"/>
        </w:rPr>
        <w:t>м</w:t>
      </w:r>
      <w:r w:rsidRPr="00986B8B">
        <w:rPr>
          <w:sz w:val="28"/>
          <w:szCs w:val="28"/>
        </w:rPr>
        <w:t>инистерством спорта Самарской области в рамках федерального проекта «Спорт - норма жизни» национального проекта «Демография».</w:t>
      </w:r>
    </w:p>
    <w:p w14:paraId="065AF160" w14:textId="77777777" w:rsidR="00A50BA4" w:rsidRPr="00484F7B" w:rsidRDefault="00A50BA4" w:rsidP="00282B08">
      <w:pPr>
        <w:pStyle w:val="3"/>
        <w:spacing w:before="120"/>
        <w:ind w:left="0" w:firstLine="0"/>
        <w:rPr>
          <w:sz w:val="28"/>
          <w:szCs w:val="28"/>
          <w:lang w:eastAsia="ar-SA"/>
        </w:rPr>
      </w:pPr>
      <w:r w:rsidRPr="00484F7B">
        <w:rPr>
          <w:sz w:val="28"/>
          <w:szCs w:val="28"/>
          <w:lang w:eastAsia="ar-SA"/>
        </w:rPr>
        <w:t>Потребительский рынок товаров</w:t>
      </w:r>
      <w:bookmarkStart w:id="13" w:name="потреб"/>
      <w:bookmarkEnd w:id="13"/>
    </w:p>
    <w:p w14:paraId="10E9D734" w14:textId="77777777" w:rsidR="004C1745" w:rsidRPr="0054560B" w:rsidRDefault="004C1745" w:rsidP="00282B08">
      <w:pPr>
        <w:widowControl w:val="0"/>
        <w:suppressAutoHyphens w:val="0"/>
        <w:autoSpaceDE w:val="0"/>
        <w:autoSpaceDN w:val="0"/>
        <w:adjustRightInd w:val="0"/>
        <w:spacing w:before="120" w:line="276" w:lineRule="auto"/>
        <w:rPr>
          <w:rFonts w:eastAsiaTheme="minorEastAsia"/>
          <w:sz w:val="28"/>
          <w:szCs w:val="28"/>
          <w:lang w:eastAsia="ru-RU"/>
        </w:rPr>
      </w:pPr>
      <w:r w:rsidRPr="0054560B">
        <w:rPr>
          <w:rFonts w:eastAsiaTheme="minorEastAsia"/>
          <w:sz w:val="28"/>
          <w:szCs w:val="28"/>
          <w:lang w:eastAsia="ru-RU"/>
        </w:rPr>
        <w:t>В настоящее время инфраструктура розничной торговли в городском округе Тольятти представлена достаточно развитой сетью торговых организаций.</w:t>
      </w:r>
    </w:p>
    <w:p w14:paraId="75F19312" w14:textId="77777777" w:rsidR="004C1745" w:rsidRPr="00153C18" w:rsidRDefault="004C1745" w:rsidP="000E0026">
      <w:pPr>
        <w:suppressAutoHyphens w:val="0"/>
        <w:autoSpaceDE w:val="0"/>
        <w:autoSpaceDN w:val="0"/>
        <w:adjustRightInd w:val="0"/>
        <w:spacing w:line="276" w:lineRule="auto"/>
        <w:rPr>
          <w:rFonts w:eastAsiaTheme="minorEastAsia"/>
          <w:sz w:val="28"/>
          <w:szCs w:val="28"/>
          <w:lang w:eastAsia="ru-RU"/>
        </w:rPr>
      </w:pPr>
      <w:r w:rsidRPr="00153C18">
        <w:rPr>
          <w:rFonts w:eastAsiaTheme="minorEastAsia"/>
          <w:sz w:val="28"/>
          <w:szCs w:val="28"/>
          <w:lang w:eastAsia="ru-RU"/>
        </w:rPr>
        <w:t>По состоянию на 01.07.2021 в городском округе Тольятти действуют около 12 тыс. предприятий торговли, более 0,8 тыс. предприятий общественного питания и около 2,0 тыс. предприятий бытового обслуживания населения.</w:t>
      </w:r>
    </w:p>
    <w:p w14:paraId="4FA407AF" w14:textId="2D03313D" w:rsidR="004C1745" w:rsidRPr="00153C18" w:rsidRDefault="004C1745" w:rsidP="000E0026">
      <w:pPr>
        <w:widowControl w:val="0"/>
        <w:suppressAutoHyphens w:val="0"/>
        <w:autoSpaceDE w:val="0"/>
        <w:autoSpaceDN w:val="0"/>
        <w:adjustRightInd w:val="0"/>
        <w:spacing w:line="276" w:lineRule="auto"/>
        <w:rPr>
          <w:rFonts w:eastAsiaTheme="minorEastAsia"/>
          <w:sz w:val="28"/>
          <w:szCs w:val="28"/>
          <w:lang w:eastAsia="ru-RU"/>
        </w:rPr>
      </w:pPr>
      <w:r w:rsidRPr="00153C18">
        <w:rPr>
          <w:rFonts w:eastAsiaTheme="minorEastAsia"/>
          <w:sz w:val="28"/>
          <w:szCs w:val="28"/>
          <w:lang w:eastAsia="ru-RU"/>
        </w:rPr>
        <w:t>Продолжается развитие крупных торговых центров, включающих в себя множество магазинов, предприятий питания, сферы услуг, досуга и развлечений. В настоящее время их количество в городском округе Тольятти составляет более 120 единиц: ТРК «Русь на Волге», TРК «Парк Хаус», ТЦ «Мадагаскар», ТЦ «Апельсин», ТРК «Капитал», ООО «</w:t>
      </w:r>
      <w:proofErr w:type="spellStart"/>
      <w:r w:rsidRPr="00153C18">
        <w:rPr>
          <w:rFonts w:eastAsiaTheme="minorEastAsia"/>
          <w:sz w:val="28"/>
          <w:szCs w:val="28"/>
          <w:lang w:eastAsia="ru-RU"/>
        </w:rPr>
        <w:t>Мегастрой</w:t>
      </w:r>
      <w:proofErr w:type="spellEnd"/>
      <w:r w:rsidRPr="00153C18">
        <w:rPr>
          <w:rFonts w:eastAsiaTheme="minorEastAsia"/>
          <w:sz w:val="28"/>
          <w:szCs w:val="28"/>
          <w:lang w:eastAsia="ru-RU"/>
        </w:rPr>
        <w:t>» и др</w:t>
      </w:r>
      <w:r w:rsidR="000E0026">
        <w:rPr>
          <w:rFonts w:eastAsiaTheme="minorEastAsia"/>
          <w:sz w:val="28"/>
          <w:szCs w:val="28"/>
          <w:lang w:eastAsia="ru-RU"/>
        </w:rPr>
        <w:t>угие</w:t>
      </w:r>
      <w:r w:rsidRPr="00153C18">
        <w:rPr>
          <w:rFonts w:eastAsiaTheme="minorEastAsia"/>
          <w:sz w:val="28"/>
          <w:szCs w:val="28"/>
          <w:lang w:eastAsia="ru-RU"/>
        </w:rPr>
        <w:t>.</w:t>
      </w:r>
    </w:p>
    <w:p w14:paraId="62C79F03" w14:textId="77777777" w:rsidR="004C1745" w:rsidRPr="00153C18" w:rsidRDefault="004C1745" w:rsidP="000E0026">
      <w:pPr>
        <w:widowControl w:val="0"/>
        <w:suppressAutoHyphens w:val="0"/>
        <w:autoSpaceDE w:val="0"/>
        <w:autoSpaceDN w:val="0"/>
        <w:adjustRightInd w:val="0"/>
        <w:spacing w:line="276" w:lineRule="auto"/>
        <w:rPr>
          <w:rFonts w:eastAsiaTheme="minorEastAsia"/>
          <w:sz w:val="28"/>
          <w:szCs w:val="28"/>
          <w:lang w:eastAsia="ru-RU"/>
        </w:rPr>
      </w:pPr>
      <w:r w:rsidRPr="00153C18">
        <w:rPr>
          <w:rFonts w:eastAsiaTheme="minorEastAsia"/>
          <w:sz w:val="28"/>
          <w:szCs w:val="28"/>
          <w:lang w:eastAsia="ru-RU"/>
        </w:rPr>
        <w:t>На территории городского округа Тольятти осуществляют деятельность 4 рынка с разрешениями на право организации розничной торговли.</w:t>
      </w:r>
    </w:p>
    <w:p w14:paraId="1F2C1926" w14:textId="77777777" w:rsidR="004C1745" w:rsidRPr="00153C18" w:rsidRDefault="004C1745" w:rsidP="000E0026">
      <w:pPr>
        <w:widowControl w:val="0"/>
        <w:suppressAutoHyphens w:val="0"/>
        <w:autoSpaceDE w:val="0"/>
        <w:autoSpaceDN w:val="0"/>
        <w:adjustRightInd w:val="0"/>
        <w:spacing w:line="276" w:lineRule="auto"/>
        <w:rPr>
          <w:rFonts w:eastAsiaTheme="minorEastAsia"/>
          <w:sz w:val="28"/>
          <w:szCs w:val="28"/>
          <w:lang w:eastAsia="ru-RU"/>
        </w:rPr>
      </w:pPr>
      <w:r w:rsidRPr="00153C18">
        <w:rPr>
          <w:rFonts w:eastAsiaTheme="minorEastAsia"/>
          <w:sz w:val="28"/>
          <w:szCs w:val="28"/>
          <w:lang w:eastAsia="ru-RU"/>
        </w:rPr>
        <w:t>За январь-июнь 2021 года проведена 21 ярмарка, включенная в реестр Самарской области.</w:t>
      </w:r>
    </w:p>
    <w:p w14:paraId="5B96A54B" w14:textId="77777777" w:rsidR="004C1745" w:rsidRPr="00153C18" w:rsidRDefault="004C1745" w:rsidP="000E0026">
      <w:pPr>
        <w:suppressAutoHyphens w:val="0"/>
        <w:autoSpaceDE w:val="0"/>
        <w:autoSpaceDN w:val="0"/>
        <w:adjustRightInd w:val="0"/>
        <w:spacing w:line="276" w:lineRule="auto"/>
        <w:rPr>
          <w:rFonts w:eastAsiaTheme="minorEastAsia"/>
          <w:sz w:val="28"/>
          <w:szCs w:val="28"/>
          <w:lang w:eastAsia="ru-RU"/>
        </w:rPr>
      </w:pPr>
      <w:r w:rsidRPr="00153C18">
        <w:rPr>
          <w:rFonts w:eastAsiaTheme="minorEastAsia"/>
          <w:sz w:val="28"/>
          <w:szCs w:val="28"/>
          <w:lang w:eastAsia="ru-RU"/>
        </w:rPr>
        <w:lastRenderedPageBreak/>
        <w:t>Вновь открывающиеся магазины работают по методу самообслуживания, для комфорта покупателей внедряются новые технологии обслуживания - кассами самообслуживания, которые позволяют приобрести товар самостоятельно, оплатив покупки, как наличными деньгами, так и банковскими картами.</w:t>
      </w:r>
    </w:p>
    <w:p w14:paraId="3D500430" w14:textId="77777777" w:rsidR="004C1745" w:rsidRDefault="004C1745" w:rsidP="000E0026">
      <w:pPr>
        <w:widowControl w:val="0"/>
        <w:suppressAutoHyphens w:val="0"/>
        <w:autoSpaceDE w:val="0"/>
        <w:autoSpaceDN w:val="0"/>
        <w:adjustRightInd w:val="0"/>
        <w:spacing w:line="276" w:lineRule="auto"/>
        <w:rPr>
          <w:rFonts w:eastAsiaTheme="minorEastAsia"/>
          <w:sz w:val="28"/>
          <w:szCs w:val="28"/>
          <w:lang w:eastAsia="ru-RU"/>
        </w:rPr>
      </w:pPr>
      <w:r w:rsidRPr="00846BDA">
        <w:rPr>
          <w:rFonts w:eastAsiaTheme="minorEastAsia"/>
          <w:sz w:val="28"/>
          <w:szCs w:val="28"/>
          <w:lang w:eastAsia="ru-RU"/>
        </w:rPr>
        <w:t>Кроме того, на универсальных рынках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определено 15,0% от общего количества торговых мест, предназначенных для продажи продовольственных товаров в летнее время и 10,0% в зимнее время.</w:t>
      </w:r>
    </w:p>
    <w:p w14:paraId="4B3FF4B3" w14:textId="76578E61" w:rsidR="00484F7B" w:rsidRPr="00484F7B" w:rsidRDefault="00484F7B" w:rsidP="00484F7B">
      <w:pPr>
        <w:spacing w:line="276" w:lineRule="auto"/>
        <w:rPr>
          <w:sz w:val="28"/>
          <w:szCs w:val="28"/>
          <w:lang w:eastAsia="ru-RU"/>
        </w:rPr>
      </w:pPr>
      <w:r>
        <w:rPr>
          <w:sz w:val="28"/>
          <w:szCs w:val="28"/>
          <w:lang w:eastAsia="ru-RU"/>
        </w:rPr>
        <w:t xml:space="preserve">Последние 10 лет </w:t>
      </w:r>
      <w:r w:rsidRPr="00484F7B">
        <w:rPr>
          <w:iCs/>
          <w:sz w:val="28"/>
          <w:szCs w:val="28"/>
          <w:lang w:eastAsia="ru-RU"/>
        </w:rPr>
        <w:t>(за исключением 2015 года)</w:t>
      </w:r>
      <w:r w:rsidRPr="00484F7B">
        <w:rPr>
          <w:sz w:val="28"/>
          <w:szCs w:val="28"/>
          <w:lang w:eastAsia="ru-RU"/>
        </w:rPr>
        <w:t xml:space="preserve"> по данным </w:t>
      </w:r>
      <w:proofErr w:type="spellStart"/>
      <w:r w:rsidR="0089394B">
        <w:rPr>
          <w:sz w:val="28"/>
          <w:szCs w:val="28"/>
          <w:lang w:eastAsia="ru-RU"/>
        </w:rPr>
        <w:t>Самарастат</w:t>
      </w:r>
      <w:r w:rsidR="000E0026">
        <w:rPr>
          <w:sz w:val="28"/>
          <w:szCs w:val="28"/>
          <w:lang w:eastAsia="ru-RU"/>
        </w:rPr>
        <w:t>а</w:t>
      </w:r>
      <w:proofErr w:type="spellEnd"/>
      <w:r w:rsidRPr="00484F7B">
        <w:rPr>
          <w:sz w:val="28"/>
          <w:szCs w:val="28"/>
          <w:lang w:eastAsia="ru-RU"/>
        </w:rPr>
        <w:t xml:space="preserve"> в городе наблюдается ежегодный рост оборота розничной торговли </w:t>
      </w:r>
      <w:r w:rsidRPr="00484F7B">
        <w:rPr>
          <w:iCs/>
          <w:sz w:val="28"/>
          <w:szCs w:val="28"/>
          <w:lang w:eastAsia="ru-RU"/>
        </w:rPr>
        <w:t xml:space="preserve">(в среднем на 4% ежегодно </w:t>
      </w:r>
      <w:r w:rsidR="00B322AB">
        <w:rPr>
          <w:iCs/>
          <w:sz w:val="28"/>
          <w:szCs w:val="28"/>
          <w:lang w:eastAsia="ru-RU"/>
        </w:rPr>
        <w:t>(</w:t>
      </w:r>
      <w:r w:rsidRPr="00484F7B">
        <w:rPr>
          <w:iCs/>
          <w:sz w:val="28"/>
          <w:szCs w:val="28"/>
          <w:lang w:eastAsia="ru-RU"/>
        </w:rPr>
        <w:t>в 2019 году – 184,7 млрд. рублей)</w:t>
      </w:r>
      <w:r w:rsidRPr="00484F7B">
        <w:rPr>
          <w:sz w:val="28"/>
          <w:szCs w:val="28"/>
          <w:lang w:eastAsia="ru-RU"/>
        </w:rPr>
        <w:t xml:space="preserve">. </w:t>
      </w:r>
    </w:p>
    <w:p w14:paraId="6F9B4DCB" w14:textId="19362310" w:rsidR="00484F7B" w:rsidRDefault="00484F7B" w:rsidP="00484F7B">
      <w:pPr>
        <w:spacing w:line="276" w:lineRule="auto"/>
        <w:rPr>
          <w:sz w:val="28"/>
          <w:szCs w:val="28"/>
          <w:lang w:eastAsia="ru-RU"/>
        </w:rPr>
      </w:pPr>
      <w:r>
        <w:rPr>
          <w:sz w:val="28"/>
          <w:szCs w:val="28"/>
          <w:lang w:eastAsia="ru-RU"/>
        </w:rPr>
        <w:t>В 2020 году, в связи с кризисными явлениями в экономике, вызванными пандемией, оборот розничной торговли городского округа Тольятти снизился на 3,6% к 2019 году и составил 178</w:t>
      </w:r>
      <w:r w:rsidR="00D812BB">
        <w:rPr>
          <w:sz w:val="28"/>
          <w:szCs w:val="28"/>
          <w:lang w:eastAsia="ru-RU"/>
        </w:rPr>
        <w:t xml:space="preserve"> 080</w:t>
      </w:r>
      <w:r>
        <w:rPr>
          <w:sz w:val="28"/>
          <w:szCs w:val="28"/>
          <w:lang w:eastAsia="ru-RU"/>
        </w:rPr>
        <w:t xml:space="preserve"> мл</w:t>
      </w:r>
      <w:r w:rsidR="00D812BB">
        <w:rPr>
          <w:sz w:val="28"/>
          <w:szCs w:val="28"/>
          <w:lang w:eastAsia="ru-RU"/>
        </w:rPr>
        <w:t>н</w:t>
      </w:r>
      <w:r>
        <w:rPr>
          <w:sz w:val="28"/>
          <w:szCs w:val="28"/>
          <w:lang w:eastAsia="ru-RU"/>
        </w:rPr>
        <w:t xml:space="preserve">. рублей исключительно за счет </w:t>
      </w:r>
      <w:r w:rsidR="0089394B">
        <w:rPr>
          <w:sz w:val="28"/>
          <w:szCs w:val="28"/>
          <w:lang w:eastAsia="ru-RU"/>
        </w:rPr>
        <w:t xml:space="preserve">сокращения </w:t>
      </w:r>
      <w:r>
        <w:rPr>
          <w:sz w:val="28"/>
          <w:szCs w:val="28"/>
          <w:lang w:eastAsia="ru-RU"/>
        </w:rPr>
        <w:t xml:space="preserve">оборота малого бизнеса, наиболее пострадавшего в кризис. Оборот общественного питания </w:t>
      </w:r>
      <w:r w:rsidRPr="00484F7B">
        <w:rPr>
          <w:iCs/>
          <w:sz w:val="28"/>
          <w:szCs w:val="28"/>
          <w:lang w:eastAsia="ru-RU"/>
        </w:rPr>
        <w:t>(кафе, рестораны, столовые)</w:t>
      </w:r>
      <w:r>
        <w:rPr>
          <w:sz w:val="28"/>
          <w:szCs w:val="28"/>
          <w:lang w:eastAsia="ru-RU"/>
        </w:rPr>
        <w:t xml:space="preserve"> за 2020 год сократился значительнее – на 27,5% и составил 5</w:t>
      </w:r>
      <w:r w:rsidR="006155DE">
        <w:rPr>
          <w:sz w:val="28"/>
          <w:szCs w:val="28"/>
          <w:lang w:eastAsia="ru-RU"/>
        </w:rPr>
        <w:t xml:space="preserve"> </w:t>
      </w:r>
      <w:r>
        <w:rPr>
          <w:sz w:val="28"/>
          <w:szCs w:val="28"/>
          <w:lang w:eastAsia="ru-RU"/>
        </w:rPr>
        <w:t>0</w:t>
      </w:r>
      <w:r w:rsidR="00D812BB">
        <w:rPr>
          <w:sz w:val="28"/>
          <w:szCs w:val="28"/>
          <w:lang w:eastAsia="ru-RU"/>
        </w:rPr>
        <w:t>16,4</w:t>
      </w:r>
      <w:r>
        <w:rPr>
          <w:sz w:val="28"/>
          <w:szCs w:val="28"/>
          <w:lang w:eastAsia="ru-RU"/>
        </w:rPr>
        <w:t xml:space="preserve"> мл</w:t>
      </w:r>
      <w:r w:rsidR="00D812BB">
        <w:rPr>
          <w:sz w:val="28"/>
          <w:szCs w:val="28"/>
          <w:lang w:eastAsia="ru-RU"/>
        </w:rPr>
        <w:t>н</w:t>
      </w:r>
      <w:r>
        <w:rPr>
          <w:sz w:val="28"/>
          <w:szCs w:val="28"/>
          <w:lang w:eastAsia="ru-RU"/>
        </w:rPr>
        <w:t>. рублей.</w:t>
      </w:r>
    </w:p>
    <w:p w14:paraId="34044BA0" w14:textId="3C78858B" w:rsidR="00484F7B" w:rsidRDefault="00484F7B" w:rsidP="00484F7B">
      <w:pPr>
        <w:spacing w:line="276" w:lineRule="auto"/>
        <w:rPr>
          <w:sz w:val="28"/>
          <w:szCs w:val="28"/>
          <w:lang w:eastAsia="ru-RU"/>
        </w:rPr>
      </w:pPr>
      <w:r>
        <w:rPr>
          <w:sz w:val="28"/>
          <w:szCs w:val="28"/>
          <w:lang w:eastAsia="ru-RU"/>
        </w:rPr>
        <w:t>При этом, оборот розничной торговли крупных торговых сетей (Миндаль, Пятерочка, Пеликан, Лента, Ашан и т.д.) не только не снизился, но и вырос за 2020 год на 10,8% к 2019 году и составил 87</w:t>
      </w:r>
      <w:r w:rsidR="006155DE">
        <w:rPr>
          <w:sz w:val="28"/>
          <w:szCs w:val="28"/>
          <w:lang w:eastAsia="ru-RU"/>
        </w:rPr>
        <w:t xml:space="preserve"> </w:t>
      </w:r>
      <w:r>
        <w:rPr>
          <w:sz w:val="28"/>
          <w:szCs w:val="28"/>
          <w:lang w:eastAsia="ru-RU"/>
        </w:rPr>
        <w:t>3</w:t>
      </w:r>
      <w:r w:rsidR="00D812BB">
        <w:rPr>
          <w:sz w:val="28"/>
          <w:szCs w:val="28"/>
          <w:lang w:eastAsia="ru-RU"/>
        </w:rPr>
        <w:t>23,4</w:t>
      </w:r>
      <w:r>
        <w:rPr>
          <w:sz w:val="28"/>
          <w:szCs w:val="28"/>
          <w:lang w:eastAsia="ru-RU"/>
        </w:rPr>
        <w:t xml:space="preserve"> мл</w:t>
      </w:r>
      <w:r w:rsidR="00D812BB">
        <w:rPr>
          <w:sz w:val="28"/>
          <w:szCs w:val="28"/>
          <w:lang w:eastAsia="ru-RU"/>
        </w:rPr>
        <w:t>н</w:t>
      </w:r>
      <w:r>
        <w:rPr>
          <w:sz w:val="28"/>
          <w:szCs w:val="28"/>
          <w:lang w:eastAsia="ru-RU"/>
        </w:rPr>
        <w:t xml:space="preserve">. рублей (половина от всего товарооборота по городу), в том числе оборот розницы пищевыми продуктами и напитками крупных сетей вырос на 9,7% (до </w:t>
      </w:r>
      <w:r w:rsidR="006155DE">
        <w:rPr>
          <w:sz w:val="28"/>
          <w:szCs w:val="28"/>
          <w:lang w:eastAsia="ru-RU"/>
        </w:rPr>
        <w:t xml:space="preserve">         </w:t>
      </w:r>
      <w:r>
        <w:rPr>
          <w:sz w:val="28"/>
          <w:szCs w:val="28"/>
          <w:lang w:eastAsia="ru-RU"/>
        </w:rPr>
        <w:t>35</w:t>
      </w:r>
      <w:r w:rsidR="006155DE">
        <w:rPr>
          <w:sz w:val="28"/>
          <w:szCs w:val="28"/>
          <w:lang w:eastAsia="ru-RU"/>
        </w:rPr>
        <w:t xml:space="preserve"> </w:t>
      </w:r>
      <w:r w:rsidR="00D812BB">
        <w:rPr>
          <w:sz w:val="28"/>
          <w:szCs w:val="28"/>
          <w:lang w:eastAsia="ru-RU"/>
        </w:rPr>
        <w:t>180,6</w:t>
      </w:r>
      <w:r>
        <w:rPr>
          <w:sz w:val="28"/>
          <w:szCs w:val="28"/>
          <w:lang w:eastAsia="ru-RU"/>
        </w:rPr>
        <w:t xml:space="preserve"> мл</w:t>
      </w:r>
      <w:r w:rsidR="00D812BB">
        <w:rPr>
          <w:sz w:val="28"/>
          <w:szCs w:val="28"/>
          <w:lang w:eastAsia="ru-RU"/>
        </w:rPr>
        <w:t>н</w:t>
      </w:r>
      <w:r>
        <w:rPr>
          <w:sz w:val="28"/>
          <w:szCs w:val="28"/>
          <w:lang w:eastAsia="ru-RU"/>
        </w:rPr>
        <w:t>. рублей), оборот розничной торговли алкогольными напитками и пивом вырос на 13,3% (до 5</w:t>
      </w:r>
      <w:r w:rsidR="006155DE">
        <w:rPr>
          <w:sz w:val="28"/>
          <w:szCs w:val="28"/>
          <w:lang w:eastAsia="ru-RU"/>
        </w:rPr>
        <w:t xml:space="preserve"> </w:t>
      </w:r>
      <w:r>
        <w:rPr>
          <w:sz w:val="28"/>
          <w:szCs w:val="28"/>
          <w:lang w:eastAsia="ru-RU"/>
        </w:rPr>
        <w:t>1</w:t>
      </w:r>
      <w:r w:rsidR="00D812BB">
        <w:rPr>
          <w:sz w:val="28"/>
          <w:szCs w:val="28"/>
          <w:lang w:eastAsia="ru-RU"/>
        </w:rPr>
        <w:t>13</w:t>
      </w:r>
      <w:r>
        <w:rPr>
          <w:sz w:val="28"/>
          <w:szCs w:val="28"/>
          <w:lang w:eastAsia="ru-RU"/>
        </w:rPr>
        <w:t xml:space="preserve"> мл</w:t>
      </w:r>
      <w:r w:rsidR="00D812BB">
        <w:rPr>
          <w:sz w:val="28"/>
          <w:szCs w:val="28"/>
          <w:lang w:eastAsia="ru-RU"/>
        </w:rPr>
        <w:t>н</w:t>
      </w:r>
      <w:r>
        <w:rPr>
          <w:sz w:val="28"/>
          <w:szCs w:val="28"/>
          <w:lang w:eastAsia="ru-RU"/>
        </w:rPr>
        <w:t>. рублей).</w:t>
      </w:r>
    </w:p>
    <w:p w14:paraId="243ACB73" w14:textId="7036DABC" w:rsidR="0089394B" w:rsidRPr="00846BDA" w:rsidRDefault="004C1745" w:rsidP="0089394B">
      <w:pPr>
        <w:spacing w:line="276" w:lineRule="auto"/>
        <w:rPr>
          <w:rFonts w:eastAsiaTheme="minorEastAsia"/>
          <w:sz w:val="28"/>
          <w:szCs w:val="28"/>
          <w:lang w:eastAsia="ru-RU"/>
        </w:rPr>
      </w:pPr>
      <w:r w:rsidRPr="00A81594">
        <w:rPr>
          <w:sz w:val="28"/>
          <w:szCs w:val="28"/>
          <w:lang w:eastAsia="ru-RU"/>
        </w:rPr>
        <w:t>Оборот розничной торговли (по полному кругу предприятий и организаций) в январе-июне 2021 года составил 91</w:t>
      </w:r>
      <w:r w:rsidR="006155DE">
        <w:rPr>
          <w:sz w:val="28"/>
          <w:szCs w:val="28"/>
          <w:lang w:eastAsia="ru-RU"/>
        </w:rPr>
        <w:t xml:space="preserve"> </w:t>
      </w:r>
      <w:r w:rsidRPr="00A81594">
        <w:rPr>
          <w:sz w:val="28"/>
          <w:szCs w:val="28"/>
          <w:lang w:eastAsia="ru-RU"/>
        </w:rPr>
        <w:t>9</w:t>
      </w:r>
      <w:r w:rsidR="00D812BB">
        <w:rPr>
          <w:sz w:val="28"/>
          <w:szCs w:val="28"/>
          <w:lang w:eastAsia="ru-RU"/>
        </w:rPr>
        <w:t>41,5</w:t>
      </w:r>
      <w:r w:rsidRPr="00A81594">
        <w:rPr>
          <w:sz w:val="28"/>
          <w:szCs w:val="28"/>
          <w:lang w:eastAsia="ru-RU"/>
        </w:rPr>
        <w:t xml:space="preserve"> мл</w:t>
      </w:r>
      <w:r w:rsidR="00F47B48">
        <w:rPr>
          <w:sz w:val="28"/>
          <w:szCs w:val="28"/>
          <w:lang w:eastAsia="ru-RU"/>
        </w:rPr>
        <w:t>н</w:t>
      </w:r>
      <w:r w:rsidRPr="00A81594">
        <w:rPr>
          <w:sz w:val="28"/>
          <w:szCs w:val="28"/>
          <w:lang w:eastAsia="ru-RU"/>
        </w:rPr>
        <w:t>. рублей, что на 5,2% больше соответствующего периода 2020 года</w:t>
      </w:r>
      <w:r w:rsidR="00B322AB">
        <w:rPr>
          <w:sz w:val="28"/>
          <w:szCs w:val="28"/>
          <w:lang w:eastAsia="ru-RU"/>
        </w:rPr>
        <w:t xml:space="preserve">, в том числе по крупным и средним организациям – </w:t>
      </w:r>
      <w:r w:rsidR="00F47B48">
        <w:rPr>
          <w:sz w:val="28"/>
          <w:szCs w:val="28"/>
          <w:lang w:eastAsia="ru-RU"/>
        </w:rPr>
        <w:t>49</w:t>
      </w:r>
      <w:r w:rsidR="006155DE">
        <w:rPr>
          <w:sz w:val="28"/>
          <w:szCs w:val="28"/>
          <w:lang w:eastAsia="ru-RU"/>
        </w:rPr>
        <w:t xml:space="preserve"> </w:t>
      </w:r>
      <w:r w:rsidR="00F47B48">
        <w:rPr>
          <w:sz w:val="28"/>
          <w:szCs w:val="28"/>
          <w:lang w:eastAsia="ru-RU"/>
        </w:rPr>
        <w:t>937,4</w:t>
      </w:r>
      <w:r w:rsidR="00B322AB">
        <w:rPr>
          <w:sz w:val="28"/>
          <w:szCs w:val="28"/>
          <w:lang w:eastAsia="ru-RU"/>
        </w:rPr>
        <w:t xml:space="preserve"> мл</w:t>
      </w:r>
      <w:r w:rsidR="00F47B48">
        <w:rPr>
          <w:sz w:val="28"/>
          <w:szCs w:val="28"/>
          <w:lang w:eastAsia="ru-RU"/>
        </w:rPr>
        <w:t>н</w:t>
      </w:r>
      <w:r w:rsidR="00B322AB">
        <w:rPr>
          <w:sz w:val="28"/>
          <w:szCs w:val="28"/>
          <w:lang w:eastAsia="ru-RU"/>
        </w:rPr>
        <w:t xml:space="preserve">. рублей, что на 27% больше </w:t>
      </w:r>
      <w:r w:rsidR="004F3625">
        <w:rPr>
          <w:sz w:val="28"/>
          <w:szCs w:val="28"/>
          <w:lang w:val="en-US" w:eastAsia="ru-RU"/>
        </w:rPr>
        <w:t>I</w:t>
      </w:r>
      <w:r w:rsidR="00B322AB">
        <w:rPr>
          <w:sz w:val="28"/>
          <w:szCs w:val="28"/>
          <w:lang w:eastAsia="ru-RU"/>
        </w:rPr>
        <w:t xml:space="preserve"> полугодия 2020 года</w:t>
      </w:r>
      <w:r w:rsidRPr="00A81594">
        <w:rPr>
          <w:sz w:val="28"/>
          <w:szCs w:val="28"/>
          <w:lang w:eastAsia="ru-RU"/>
        </w:rPr>
        <w:t>.</w:t>
      </w:r>
      <w:r w:rsidR="0089394B" w:rsidRPr="0089394B">
        <w:rPr>
          <w:rFonts w:eastAsiaTheme="minorEastAsia"/>
          <w:sz w:val="28"/>
          <w:szCs w:val="28"/>
          <w:lang w:eastAsia="ru-RU"/>
        </w:rPr>
        <w:t xml:space="preserve"> </w:t>
      </w:r>
      <w:r w:rsidR="0089394B">
        <w:rPr>
          <w:rFonts w:eastAsiaTheme="minorEastAsia"/>
          <w:sz w:val="28"/>
          <w:szCs w:val="28"/>
          <w:lang w:eastAsia="ru-RU"/>
        </w:rPr>
        <w:t>45,7%</w:t>
      </w:r>
      <w:r w:rsidR="0089394B" w:rsidRPr="00846BDA">
        <w:rPr>
          <w:rFonts w:eastAsiaTheme="minorEastAsia"/>
          <w:sz w:val="28"/>
          <w:szCs w:val="28"/>
          <w:lang w:eastAsia="ru-RU"/>
        </w:rPr>
        <w:t xml:space="preserve"> оборота розничной торговли </w:t>
      </w:r>
      <w:r w:rsidR="0089394B">
        <w:rPr>
          <w:rFonts w:eastAsiaTheme="minorEastAsia"/>
          <w:sz w:val="28"/>
          <w:szCs w:val="28"/>
          <w:lang w:eastAsia="ru-RU"/>
        </w:rPr>
        <w:t>с</w:t>
      </w:r>
      <w:r w:rsidR="0089394B" w:rsidRPr="00846BDA">
        <w:rPr>
          <w:rFonts w:eastAsiaTheme="minorEastAsia"/>
          <w:sz w:val="28"/>
          <w:szCs w:val="28"/>
          <w:lang w:eastAsia="ru-RU"/>
        </w:rPr>
        <w:t>формир</w:t>
      </w:r>
      <w:r w:rsidR="0089394B">
        <w:rPr>
          <w:rFonts w:eastAsiaTheme="minorEastAsia"/>
          <w:sz w:val="28"/>
          <w:szCs w:val="28"/>
          <w:lang w:eastAsia="ru-RU"/>
        </w:rPr>
        <w:t>ованы</w:t>
      </w:r>
      <w:r w:rsidR="0089394B" w:rsidRPr="00846BDA">
        <w:rPr>
          <w:rFonts w:eastAsiaTheme="minorEastAsia"/>
          <w:sz w:val="28"/>
          <w:szCs w:val="28"/>
          <w:lang w:eastAsia="ru-RU"/>
        </w:rPr>
        <w:t xml:space="preserve"> </w:t>
      </w:r>
      <w:r w:rsidR="0089394B">
        <w:rPr>
          <w:rFonts w:eastAsiaTheme="minorEastAsia"/>
          <w:sz w:val="28"/>
          <w:szCs w:val="28"/>
          <w:lang w:eastAsia="ru-RU"/>
        </w:rPr>
        <w:t xml:space="preserve">организациями </w:t>
      </w:r>
      <w:r w:rsidR="0089394B" w:rsidRPr="00846BDA">
        <w:rPr>
          <w:rFonts w:eastAsiaTheme="minorEastAsia"/>
          <w:sz w:val="28"/>
          <w:szCs w:val="28"/>
          <w:lang w:eastAsia="ru-RU"/>
        </w:rPr>
        <w:t>малого бизнеса</w:t>
      </w:r>
      <w:r w:rsidR="00D812BB">
        <w:rPr>
          <w:rFonts w:eastAsiaTheme="minorEastAsia"/>
          <w:sz w:val="28"/>
          <w:szCs w:val="28"/>
          <w:lang w:eastAsia="ru-RU"/>
        </w:rPr>
        <w:t xml:space="preserve"> и индивидуальными предпринимателями</w:t>
      </w:r>
      <w:r w:rsidR="0089394B" w:rsidRPr="00846BDA">
        <w:rPr>
          <w:rFonts w:eastAsiaTheme="minorEastAsia"/>
          <w:sz w:val="28"/>
          <w:szCs w:val="28"/>
          <w:lang w:eastAsia="ru-RU"/>
        </w:rPr>
        <w:t>.</w:t>
      </w:r>
    </w:p>
    <w:p w14:paraId="5C278A9D" w14:textId="0A1847B5" w:rsidR="00A81594" w:rsidRDefault="00A81594" w:rsidP="00A81594">
      <w:pPr>
        <w:spacing w:line="276" w:lineRule="auto"/>
        <w:rPr>
          <w:sz w:val="28"/>
          <w:szCs w:val="28"/>
          <w:lang w:eastAsia="ru-RU"/>
        </w:rPr>
      </w:pPr>
      <w:r>
        <w:rPr>
          <w:sz w:val="28"/>
          <w:szCs w:val="28"/>
          <w:lang w:eastAsia="ru-RU"/>
        </w:rPr>
        <w:t xml:space="preserve">Доля </w:t>
      </w:r>
      <w:r w:rsidR="00B322AB">
        <w:rPr>
          <w:sz w:val="28"/>
          <w:szCs w:val="28"/>
          <w:lang w:eastAsia="ru-RU"/>
        </w:rPr>
        <w:t xml:space="preserve">городского округа </w:t>
      </w:r>
      <w:r>
        <w:rPr>
          <w:sz w:val="28"/>
          <w:szCs w:val="28"/>
          <w:lang w:eastAsia="ru-RU"/>
        </w:rPr>
        <w:t xml:space="preserve">Тольятти в обороте по Самарской области </w:t>
      </w:r>
      <w:r w:rsidR="0089394B">
        <w:rPr>
          <w:sz w:val="28"/>
          <w:szCs w:val="28"/>
          <w:lang w:eastAsia="ru-RU"/>
        </w:rPr>
        <w:t xml:space="preserve">составила в 2020 году </w:t>
      </w:r>
      <w:r w:rsidRPr="00A81594">
        <w:rPr>
          <w:sz w:val="28"/>
          <w:szCs w:val="28"/>
          <w:lang w:eastAsia="ru-RU"/>
        </w:rPr>
        <w:t>26%</w:t>
      </w:r>
      <w:r w:rsidR="0089394B">
        <w:rPr>
          <w:sz w:val="28"/>
          <w:szCs w:val="28"/>
          <w:lang w:eastAsia="ru-RU"/>
        </w:rPr>
        <w:t>.</w:t>
      </w:r>
      <w:r>
        <w:rPr>
          <w:sz w:val="28"/>
          <w:szCs w:val="28"/>
          <w:lang w:eastAsia="ru-RU"/>
        </w:rPr>
        <w:t xml:space="preserve"> </w:t>
      </w:r>
      <w:r w:rsidR="0089394B">
        <w:rPr>
          <w:sz w:val="28"/>
          <w:szCs w:val="28"/>
          <w:lang w:eastAsia="ru-RU"/>
        </w:rPr>
        <w:t>С</w:t>
      </w:r>
      <w:r>
        <w:rPr>
          <w:sz w:val="28"/>
          <w:szCs w:val="28"/>
          <w:lang w:eastAsia="ru-RU"/>
        </w:rPr>
        <w:t xml:space="preserve">реди городских округов Самарской области </w:t>
      </w:r>
      <w:r w:rsidR="0089394B">
        <w:rPr>
          <w:sz w:val="28"/>
          <w:szCs w:val="28"/>
          <w:lang w:eastAsia="ru-RU"/>
        </w:rPr>
        <w:t xml:space="preserve">городской округ </w:t>
      </w:r>
      <w:r>
        <w:rPr>
          <w:sz w:val="28"/>
          <w:szCs w:val="28"/>
          <w:lang w:eastAsia="ru-RU"/>
        </w:rPr>
        <w:t xml:space="preserve">Тольятти традиционно занимает 2 место по обороту розничной торговли в расчете на душу населения после </w:t>
      </w:r>
      <w:r w:rsidR="00B322AB">
        <w:rPr>
          <w:sz w:val="28"/>
          <w:szCs w:val="28"/>
          <w:lang w:eastAsia="ru-RU"/>
        </w:rPr>
        <w:t xml:space="preserve">г.о. </w:t>
      </w:r>
      <w:r>
        <w:rPr>
          <w:sz w:val="28"/>
          <w:szCs w:val="28"/>
          <w:lang w:eastAsia="ru-RU"/>
        </w:rPr>
        <w:t>Самар</w:t>
      </w:r>
      <w:r w:rsidR="00B322AB">
        <w:rPr>
          <w:sz w:val="28"/>
          <w:szCs w:val="28"/>
          <w:lang w:eastAsia="ru-RU"/>
        </w:rPr>
        <w:t>а</w:t>
      </w:r>
      <w:r>
        <w:rPr>
          <w:sz w:val="28"/>
          <w:szCs w:val="28"/>
          <w:lang w:eastAsia="ru-RU"/>
        </w:rPr>
        <w:t xml:space="preserve">: в 2020 году по городскому округу Тольятти – </w:t>
      </w:r>
      <w:r w:rsidRPr="00A81594">
        <w:rPr>
          <w:sz w:val="28"/>
          <w:szCs w:val="28"/>
          <w:lang w:eastAsia="ru-RU"/>
        </w:rPr>
        <w:t xml:space="preserve">254,6 тыс. рублей на 1 человека </w:t>
      </w:r>
      <w:r w:rsidR="00057272">
        <w:rPr>
          <w:sz w:val="28"/>
          <w:szCs w:val="28"/>
          <w:lang w:eastAsia="ru-RU"/>
        </w:rPr>
        <w:t>(</w:t>
      </w:r>
      <w:r w:rsidRPr="00A81594">
        <w:rPr>
          <w:sz w:val="28"/>
          <w:szCs w:val="28"/>
          <w:lang w:eastAsia="ru-RU"/>
        </w:rPr>
        <w:t xml:space="preserve">по </w:t>
      </w:r>
      <w:r w:rsidR="00057272">
        <w:rPr>
          <w:sz w:val="28"/>
          <w:szCs w:val="28"/>
          <w:lang w:eastAsia="ru-RU"/>
        </w:rPr>
        <w:lastRenderedPageBreak/>
        <w:t>г.о.</w:t>
      </w:r>
      <w:r w:rsidRPr="00A81594">
        <w:rPr>
          <w:sz w:val="28"/>
          <w:szCs w:val="28"/>
          <w:lang w:eastAsia="ru-RU"/>
        </w:rPr>
        <w:t xml:space="preserve"> Самара – 261,5 тыс. рублей на 1 человека; по Самарской области в среднем – 212,2 тыс. рублей на 1 человека</w:t>
      </w:r>
      <w:r w:rsidR="00057272">
        <w:rPr>
          <w:sz w:val="28"/>
          <w:szCs w:val="28"/>
          <w:lang w:eastAsia="ru-RU"/>
        </w:rPr>
        <w:t>)</w:t>
      </w:r>
      <w:r w:rsidRPr="00A81594">
        <w:rPr>
          <w:sz w:val="28"/>
          <w:szCs w:val="28"/>
          <w:lang w:eastAsia="ru-RU"/>
        </w:rPr>
        <w:t xml:space="preserve">. </w:t>
      </w:r>
    </w:p>
    <w:p w14:paraId="4750102B" w14:textId="608390BE" w:rsidR="00A81594" w:rsidRPr="00846BDA" w:rsidRDefault="00A81594" w:rsidP="00A81594">
      <w:pPr>
        <w:widowControl w:val="0"/>
        <w:suppressAutoHyphens w:val="0"/>
        <w:autoSpaceDE w:val="0"/>
        <w:autoSpaceDN w:val="0"/>
        <w:adjustRightInd w:val="0"/>
        <w:spacing w:line="276" w:lineRule="auto"/>
        <w:rPr>
          <w:rFonts w:eastAsiaTheme="minorEastAsia"/>
          <w:sz w:val="28"/>
          <w:szCs w:val="28"/>
          <w:lang w:eastAsia="ru-RU"/>
        </w:rPr>
      </w:pPr>
      <w:r w:rsidRPr="00846BDA">
        <w:rPr>
          <w:rFonts w:eastAsiaTheme="minorEastAsia"/>
          <w:sz w:val="28"/>
          <w:szCs w:val="28"/>
          <w:lang w:eastAsia="ru-RU"/>
        </w:rPr>
        <w:t xml:space="preserve">Оборот розничной торговли на душу населения </w:t>
      </w:r>
      <w:r w:rsidR="00B322AB">
        <w:rPr>
          <w:rFonts w:eastAsiaTheme="minorEastAsia"/>
          <w:sz w:val="28"/>
          <w:szCs w:val="28"/>
          <w:lang w:eastAsia="ru-RU"/>
        </w:rPr>
        <w:t xml:space="preserve">по городскому округу Тольятти </w:t>
      </w:r>
      <w:r w:rsidRPr="00846BDA">
        <w:rPr>
          <w:rFonts w:eastAsiaTheme="minorEastAsia"/>
          <w:sz w:val="28"/>
          <w:szCs w:val="28"/>
          <w:lang w:eastAsia="ru-RU"/>
        </w:rPr>
        <w:t>в январе-июне 2021 года сложился выше среднеобластного значения и составил 132,7 тыс. рублей (в целом по Самарской области – 110,6 тыс. рублей)</w:t>
      </w:r>
      <w:r>
        <w:rPr>
          <w:rFonts w:eastAsiaTheme="minorEastAsia"/>
          <w:sz w:val="28"/>
          <w:szCs w:val="28"/>
          <w:lang w:eastAsia="ru-RU"/>
        </w:rPr>
        <w:t>.</w:t>
      </w:r>
      <w:r w:rsidRPr="00846BDA">
        <w:rPr>
          <w:rFonts w:eastAsiaTheme="minorEastAsia"/>
          <w:sz w:val="28"/>
          <w:szCs w:val="28"/>
          <w:lang w:eastAsia="ru-RU"/>
        </w:rPr>
        <w:t xml:space="preserve"> </w:t>
      </w:r>
    </w:p>
    <w:p w14:paraId="15B0497D" w14:textId="77777777" w:rsidR="004C1745" w:rsidRPr="00803B2A" w:rsidRDefault="004C1745" w:rsidP="004C1745">
      <w:pPr>
        <w:widowControl w:val="0"/>
        <w:spacing w:before="120" w:line="300" w:lineRule="auto"/>
        <w:ind w:firstLine="0"/>
        <w:jc w:val="center"/>
        <w:rPr>
          <w:rFonts w:eastAsia="Calibri"/>
          <w:sz w:val="28"/>
          <w:szCs w:val="28"/>
        </w:rPr>
      </w:pPr>
      <w:r w:rsidRPr="00803B2A">
        <w:rPr>
          <w:rFonts w:eastAsia="Calibri"/>
          <w:sz w:val="28"/>
          <w:szCs w:val="28"/>
        </w:rPr>
        <w:t xml:space="preserve">Ожидаемое выполнение прогнозных показателей по разделу </w:t>
      </w:r>
    </w:p>
    <w:p w14:paraId="27000379" w14:textId="77777777" w:rsidR="004C1745" w:rsidRPr="00803B2A" w:rsidRDefault="004C1745" w:rsidP="004C1745">
      <w:pPr>
        <w:widowControl w:val="0"/>
        <w:spacing w:line="300" w:lineRule="auto"/>
        <w:ind w:firstLine="0"/>
        <w:jc w:val="center"/>
        <w:rPr>
          <w:rFonts w:eastAsia="Calibri"/>
          <w:sz w:val="28"/>
          <w:szCs w:val="28"/>
        </w:rPr>
      </w:pPr>
      <w:r w:rsidRPr="00803B2A">
        <w:rPr>
          <w:rFonts w:eastAsia="Calibri"/>
          <w:sz w:val="28"/>
          <w:szCs w:val="28"/>
        </w:rPr>
        <w:t>«Потребительский рынок» на 2021 год</w:t>
      </w:r>
    </w:p>
    <w:tbl>
      <w:tblPr>
        <w:tblW w:w="9335" w:type="dxa"/>
        <w:tblInd w:w="108" w:type="dxa"/>
        <w:tblLayout w:type="fixed"/>
        <w:tblLook w:val="00A0" w:firstRow="1" w:lastRow="0" w:firstColumn="1" w:lastColumn="0" w:noHBand="0" w:noVBand="0"/>
      </w:tblPr>
      <w:tblGrid>
        <w:gridCol w:w="3455"/>
        <w:gridCol w:w="1432"/>
        <w:gridCol w:w="1422"/>
        <w:gridCol w:w="1617"/>
        <w:gridCol w:w="1409"/>
      </w:tblGrid>
      <w:tr w:rsidR="004C1745" w:rsidRPr="00803B2A" w14:paraId="29CBCEB3" w14:textId="77777777" w:rsidTr="00147A4E">
        <w:trPr>
          <w:cantSplit/>
          <w:trHeight w:val="259"/>
        </w:trPr>
        <w:tc>
          <w:tcPr>
            <w:tcW w:w="3455" w:type="dxa"/>
            <w:vMerge w:val="restart"/>
            <w:tcBorders>
              <w:top w:val="single" w:sz="4" w:space="0" w:color="000000"/>
              <w:left w:val="single" w:sz="4" w:space="0" w:color="000000"/>
              <w:bottom w:val="single" w:sz="4" w:space="0" w:color="000000"/>
              <w:right w:val="nil"/>
            </w:tcBorders>
            <w:vAlign w:val="center"/>
          </w:tcPr>
          <w:p w14:paraId="4692023D" w14:textId="77777777" w:rsidR="004C1745" w:rsidRPr="00803B2A" w:rsidRDefault="004C1745" w:rsidP="00147A4E">
            <w:pPr>
              <w:pStyle w:val="230"/>
              <w:keepNext/>
              <w:keepLines/>
              <w:spacing w:after="0" w:line="276" w:lineRule="auto"/>
              <w:ind w:left="0" w:firstLine="0"/>
              <w:jc w:val="center"/>
              <w:rPr>
                <w:sz w:val="28"/>
                <w:szCs w:val="28"/>
              </w:rPr>
            </w:pPr>
            <w:r w:rsidRPr="00803B2A">
              <w:rPr>
                <w:sz w:val="28"/>
                <w:szCs w:val="28"/>
              </w:rPr>
              <w:t>Показатели</w:t>
            </w:r>
          </w:p>
        </w:tc>
        <w:tc>
          <w:tcPr>
            <w:tcW w:w="1432" w:type="dxa"/>
            <w:vMerge w:val="restart"/>
            <w:tcBorders>
              <w:top w:val="single" w:sz="4" w:space="0" w:color="000000"/>
              <w:left w:val="single" w:sz="4" w:space="0" w:color="000000"/>
              <w:bottom w:val="single" w:sz="4" w:space="0" w:color="000000"/>
              <w:right w:val="nil"/>
            </w:tcBorders>
            <w:vAlign w:val="center"/>
          </w:tcPr>
          <w:p w14:paraId="6A6CAA5C" w14:textId="77777777" w:rsidR="004C1745" w:rsidRPr="00803B2A" w:rsidRDefault="004C1745" w:rsidP="00147A4E">
            <w:pPr>
              <w:pStyle w:val="230"/>
              <w:keepNext/>
              <w:keepLines/>
              <w:spacing w:after="0" w:line="276" w:lineRule="auto"/>
              <w:ind w:left="0" w:firstLine="0"/>
              <w:jc w:val="center"/>
              <w:rPr>
                <w:sz w:val="28"/>
                <w:szCs w:val="28"/>
              </w:rPr>
            </w:pPr>
            <w:r w:rsidRPr="00803B2A">
              <w:rPr>
                <w:sz w:val="28"/>
                <w:szCs w:val="28"/>
              </w:rPr>
              <w:t>Ед. изм.</w:t>
            </w:r>
          </w:p>
        </w:tc>
        <w:tc>
          <w:tcPr>
            <w:tcW w:w="3039" w:type="dxa"/>
            <w:gridSpan w:val="2"/>
            <w:tcBorders>
              <w:top w:val="single" w:sz="4" w:space="0" w:color="000000"/>
              <w:left w:val="single" w:sz="4" w:space="0" w:color="000000"/>
              <w:bottom w:val="single" w:sz="4" w:space="0" w:color="000000"/>
              <w:right w:val="single" w:sz="4" w:space="0" w:color="000000"/>
            </w:tcBorders>
          </w:tcPr>
          <w:p w14:paraId="65D08135" w14:textId="77777777" w:rsidR="004C1745" w:rsidRPr="00803B2A" w:rsidRDefault="004C1745" w:rsidP="00147A4E">
            <w:pPr>
              <w:spacing w:line="276" w:lineRule="auto"/>
              <w:ind w:firstLine="0"/>
              <w:jc w:val="center"/>
              <w:rPr>
                <w:sz w:val="28"/>
                <w:szCs w:val="28"/>
              </w:rPr>
            </w:pPr>
            <w:r w:rsidRPr="00803B2A">
              <w:rPr>
                <w:sz w:val="28"/>
                <w:szCs w:val="28"/>
              </w:rPr>
              <w:t>Прогноз на 2021 год</w:t>
            </w:r>
          </w:p>
        </w:tc>
        <w:tc>
          <w:tcPr>
            <w:tcW w:w="1409" w:type="dxa"/>
            <w:vMerge w:val="restart"/>
            <w:tcBorders>
              <w:top w:val="single" w:sz="4" w:space="0" w:color="000000"/>
              <w:left w:val="single" w:sz="4" w:space="0" w:color="000000"/>
              <w:bottom w:val="single" w:sz="4" w:space="0" w:color="000000"/>
              <w:right w:val="single" w:sz="4" w:space="0" w:color="000000"/>
            </w:tcBorders>
          </w:tcPr>
          <w:p w14:paraId="0AF9BCC7" w14:textId="77777777" w:rsidR="004C1745" w:rsidRPr="00803B2A" w:rsidRDefault="004C1745" w:rsidP="00147A4E">
            <w:pPr>
              <w:spacing w:line="276" w:lineRule="auto"/>
              <w:ind w:firstLine="0"/>
              <w:jc w:val="center"/>
              <w:rPr>
                <w:sz w:val="28"/>
                <w:szCs w:val="28"/>
              </w:rPr>
            </w:pPr>
            <w:r w:rsidRPr="00803B2A">
              <w:rPr>
                <w:sz w:val="28"/>
                <w:szCs w:val="28"/>
              </w:rPr>
              <w:t>2021 год (оценка)</w:t>
            </w:r>
          </w:p>
        </w:tc>
      </w:tr>
      <w:tr w:rsidR="004C1745" w:rsidRPr="00803B2A" w14:paraId="1C368DE5" w14:textId="77777777" w:rsidTr="00147A4E">
        <w:trPr>
          <w:cantSplit/>
          <w:trHeight w:val="287"/>
        </w:trPr>
        <w:tc>
          <w:tcPr>
            <w:tcW w:w="3455" w:type="dxa"/>
            <w:vMerge/>
            <w:tcBorders>
              <w:top w:val="single" w:sz="4" w:space="0" w:color="000000"/>
              <w:left w:val="single" w:sz="4" w:space="0" w:color="000000"/>
              <w:bottom w:val="single" w:sz="4" w:space="0" w:color="000000"/>
              <w:right w:val="nil"/>
            </w:tcBorders>
            <w:vAlign w:val="center"/>
          </w:tcPr>
          <w:p w14:paraId="0AC5698B" w14:textId="77777777" w:rsidR="004C1745" w:rsidRPr="00803B2A" w:rsidRDefault="004C1745" w:rsidP="00147A4E">
            <w:pPr>
              <w:suppressAutoHyphens w:val="0"/>
              <w:spacing w:line="276" w:lineRule="auto"/>
              <w:ind w:firstLine="0"/>
              <w:jc w:val="center"/>
              <w:rPr>
                <w:sz w:val="28"/>
                <w:szCs w:val="28"/>
              </w:rPr>
            </w:pPr>
          </w:p>
        </w:tc>
        <w:tc>
          <w:tcPr>
            <w:tcW w:w="1432" w:type="dxa"/>
            <w:vMerge/>
            <w:tcBorders>
              <w:top w:val="single" w:sz="4" w:space="0" w:color="000000"/>
              <w:left w:val="single" w:sz="4" w:space="0" w:color="000000"/>
              <w:bottom w:val="single" w:sz="4" w:space="0" w:color="000000"/>
              <w:right w:val="nil"/>
            </w:tcBorders>
            <w:vAlign w:val="center"/>
          </w:tcPr>
          <w:p w14:paraId="526EBC08" w14:textId="77777777" w:rsidR="004C1745" w:rsidRPr="00803B2A" w:rsidRDefault="004C1745" w:rsidP="00147A4E">
            <w:pPr>
              <w:suppressAutoHyphens w:val="0"/>
              <w:spacing w:line="276" w:lineRule="auto"/>
              <w:ind w:firstLine="0"/>
              <w:jc w:val="center"/>
              <w:rPr>
                <w:sz w:val="28"/>
                <w:szCs w:val="28"/>
              </w:rPr>
            </w:pPr>
          </w:p>
        </w:tc>
        <w:tc>
          <w:tcPr>
            <w:tcW w:w="1422" w:type="dxa"/>
            <w:tcBorders>
              <w:top w:val="single" w:sz="4" w:space="0" w:color="000000"/>
              <w:left w:val="single" w:sz="4" w:space="0" w:color="000000"/>
              <w:bottom w:val="single" w:sz="4" w:space="0" w:color="000000"/>
              <w:right w:val="nil"/>
            </w:tcBorders>
            <w:vAlign w:val="center"/>
          </w:tcPr>
          <w:p w14:paraId="7D306422" w14:textId="77777777" w:rsidR="004C1745" w:rsidRPr="00803B2A" w:rsidRDefault="004C1745" w:rsidP="00147A4E">
            <w:pPr>
              <w:keepNext/>
              <w:keepLines/>
              <w:spacing w:line="276" w:lineRule="auto"/>
              <w:ind w:firstLine="0"/>
              <w:jc w:val="center"/>
              <w:rPr>
                <w:sz w:val="28"/>
                <w:szCs w:val="28"/>
              </w:rPr>
            </w:pPr>
            <w:r w:rsidRPr="00803B2A">
              <w:rPr>
                <w:sz w:val="28"/>
                <w:szCs w:val="28"/>
              </w:rPr>
              <w:t>1 вариант</w:t>
            </w:r>
          </w:p>
        </w:tc>
        <w:tc>
          <w:tcPr>
            <w:tcW w:w="1617" w:type="dxa"/>
            <w:tcBorders>
              <w:top w:val="single" w:sz="4" w:space="0" w:color="000000"/>
              <w:left w:val="single" w:sz="4" w:space="0" w:color="000000"/>
              <w:bottom w:val="single" w:sz="4" w:space="0" w:color="000000"/>
              <w:right w:val="nil"/>
            </w:tcBorders>
            <w:vAlign w:val="center"/>
          </w:tcPr>
          <w:p w14:paraId="447E5567" w14:textId="77777777" w:rsidR="004C1745" w:rsidRPr="00803B2A" w:rsidRDefault="004C1745" w:rsidP="00147A4E">
            <w:pPr>
              <w:keepNext/>
              <w:keepLines/>
              <w:spacing w:line="276" w:lineRule="auto"/>
              <w:ind w:firstLine="0"/>
              <w:jc w:val="center"/>
              <w:rPr>
                <w:sz w:val="28"/>
                <w:szCs w:val="28"/>
              </w:rPr>
            </w:pPr>
            <w:r w:rsidRPr="00803B2A">
              <w:rPr>
                <w:sz w:val="28"/>
                <w:szCs w:val="28"/>
              </w:rPr>
              <w:t>2 вариант</w:t>
            </w:r>
          </w:p>
        </w:tc>
        <w:tc>
          <w:tcPr>
            <w:tcW w:w="1409" w:type="dxa"/>
            <w:vMerge/>
            <w:tcBorders>
              <w:top w:val="single" w:sz="4" w:space="0" w:color="000000"/>
              <w:left w:val="single" w:sz="4" w:space="0" w:color="000000"/>
              <w:bottom w:val="single" w:sz="4" w:space="0" w:color="000000"/>
              <w:right w:val="single" w:sz="4" w:space="0" w:color="000000"/>
            </w:tcBorders>
            <w:vAlign w:val="center"/>
          </w:tcPr>
          <w:p w14:paraId="3D9F1D5F" w14:textId="77777777" w:rsidR="004C1745" w:rsidRPr="00803B2A" w:rsidRDefault="004C1745" w:rsidP="00147A4E">
            <w:pPr>
              <w:suppressAutoHyphens w:val="0"/>
              <w:spacing w:line="276" w:lineRule="auto"/>
              <w:ind w:firstLine="0"/>
              <w:jc w:val="center"/>
              <w:rPr>
                <w:sz w:val="28"/>
                <w:szCs w:val="28"/>
              </w:rPr>
            </w:pPr>
          </w:p>
        </w:tc>
      </w:tr>
      <w:tr w:rsidR="004C1745" w:rsidRPr="00803B2A" w14:paraId="4A80D40C" w14:textId="77777777" w:rsidTr="00147A4E">
        <w:trPr>
          <w:trHeight w:val="405"/>
        </w:trPr>
        <w:tc>
          <w:tcPr>
            <w:tcW w:w="3455" w:type="dxa"/>
            <w:tcBorders>
              <w:top w:val="single" w:sz="4" w:space="0" w:color="000000"/>
              <w:left w:val="single" w:sz="4" w:space="0" w:color="000000"/>
              <w:bottom w:val="single" w:sz="4" w:space="0" w:color="000000"/>
              <w:right w:val="nil"/>
            </w:tcBorders>
            <w:vAlign w:val="center"/>
          </w:tcPr>
          <w:p w14:paraId="73EE4F7F" w14:textId="77777777" w:rsidR="004C1745" w:rsidRPr="00803B2A" w:rsidRDefault="004C1745" w:rsidP="00282B08">
            <w:pPr>
              <w:pStyle w:val="230"/>
              <w:keepNext/>
              <w:keepLines/>
              <w:spacing w:after="0" w:line="240" w:lineRule="auto"/>
              <w:ind w:left="0" w:firstLine="0"/>
              <w:jc w:val="left"/>
              <w:rPr>
                <w:sz w:val="28"/>
                <w:szCs w:val="28"/>
              </w:rPr>
            </w:pPr>
            <w:r w:rsidRPr="00803B2A">
              <w:rPr>
                <w:sz w:val="28"/>
                <w:szCs w:val="28"/>
              </w:rPr>
              <w:t>Оборот розничной торговли</w:t>
            </w:r>
          </w:p>
        </w:tc>
        <w:tc>
          <w:tcPr>
            <w:tcW w:w="1432" w:type="dxa"/>
            <w:tcBorders>
              <w:top w:val="single" w:sz="4" w:space="0" w:color="000000"/>
              <w:left w:val="single" w:sz="4" w:space="0" w:color="000000"/>
              <w:bottom w:val="single" w:sz="4" w:space="0" w:color="000000"/>
              <w:right w:val="nil"/>
            </w:tcBorders>
            <w:vAlign w:val="center"/>
          </w:tcPr>
          <w:p w14:paraId="186CBC04" w14:textId="77777777" w:rsidR="004C1745" w:rsidRPr="00803B2A" w:rsidRDefault="004C1745" w:rsidP="00147A4E">
            <w:pPr>
              <w:pStyle w:val="230"/>
              <w:keepNext/>
              <w:keepLines/>
              <w:spacing w:after="0" w:line="240" w:lineRule="auto"/>
              <w:ind w:left="0" w:firstLine="0"/>
              <w:jc w:val="center"/>
              <w:rPr>
                <w:sz w:val="28"/>
                <w:szCs w:val="28"/>
              </w:rPr>
            </w:pPr>
            <w:r w:rsidRPr="00803B2A">
              <w:rPr>
                <w:sz w:val="28"/>
                <w:szCs w:val="28"/>
              </w:rPr>
              <w:t>млн. рублей</w:t>
            </w:r>
          </w:p>
        </w:tc>
        <w:tc>
          <w:tcPr>
            <w:tcW w:w="1422" w:type="dxa"/>
            <w:tcBorders>
              <w:top w:val="single" w:sz="4" w:space="0" w:color="000000"/>
              <w:left w:val="single" w:sz="4" w:space="0" w:color="000000"/>
              <w:bottom w:val="single" w:sz="4" w:space="0" w:color="000000"/>
              <w:right w:val="nil"/>
            </w:tcBorders>
            <w:vAlign w:val="center"/>
          </w:tcPr>
          <w:p w14:paraId="1E75A91E" w14:textId="77777777" w:rsidR="004C1745" w:rsidRPr="00803B2A" w:rsidRDefault="004C1745" w:rsidP="00147A4E">
            <w:pPr>
              <w:pStyle w:val="230"/>
              <w:keepNext/>
              <w:keepLines/>
              <w:spacing w:after="0" w:line="240" w:lineRule="auto"/>
              <w:ind w:left="0" w:firstLine="0"/>
              <w:jc w:val="center"/>
              <w:rPr>
                <w:sz w:val="28"/>
                <w:szCs w:val="28"/>
              </w:rPr>
            </w:pPr>
            <w:r w:rsidRPr="00803B2A">
              <w:rPr>
                <w:sz w:val="28"/>
                <w:szCs w:val="28"/>
              </w:rPr>
              <w:t>184 391,9</w:t>
            </w:r>
          </w:p>
        </w:tc>
        <w:tc>
          <w:tcPr>
            <w:tcW w:w="1617" w:type="dxa"/>
            <w:tcBorders>
              <w:top w:val="single" w:sz="4" w:space="0" w:color="000000"/>
              <w:left w:val="single" w:sz="4" w:space="0" w:color="000000"/>
              <w:bottom w:val="single" w:sz="4" w:space="0" w:color="000000"/>
              <w:right w:val="nil"/>
            </w:tcBorders>
            <w:vAlign w:val="center"/>
          </w:tcPr>
          <w:p w14:paraId="22E59833" w14:textId="77777777" w:rsidR="004C1745" w:rsidRPr="00803B2A" w:rsidRDefault="004C1745" w:rsidP="00147A4E">
            <w:pPr>
              <w:pStyle w:val="230"/>
              <w:keepNext/>
              <w:keepLines/>
              <w:spacing w:after="0" w:line="240" w:lineRule="auto"/>
              <w:ind w:left="0" w:firstLine="0"/>
              <w:jc w:val="center"/>
              <w:rPr>
                <w:sz w:val="28"/>
                <w:szCs w:val="28"/>
              </w:rPr>
            </w:pPr>
            <w:r w:rsidRPr="00803B2A">
              <w:rPr>
                <w:sz w:val="28"/>
                <w:szCs w:val="28"/>
              </w:rPr>
              <w:t>186 182,2</w:t>
            </w:r>
          </w:p>
        </w:tc>
        <w:tc>
          <w:tcPr>
            <w:tcW w:w="1409" w:type="dxa"/>
            <w:tcBorders>
              <w:top w:val="single" w:sz="4" w:space="0" w:color="000000"/>
              <w:left w:val="single" w:sz="4" w:space="0" w:color="000000"/>
              <w:bottom w:val="single" w:sz="4" w:space="0" w:color="000000"/>
              <w:right w:val="single" w:sz="4" w:space="0" w:color="000000"/>
            </w:tcBorders>
            <w:vAlign w:val="center"/>
          </w:tcPr>
          <w:p w14:paraId="5D0CAE1F" w14:textId="77777777" w:rsidR="004C1745" w:rsidRPr="00803B2A" w:rsidRDefault="004C1745" w:rsidP="00147A4E">
            <w:pPr>
              <w:pStyle w:val="230"/>
              <w:keepNext/>
              <w:keepLines/>
              <w:spacing w:after="0" w:line="240" w:lineRule="auto"/>
              <w:ind w:left="0" w:firstLine="0"/>
              <w:jc w:val="center"/>
              <w:rPr>
                <w:sz w:val="28"/>
                <w:szCs w:val="28"/>
              </w:rPr>
            </w:pPr>
            <w:r w:rsidRPr="00803B2A">
              <w:rPr>
                <w:sz w:val="28"/>
                <w:szCs w:val="28"/>
              </w:rPr>
              <w:t>189 570,1</w:t>
            </w:r>
          </w:p>
        </w:tc>
      </w:tr>
      <w:tr w:rsidR="004C1745" w:rsidRPr="008253D3" w14:paraId="6485D793" w14:textId="77777777" w:rsidTr="00147A4E">
        <w:trPr>
          <w:trHeight w:val="405"/>
        </w:trPr>
        <w:tc>
          <w:tcPr>
            <w:tcW w:w="3455" w:type="dxa"/>
            <w:tcBorders>
              <w:top w:val="single" w:sz="4" w:space="0" w:color="000000"/>
              <w:left w:val="single" w:sz="4" w:space="0" w:color="000000"/>
              <w:bottom w:val="single" w:sz="4" w:space="0" w:color="000000"/>
              <w:right w:val="nil"/>
            </w:tcBorders>
            <w:vAlign w:val="center"/>
          </w:tcPr>
          <w:p w14:paraId="4B53A2B5" w14:textId="77777777" w:rsidR="004C1745" w:rsidRPr="00803B2A" w:rsidRDefault="004C1745" w:rsidP="00282B08">
            <w:pPr>
              <w:pStyle w:val="230"/>
              <w:keepNext/>
              <w:keepLines/>
              <w:spacing w:after="0" w:line="240" w:lineRule="auto"/>
              <w:ind w:left="0" w:firstLine="0"/>
              <w:jc w:val="left"/>
              <w:rPr>
                <w:sz w:val="28"/>
                <w:szCs w:val="28"/>
              </w:rPr>
            </w:pPr>
            <w:r w:rsidRPr="00803B2A">
              <w:rPr>
                <w:sz w:val="28"/>
                <w:szCs w:val="28"/>
              </w:rPr>
              <w:t>Индекс физического объема оборота розничной торговли</w:t>
            </w:r>
          </w:p>
        </w:tc>
        <w:tc>
          <w:tcPr>
            <w:tcW w:w="1432" w:type="dxa"/>
            <w:tcBorders>
              <w:top w:val="single" w:sz="4" w:space="0" w:color="000000"/>
              <w:left w:val="single" w:sz="4" w:space="0" w:color="000000"/>
              <w:bottom w:val="single" w:sz="4" w:space="0" w:color="000000"/>
              <w:right w:val="nil"/>
            </w:tcBorders>
            <w:vAlign w:val="center"/>
          </w:tcPr>
          <w:p w14:paraId="6295C521" w14:textId="77777777" w:rsidR="004C1745" w:rsidRPr="00803B2A" w:rsidRDefault="004C1745" w:rsidP="00147A4E">
            <w:pPr>
              <w:pStyle w:val="230"/>
              <w:keepNext/>
              <w:keepLines/>
              <w:spacing w:after="0" w:line="240" w:lineRule="auto"/>
              <w:ind w:left="0" w:firstLine="0"/>
              <w:jc w:val="center"/>
              <w:rPr>
                <w:sz w:val="28"/>
                <w:szCs w:val="28"/>
              </w:rPr>
            </w:pPr>
            <w:r w:rsidRPr="00803B2A">
              <w:rPr>
                <w:sz w:val="28"/>
                <w:szCs w:val="28"/>
              </w:rPr>
              <w:t>%</w:t>
            </w:r>
          </w:p>
        </w:tc>
        <w:tc>
          <w:tcPr>
            <w:tcW w:w="1422" w:type="dxa"/>
            <w:tcBorders>
              <w:top w:val="single" w:sz="4" w:space="0" w:color="000000"/>
              <w:left w:val="single" w:sz="4" w:space="0" w:color="000000"/>
              <w:bottom w:val="single" w:sz="4" w:space="0" w:color="000000"/>
              <w:right w:val="nil"/>
            </w:tcBorders>
            <w:vAlign w:val="center"/>
          </w:tcPr>
          <w:p w14:paraId="26B878DA" w14:textId="77777777" w:rsidR="004C1745" w:rsidRPr="00803B2A" w:rsidRDefault="004C1745" w:rsidP="00147A4E">
            <w:pPr>
              <w:pStyle w:val="230"/>
              <w:keepNext/>
              <w:keepLines/>
              <w:spacing w:after="0" w:line="240" w:lineRule="auto"/>
              <w:ind w:left="0" w:firstLine="0"/>
              <w:jc w:val="center"/>
              <w:rPr>
                <w:sz w:val="28"/>
                <w:szCs w:val="28"/>
              </w:rPr>
            </w:pPr>
            <w:r w:rsidRPr="00803B2A">
              <w:rPr>
                <w:sz w:val="28"/>
                <w:szCs w:val="28"/>
              </w:rPr>
              <w:t>99,4</w:t>
            </w:r>
          </w:p>
        </w:tc>
        <w:tc>
          <w:tcPr>
            <w:tcW w:w="1617" w:type="dxa"/>
            <w:tcBorders>
              <w:top w:val="single" w:sz="4" w:space="0" w:color="000000"/>
              <w:left w:val="single" w:sz="4" w:space="0" w:color="000000"/>
              <w:bottom w:val="single" w:sz="4" w:space="0" w:color="000000"/>
              <w:right w:val="nil"/>
            </w:tcBorders>
            <w:vAlign w:val="center"/>
          </w:tcPr>
          <w:p w14:paraId="0E011253" w14:textId="77777777" w:rsidR="004C1745" w:rsidRPr="00803B2A" w:rsidRDefault="004C1745" w:rsidP="00147A4E">
            <w:pPr>
              <w:pStyle w:val="230"/>
              <w:keepNext/>
              <w:keepLines/>
              <w:spacing w:after="0" w:line="240" w:lineRule="auto"/>
              <w:ind w:left="0" w:firstLine="0"/>
              <w:jc w:val="center"/>
              <w:rPr>
                <w:sz w:val="28"/>
                <w:szCs w:val="28"/>
              </w:rPr>
            </w:pPr>
            <w:r w:rsidRPr="00803B2A">
              <w:rPr>
                <w:sz w:val="28"/>
                <w:szCs w:val="28"/>
              </w:rPr>
              <w:t>100,2</w:t>
            </w:r>
          </w:p>
        </w:tc>
        <w:tc>
          <w:tcPr>
            <w:tcW w:w="1409" w:type="dxa"/>
            <w:tcBorders>
              <w:top w:val="single" w:sz="4" w:space="0" w:color="000000"/>
              <w:left w:val="single" w:sz="4" w:space="0" w:color="000000"/>
              <w:bottom w:val="single" w:sz="4" w:space="0" w:color="000000"/>
              <w:right w:val="single" w:sz="4" w:space="0" w:color="000000"/>
            </w:tcBorders>
            <w:vAlign w:val="center"/>
          </w:tcPr>
          <w:p w14:paraId="5A28A66F" w14:textId="77777777" w:rsidR="004C1745" w:rsidRPr="00803B2A" w:rsidRDefault="004C1745" w:rsidP="00147A4E">
            <w:pPr>
              <w:pStyle w:val="230"/>
              <w:keepNext/>
              <w:keepLines/>
              <w:spacing w:after="0" w:line="240" w:lineRule="auto"/>
              <w:ind w:left="0" w:firstLine="0"/>
              <w:jc w:val="center"/>
              <w:rPr>
                <w:sz w:val="28"/>
                <w:szCs w:val="28"/>
              </w:rPr>
            </w:pPr>
            <w:r w:rsidRPr="00803B2A">
              <w:rPr>
                <w:sz w:val="28"/>
                <w:szCs w:val="28"/>
              </w:rPr>
              <w:t>100,1</w:t>
            </w:r>
          </w:p>
        </w:tc>
      </w:tr>
    </w:tbl>
    <w:p w14:paraId="7DAC07C7" w14:textId="77777777" w:rsidR="004C1745" w:rsidRPr="008253D3" w:rsidRDefault="004C1745" w:rsidP="004C1745">
      <w:pPr>
        <w:widowControl w:val="0"/>
        <w:suppressAutoHyphens w:val="0"/>
        <w:autoSpaceDE w:val="0"/>
        <w:autoSpaceDN w:val="0"/>
        <w:adjustRightInd w:val="0"/>
        <w:spacing w:line="276" w:lineRule="auto"/>
        <w:rPr>
          <w:rFonts w:eastAsiaTheme="minorEastAsia"/>
          <w:sz w:val="28"/>
          <w:szCs w:val="28"/>
          <w:highlight w:val="yellow"/>
          <w:lang w:eastAsia="ru-RU"/>
        </w:rPr>
      </w:pPr>
    </w:p>
    <w:p w14:paraId="4BB35447" w14:textId="1B00AA6D" w:rsidR="004C1745" w:rsidRPr="00F50851" w:rsidRDefault="004C1745" w:rsidP="004C1745">
      <w:pPr>
        <w:widowControl w:val="0"/>
        <w:suppressAutoHyphens w:val="0"/>
        <w:autoSpaceDE w:val="0"/>
        <w:autoSpaceDN w:val="0"/>
        <w:adjustRightInd w:val="0"/>
        <w:spacing w:line="276" w:lineRule="auto"/>
        <w:rPr>
          <w:rFonts w:eastAsiaTheme="minorEastAsia"/>
          <w:sz w:val="28"/>
          <w:szCs w:val="28"/>
          <w:shd w:val="clear" w:color="auto" w:fill="FFFF00"/>
          <w:lang w:eastAsia="ru-RU"/>
        </w:rPr>
      </w:pPr>
      <w:r w:rsidRPr="00F50851">
        <w:rPr>
          <w:rFonts w:eastAsiaTheme="minorEastAsia"/>
          <w:sz w:val="28"/>
          <w:szCs w:val="28"/>
          <w:lang w:eastAsia="ru-RU"/>
        </w:rPr>
        <w:t xml:space="preserve">С учетом </w:t>
      </w:r>
      <w:r w:rsidR="00F50851" w:rsidRPr="00F50851">
        <w:rPr>
          <w:rFonts w:eastAsiaTheme="minorEastAsia"/>
          <w:sz w:val="28"/>
          <w:szCs w:val="28"/>
          <w:lang w:eastAsia="ru-RU"/>
        </w:rPr>
        <w:t>роста</w:t>
      </w:r>
      <w:r w:rsidRPr="00F50851">
        <w:rPr>
          <w:rFonts w:eastAsiaTheme="minorEastAsia"/>
          <w:sz w:val="28"/>
          <w:szCs w:val="28"/>
          <w:lang w:eastAsia="ru-RU"/>
        </w:rPr>
        <w:t xml:space="preserve"> доходов населения и, как следствие, платежеспособного спроса, оборот розничной торговли в 202</w:t>
      </w:r>
      <w:r w:rsidR="00F50851" w:rsidRPr="00F50851">
        <w:rPr>
          <w:rFonts w:eastAsiaTheme="minorEastAsia"/>
          <w:sz w:val="28"/>
          <w:szCs w:val="28"/>
          <w:lang w:eastAsia="ru-RU"/>
        </w:rPr>
        <w:t>1</w:t>
      </w:r>
      <w:r w:rsidRPr="00F50851">
        <w:rPr>
          <w:rFonts w:eastAsiaTheme="minorEastAsia"/>
          <w:sz w:val="28"/>
          <w:szCs w:val="28"/>
          <w:lang w:eastAsia="ru-RU"/>
        </w:rPr>
        <w:t xml:space="preserve"> году скорректирован в сторону </w:t>
      </w:r>
      <w:r w:rsidR="00F50851" w:rsidRPr="00F50851">
        <w:rPr>
          <w:rFonts w:eastAsiaTheme="minorEastAsia"/>
          <w:sz w:val="28"/>
          <w:szCs w:val="28"/>
          <w:lang w:eastAsia="ru-RU"/>
        </w:rPr>
        <w:t>увеличения</w:t>
      </w:r>
      <w:r w:rsidRPr="00F50851">
        <w:rPr>
          <w:rFonts w:eastAsiaTheme="minorEastAsia"/>
          <w:sz w:val="28"/>
          <w:szCs w:val="28"/>
          <w:lang w:eastAsia="ru-RU"/>
        </w:rPr>
        <w:t xml:space="preserve"> до 1</w:t>
      </w:r>
      <w:r w:rsidR="00F50851" w:rsidRPr="00F50851">
        <w:rPr>
          <w:rFonts w:eastAsiaTheme="minorEastAsia"/>
          <w:sz w:val="28"/>
          <w:szCs w:val="28"/>
          <w:lang w:eastAsia="ru-RU"/>
        </w:rPr>
        <w:t>8</w:t>
      </w:r>
      <w:r w:rsidR="00D812BB">
        <w:rPr>
          <w:rFonts w:eastAsiaTheme="minorEastAsia"/>
          <w:sz w:val="28"/>
          <w:szCs w:val="28"/>
          <w:lang w:eastAsia="ru-RU"/>
        </w:rPr>
        <w:t>9 570,1</w:t>
      </w:r>
      <w:r w:rsidRPr="00F50851">
        <w:rPr>
          <w:rFonts w:eastAsiaTheme="minorEastAsia"/>
          <w:sz w:val="28"/>
          <w:szCs w:val="28"/>
          <w:lang w:eastAsia="ru-RU"/>
        </w:rPr>
        <w:t xml:space="preserve"> мл</w:t>
      </w:r>
      <w:r w:rsidR="00D812BB">
        <w:rPr>
          <w:rFonts w:eastAsiaTheme="minorEastAsia"/>
          <w:sz w:val="28"/>
          <w:szCs w:val="28"/>
          <w:lang w:eastAsia="ru-RU"/>
        </w:rPr>
        <w:t>н</w:t>
      </w:r>
      <w:r w:rsidRPr="00F50851">
        <w:rPr>
          <w:rFonts w:eastAsiaTheme="minorEastAsia"/>
          <w:sz w:val="28"/>
          <w:szCs w:val="28"/>
          <w:lang w:eastAsia="ru-RU"/>
        </w:rPr>
        <w:t xml:space="preserve">. рублей с индексом физического объема к предыдущему году </w:t>
      </w:r>
      <w:r w:rsidR="00F50851" w:rsidRPr="00F50851">
        <w:rPr>
          <w:rFonts w:eastAsiaTheme="minorEastAsia"/>
          <w:sz w:val="28"/>
          <w:szCs w:val="28"/>
          <w:lang w:eastAsia="ru-RU"/>
        </w:rPr>
        <w:t>100,1</w:t>
      </w:r>
      <w:r w:rsidRPr="00F50851">
        <w:rPr>
          <w:rFonts w:eastAsiaTheme="minorEastAsia"/>
          <w:sz w:val="28"/>
          <w:szCs w:val="28"/>
          <w:lang w:eastAsia="ru-RU"/>
        </w:rPr>
        <w:t>%.</w:t>
      </w:r>
    </w:p>
    <w:p w14:paraId="39B512B7" w14:textId="77777777" w:rsidR="004C1745" w:rsidRPr="00803B2A" w:rsidRDefault="004C1745" w:rsidP="004C1745">
      <w:pPr>
        <w:widowControl w:val="0"/>
        <w:suppressAutoHyphens w:val="0"/>
        <w:autoSpaceDE w:val="0"/>
        <w:autoSpaceDN w:val="0"/>
        <w:adjustRightInd w:val="0"/>
        <w:spacing w:line="276" w:lineRule="auto"/>
        <w:rPr>
          <w:rFonts w:eastAsiaTheme="minorEastAsia"/>
          <w:sz w:val="28"/>
          <w:szCs w:val="28"/>
          <w:lang w:eastAsia="ru-RU"/>
        </w:rPr>
      </w:pPr>
      <w:r w:rsidRPr="00803B2A">
        <w:rPr>
          <w:rFonts w:eastAsiaTheme="minorEastAsia"/>
          <w:sz w:val="28"/>
          <w:szCs w:val="28"/>
          <w:lang w:eastAsia="ru-RU"/>
        </w:rPr>
        <w:t>В целях развития потребительского рынка, поддержки местных товаропроизводителей, конкурентной среды, а также для снижения и стабилизации цен на товары и услуги в отчетном периоде реализовывались мероприятия:</w:t>
      </w:r>
    </w:p>
    <w:p w14:paraId="729BD809" w14:textId="77777777" w:rsidR="004C1745" w:rsidRPr="00803B2A" w:rsidRDefault="004C1745" w:rsidP="004C1745">
      <w:pPr>
        <w:widowControl w:val="0"/>
        <w:suppressAutoHyphens w:val="0"/>
        <w:autoSpaceDE w:val="0"/>
        <w:autoSpaceDN w:val="0"/>
        <w:adjustRightInd w:val="0"/>
        <w:spacing w:line="276" w:lineRule="auto"/>
        <w:rPr>
          <w:rFonts w:eastAsiaTheme="minorEastAsia"/>
          <w:sz w:val="28"/>
          <w:szCs w:val="28"/>
          <w:lang w:eastAsia="ru-RU"/>
        </w:rPr>
      </w:pPr>
      <w:r w:rsidRPr="00803B2A">
        <w:rPr>
          <w:rFonts w:eastAsiaTheme="minorEastAsia"/>
          <w:sz w:val="28"/>
          <w:szCs w:val="28"/>
          <w:lang w:eastAsia="ru-RU"/>
        </w:rPr>
        <w:t>- мониторинг розничных цен на социально значимые продовольственные товары на предприятиях розничной торговли;</w:t>
      </w:r>
    </w:p>
    <w:p w14:paraId="5FBBBE24" w14:textId="77777777" w:rsidR="004C1745" w:rsidRPr="00803B2A" w:rsidRDefault="004C1745" w:rsidP="004C1745">
      <w:pPr>
        <w:widowControl w:val="0"/>
        <w:suppressAutoHyphens w:val="0"/>
        <w:autoSpaceDE w:val="0"/>
        <w:autoSpaceDN w:val="0"/>
        <w:adjustRightInd w:val="0"/>
        <w:spacing w:line="276" w:lineRule="auto"/>
        <w:rPr>
          <w:rFonts w:eastAsiaTheme="minorEastAsia"/>
          <w:sz w:val="28"/>
          <w:szCs w:val="28"/>
          <w:lang w:eastAsia="ru-RU"/>
        </w:rPr>
      </w:pPr>
      <w:r w:rsidRPr="00803B2A">
        <w:rPr>
          <w:rFonts w:eastAsiaTheme="minorEastAsia"/>
          <w:sz w:val="28"/>
          <w:szCs w:val="28"/>
          <w:lang w:eastAsia="ru-RU"/>
        </w:rPr>
        <w:t>- мониторинг розничных цен на продовольственные товары и сельскохозяйственную продукцию на рынках и ярмарках.</w:t>
      </w:r>
    </w:p>
    <w:p w14:paraId="407A4212" w14:textId="77777777" w:rsidR="004C1745" w:rsidRPr="00803B2A" w:rsidRDefault="004C1745" w:rsidP="00282B08">
      <w:pPr>
        <w:widowControl w:val="0"/>
        <w:suppressAutoHyphens w:val="0"/>
        <w:autoSpaceDE w:val="0"/>
        <w:autoSpaceDN w:val="0"/>
        <w:adjustRightInd w:val="0"/>
        <w:spacing w:line="276" w:lineRule="auto"/>
        <w:rPr>
          <w:rFonts w:eastAsiaTheme="minorEastAsia"/>
          <w:sz w:val="28"/>
          <w:szCs w:val="28"/>
          <w:lang w:eastAsia="ru-RU"/>
        </w:rPr>
      </w:pPr>
      <w:r w:rsidRPr="00803B2A">
        <w:rPr>
          <w:rFonts w:eastAsiaTheme="minorEastAsia"/>
          <w:sz w:val="28"/>
          <w:szCs w:val="28"/>
          <w:lang w:eastAsia="ru-RU"/>
        </w:rPr>
        <w:t>- мониторинг розничных цен по бензину и дизельному топливу на АЗС городского округа Тольятти.</w:t>
      </w:r>
    </w:p>
    <w:p w14:paraId="2D4581F5" w14:textId="2A931F2A" w:rsidR="004C1745" w:rsidRDefault="004C1745" w:rsidP="00282B08">
      <w:pPr>
        <w:widowControl w:val="0"/>
        <w:suppressAutoHyphens w:val="0"/>
        <w:autoSpaceDE w:val="0"/>
        <w:autoSpaceDN w:val="0"/>
        <w:adjustRightInd w:val="0"/>
        <w:spacing w:line="276" w:lineRule="auto"/>
        <w:rPr>
          <w:rFonts w:eastAsiaTheme="minorEastAsia"/>
          <w:sz w:val="28"/>
          <w:szCs w:val="28"/>
          <w:lang w:eastAsia="ru-RU"/>
        </w:rPr>
      </w:pPr>
      <w:r w:rsidRPr="00D111EC">
        <w:rPr>
          <w:rFonts w:eastAsiaTheme="minorEastAsia"/>
          <w:sz w:val="28"/>
          <w:szCs w:val="28"/>
          <w:lang w:eastAsia="ru-RU"/>
        </w:rPr>
        <w:t xml:space="preserve">Данные мониторингов </w:t>
      </w:r>
      <w:r w:rsidR="00D111EC">
        <w:rPr>
          <w:sz w:val="28"/>
          <w:szCs w:val="28"/>
        </w:rPr>
        <w:t xml:space="preserve">ежедневно передаются в </w:t>
      </w:r>
      <w:r w:rsidR="00806DED">
        <w:rPr>
          <w:sz w:val="28"/>
          <w:szCs w:val="28"/>
        </w:rPr>
        <w:t>м</w:t>
      </w:r>
      <w:r w:rsidR="00D111EC">
        <w:rPr>
          <w:sz w:val="28"/>
          <w:szCs w:val="28"/>
        </w:rPr>
        <w:t>инистерство промышленности и торговли Самарской области через АРМ «Мониторинг».</w:t>
      </w:r>
    </w:p>
    <w:p w14:paraId="6090322A" w14:textId="77777777" w:rsidR="004D3812" w:rsidRPr="006A1245" w:rsidRDefault="004D3812" w:rsidP="00282B08">
      <w:pPr>
        <w:pStyle w:val="3"/>
        <w:spacing w:before="120"/>
        <w:rPr>
          <w:sz w:val="28"/>
          <w:szCs w:val="28"/>
          <w:shd w:val="clear" w:color="auto" w:fill="FFFFFF"/>
        </w:rPr>
      </w:pPr>
      <w:r w:rsidRPr="006A1245">
        <w:rPr>
          <w:sz w:val="28"/>
          <w:szCs w:val="28"/>
          <w:shd w:val="clear" w:color="auto" w:fill="FFFFFF"/>
        </w:rPr>
        <w:t>Охрана окружающей среды</w:t>
      </w:r>
      <w:bookmarkStart w:id="14" w:name="экология"/>
      <w:bookmarkEnd w:id="14"/>
    </w:p>
    <w:p w14:paraId="6F1F80C9" w14:textId="77777777" w:rsidR="006A1245" w:rsidRPr="006A1245" w:rsidRDefault="006A1245" w:rsidP="00282B08">
      <w:pPr>
        <w:suppressAutoHyphens w:val="0"/>
        <w:spacing w:before="120" w:line="276" w:lineRule="auto"/>
        <w:rPr>
          <w:color w:val="000000"/>
          <w:sz w:val="28"/>
          <w:szCs w:val="28"/>
          <w:lang w:eastAsia="ru-RU"/>
        </w:rPr>
      </w:pPr>
      <w:r w:rsidRPr="006A1245">
        <w:rPr>
          <w:color w:val="000000"/>
          <w:sz w:val="28"/>
          <w:szCs w:val="28"/>
          <w:lang w:eastAsia="ru-RU"/>
        </w:rPr>
        <w:t>Состояние окружающей среды городского округа Тольятти, обусловленное наличием на его территории крупных промышленных и автотранспортных предприятий, создает необходимость проводить целенаправленную экологическую политику.</w:t>
      </w:r>
    </w:p>
    <w:p w14:paraId="269C8646" w14:textId="774C7311" w:rsidR="006A1245" w:rsidRPr="006A1245" w:rsidRDefault="006A1245" w:rsidP="006A1245">
      <w:pPr>
        <w:suppressAutoHyphens w:val="0"/>
        <w:spacing w:line="276" w:lineRule="auto"/>
        <w:ind w:firstLine="708"/>
        <w:rPr>
          <w:sz w:val="28"/>
          <w:szCs w:val="28"/>
          <w:lang w:eastAsia="ru-RU"/>
        </w:rPr>
      </w:pPr>
      <w:r w:rsidRPr="006A1245">
        <w:rPr>
          <w:color w:val="000000"/>
          <w:sz w:val="28"/>
          <w:szCs w:val="28"/>
          <w:lang w:eastAsia="ru-RU"/>
        </w:rPr>
        <w:lastRenderedPageBreak/>
        <w:t xml:space="preserve">Систематическое наблюдение за содержанием в атмосферном воздухе вредных веществ на территории городского округа Тольятти осуществляется Тольяттинской специализированной гидрометеорологической обсерваторией. Наблюдения за качеством атмосферного воздуха проводятся на 8 стационарных постах наблюдения (ПНЗ). На ПНЗ осуществляются наблюдения за содержанием в воздухе основных (пыль, диоксид азота, оксид азота, оксид углерода, диоксид серы) примесей и специфических (аммиак, формальдегид, фтористый водород, суммарные углеводороды, бензол, толуол, этилбензол и ксилол). </w:t>
      </w:r>
      <w:r w:rsidRPr="006A1245">
        <w:rPr>
          <w:sz w:val="28"/>
          <w:szCs w:val="28"/>
          <w:lang w:eastAsia="ru-RU"/>
        </w:rPr>
        <w:t>Основными загрязняющими веществами воздушного бассейна города за период 2020 года являлись диоксид азота, аммиак, формальдегид, фтористый водород. Содержание остальных примесей находилось в пределах нормы.</w:t>
      </w:r>
    </w:p>
    <w:p w14:paraId="5DD7EA98" w14:textId="47270BC3" w:rsidR="006A1245" w:rsidRPr="006A1245" w:rsidRDefault="006A1245" w:rsidP="006A1245">
      <w:pPr>
        <w:suppressAutoHyphens w:val="0"/>
        <w:spacing w:line="276" w:lineRule="auto"/>
        <w:ind w:firstLine="708"/>
        <w:rPr>
          <w:sz w:val="28"/>
          <w:szCs w:val="28"/>
          <w:lang w:eastAsia="ru-RU"/>
        </w:rPr>
      </w:pPr>
      <w:r w:rsidRPr="006A1245">
        <w:rPr>
          <w:sz w:val="28"/>
          <w:szCs w:val="28"/>
          <w:lang w:eastAsia="ru-RU"/>
        </w:rPr>
        <w:t>Уровень загрязнения атмосферного воздуха городского округа Тольятти в соответствии с 4-мя принятыми градациями (низкий, повышенный, высокий, очень высокий) за 2020 год оценива</w:t>
      </w:r>
      <w:r w:rsidR="00E90D50">
        <w:rPr>
          <w:sz w:val="28"/>
          <w:szCs w:val="28"/>
          <w:lang w:eastAsia="ru-RU"/>
        </w:rPr>
        <w:t>лся</w:t>
      </w:r>
      <w:r w:rsidRPr="006A1245">
        <w:rPr>
          <w:sz w:val="28"/>
          <w:szCs w:val="28"/>
          <w:lang w:eastAsia="ru-RU"/>
        </w:rPr>
        <w:t xml:space="preserve"> как «низкий» (на уровне прошлого года).   </w:t>
      </w:r>
    </w:p>
    <w:p w14:paraId="3F4FA7C7" w14:textId="77777777" w:rsidR="006A1245" w:rsidRPr="006A1245" w:rsidRDefault="006A1245" w:rsidP="006A1245">
      <w:pPr>
        <w:suppressAutoHyphens w:val="0"/>
        <w:spacing w:line="276" w:lineRule="auto"/>
        <w:rPr>
          <w:sz w:val="28"/>
          <w:szCs w:val="28"/>
          <w:lang w:eastAsia="ru-RU"/>
        </w:rPr>
      </w:pPr>
      <w:r w:rsidRPr="006A1245">
        <w:rPr>
          <w:sz w:val="28"/>
          <w:szCs w:val="28"/>
          <w:lang w:eastAsia="ru-RU"/>
        </w:rPr>
        <w:t xml:space="preserve">Случаев высокого и экстремально высокого загрязнения атмосферы в  городском округе Тольятти  не зафиксировано. </w:t>
      </w:r>
    </w:p>
    <w:p w14:paraId="6DE45FF9" w14:textId="77777777" w:rsidR="006A1245" w:rsidRPr="006A1245" w:rsidRDefault="006A1245" w:rsidP="006A1245">
      <w:pPr>
        <w:suppressAutoHyphens w:val="0"/>
        <w:spacing w:line="276" w:lineRule="auto"/>
        <w:rPr>
          <w:sz w:val="28"/>
          <w:szCs w:val="28"/>
          <w:lang w:eastAsia="ru-RU"/>
        </w:rPr>
      </w:pPr>
      <w:r w:rsidRPr="006A1245">
        <w:rPr>
          <w:sz w:val="28"/>
          <w:szCs w:val="28"/>
          <w:lang w:eastAsia="ru-RU"/>
        </w:rPr>
        <w:t>Уровень загрязнения воздушного бассейна также зависит от погодных условий. Всего за 2020 год количество дней с НМУ составило 199 (из них: 183 дня с предупреждением 1 степени опасности и 16 с предупреждением 2 степени опасности). Предприятиям рекомендованы соответствующие режимы регулирования выбросов.</w:t>
      </w:r>
    </w:p>
    <w:p w14:paraId="6D42B5C3" w14:textId="1EFBC448" w:rsidR="006A1245" w:rsidRPr="006A1245" w:rsidRDefault="006A1245" w:rsidP="006A1245">
      <w:pPr>
        <w:suppressAutoHyphens w:val="0"/>
        <w:autoSpaceDE w:val="0"/>
        <w:autoSpaceDN w:val="0"/>
        <w:adjustRightInd w:val="0"/>
        <w:spacing w:line="276" w:lineRule="auto"/>
        <w:ind w:firstLine="720"/>
        <w:rPr>
          <w:color w:val="000000"/>
          <w:sz w:val="28"/>
          <w:szCs w:val="28"/>
          <w:lang w:eastAsia="ru-RU"/>
        </w:rPr>
      </w:pPr>
      <w:r w:rsidRPr="006A1245">
        <w:rPr>
          <w:color w:val="000000"/>
          <w:sz w:val="28"/>
          <w:szCs w:val="28"/>
          <w:lang w:eastAsia="ru-RU"/>
        </w:rPr>
        <w:t xml:space="preserve">Во исполнение постановления Правительства Самарской области от 24.11.2010 № 596 «Об организации работ по регулированию выбросов вредных (загрязняющих) веществ в атмосферный воздух в периоды неблагоприятных метеорологических условий на территории Самарской области» на официальном портале администрации </w:t>
      </w:r>
      <w:r w:rsidR="00B23793">
        <w:rPr>
          <w:sz w:val="28"/>
          <w:szCs w:val="28"/>
          <w:lang w:eastAsia="ar-SA"/>
        </w:rPr>
        <w:t>городского округа Тольятти</w:t>
      </w:r>
      <w:r w:rsidR="00B23793" w:rsidRPr="006A1245">
        <w:rPr>
          <w:color w:val="000000"/>
          <w:sz w:val="28"/>
          <w:szCs w:val="28"/>
          <w:lang w:eastAsia="ru-RU"/>
        </w:rPr>
        <w:t xml:space="preserve"> </w:t>
      </w:r>
      <w:r w:rsidRPr="006A1245">
        <w:rPr>
          <w:color w:val="000000"/>
          <w:sz w:val="28"/>
          <w:szCs w:val="28"/>
          <w:lang w:eastAsia="ru-RU"/>
        </w:rPr>
        <w:t>в разделе городского хозяйства осуществляется информирование населения о наступлении НМУ по данным Тольяттинской СГМО ФГБУ «Приволжское УГМС».</w:t>
      </w:r>
    </w:p>
    <w:p w14:paraId="3343DFAB" w14:textId="77310296" w:rsidR="006A1245" w:rsidRPr="006A1245" w:rsidRDefault="006A1245" w:rsidP="006A1245">
      <w:pPr>
        <w:suppressAutoHyphens w:val="0"/>
        <w:spacing w:line="276" w:lineRule="auto"/>
        <w:ind w:firstLine="720"/>
        <w:rPr>
          <w:color w:val="000000"/>
          <w:sz w:val="28"/>
          <w:szCs w:val="28"/>
          <w:lang w:eastAsia="ru-RU"/>
        </w:rPr>
      </w:pPr>
      <w:r w:rsidRPr="006A1245">
        <w:rPr>
          <w:sz w:val="28"/>
          <w:szCs w:val="28"/>
          <w:lang w:eastAsia="ru-RU"/>
        </w:rPr>
        <w:t xml:space="preserve">Для оперативного реагирования в случае усиления специфических химических запахов в атмосферном воздухе на территории городского округа Тольятти с марта 2020 года работает передвижная экологическая лаборатория (ПЭЛ), </w:t>
      </w:r>
      <w:proofErr w:type="gramStart"/>
      <w:r w:rsidRPr="006A1245">
        <w:rPr>
          <w:sz w:val="28"/>
          <w:szCs w:val="28"/>
          <w:lang w:eastAsia="ru-RU"/>
        </w:rPr>
        <w:t>находящаяся  в</w:t>
      </w:r>
      <w:proofErr w:type="gramEnd"/>
      <w:r w:rsidRPr="006A1245">
        <w:rPr>
          <w:sz w:val="28"/>
          <w:szCs w:val="28"/>
          <w:lang w:eastAsia="ru-RU"/>
        </w:rPr>
        <w:t xml:space="preserve"> оперативном управлении в Тольяттинском государственном университете (ТГУ). В январе – феврале 2021 г</w:t>
      </w:r>
      <w:r w:rsidR="000E0026">
        <w:rPr>
          <w:sz w:val="28"/>
          <w:szCs w:val="28"/>
          <w:lang w:eastAsia="ru-RU"/>
        </w:rPr>
        <w:t>ода</w:t>
      </w:r>
      <w:r w:rsidRPr="006A1245">
        <w:rPr>
          <w:sz w:val="28"/>
          <w:szCs w:val="28"/>
          <w:lang w:eastAsia="ru-RU"/>
        </w:rPr>
        <w:t xml:space="preserve"> ПЭЛ находилась на ежегодной поверке на заводе-изготовителе ОАО «Лига» (г. Саратов). В марте - июне 2021 </w:t>
      </w:r>
      <w:r w:rsidR="00E90D50">
        <w:rPr>
          <w:sz w:val="28"/>
          <w:szCs w:val="28"/>
          <w:lang w:eastAsia="ru-RU"/>
        </w:rPr>
        <w:t xml:space="preserve">года </w:t>
      </w:r>
      <w:r w:rsidRPr="006A1245">
        <w:rPr>
          <w:sz w:val="28"/>
          <w:szCs w:val="28"/>
          <w:lang w:eastAsia="ru-RU"/>
        </w:rPr>
        <w:t xml:space="preserve">ПЭЛ фиксировались (преимущественно в Центральном районе) незначительные превышения ПДК </w:t>
      </w:r>
      <w:r w:rsidRPr="006A1245">
        <w:rPr>
          <w:sz w:val="28"/>
          <w:szCs w:val="28"/>
          <w:lang w:eastAsia="ru-RU"/>
        </w:rPr>
        <w:lastRenderedPageBreak/>
        <w:t>по фенолу, формальдегиду, этилбензолу (0,3% от общего количества отобранных проб). Случаев высокого и экстремально высокого загрязнения атмосферы не зафиксировано.</w:t>
      </w:r>
    </w:p>
    <w:p w14:paraId="4DE87744" w14:textId="77777777" w:rsidR="006A1245" w:rsidRPr="006A1245" w:rsidRDefault="006A1245" w:rsidP="003E3A0D">
      <w:pPr>
        <w:suppressAutoHyphens w:val="0"/>
        <w:spacing w:line="276" w:lineRule="auto"/>
        <w:ind w:firstLine="720"/>
        <w:rPr>
          <w:color w:val="000000"/>
          <w:sz w:val="28"/>
          <w:szCs w:val="28"/>
          <w:lang w:eastAsia="ru-RU"/>
        </w:rPr>
      </w:pPr>
      <w:r w:rsidRPr="006A1245">
        <w:rPr>
          <w:color w:val="000000"/>
          <w:sz w:val="28"/>
          <w:szCs w:val="28"/>
          <w:lang w:eastAsia="ru-RU"/>
        </w:rPr>
        <w:t>В целях информирования населения о состоянии экологии в городе на официальном портале администрации городского округа Тольятти (eco.tgl.ru) размещен электронный «Экологический атлас городского округа Тольятти», один из слоев которого отражает (в цветовом и количественном выражении) уровень загрязнения атмосферного воздуха по 8-ми стационарным постам наблюдения. Данные по загрязнению воздуха размещаются в Экологическом атласе по мере поступления данных Тольяттинской СГМО и доступны для всех жителей города.</w:t>
      </w:r>
    </w:p>
    <w:p w14:paraId="5E3CC425" w14:textId="77777777" w:rsidR="00565733" w:rsidRPr="00565733" w:rsidRDefault="00565733" w:rsidP="003E3A0D">
      <w:pPr>
        <w:suppressAutoHyphens w:val="0"/>
        <w:spacing w:line="276" w:lineRule="auto"/>
        <w:ind w:firstLine="720"/>
        <w:rPr>
          <w:color w:val="000000"/>
          <w:sz w:val="28"/>
          <w:szCs w:val="28"/>
          <w:lang w:eastAsia="ru-RU"/>
        </w:rPr>
      </w:pPr>
      <w:r w:rsidRPr="00565733">
        <w:rPr>
          <w:color w:val="000000"/>
          <w:sz w:val="28"/>
          <w:szCs w:val="28"/>
          <w:lang w:eastAsia="ru-RU"/>
        </w:rPr>
        <w:t xml:space="preserve">К основным экологическим проблемам городского округа Тольятти относятся: </w:t>
      </w:r>
    </w:p>
    <w:p w14:paraId="5C3DB6E0" w14:textId="77777777" w:rsidR="00565733" w:rsidRPr="00565733" w:rsidRDefault="00565733" w:rsidP="003E3A0D">
      <w:pPr>
        <w:widowControl w:val="0"/>
        <w:spacing w:line="276" w:lineRule="auto"/>
        <w:ind w:firstLine="720"/>
        <w:rPr>
          <w:sz w:val="28"/>
          <w:szCs w:val="28"/>
          <w:lang w:eastAsia="ru-RU"/>
        </w:rPr>
      </w:pPr>
      <w:r w:rsidRPr="00565733">
        <w:rPr>
          <w:sz w:val="28"/>
          <w:szCs w:val="28"/>
          <w:lang w:eastAsia="ru-RU"/>
        </w:rPr>
        <w:t xml:space="preserve">Наличие отходов 1-4 классов опасности на территории промплощадки бывшего ОАО «Фосфор». </w:t>
      </w:r>
    </w:p>
    <w:p w14:paraId="469D9DBF" w14:textId="77777777" w:rsidR="00565733" w:rsidRPr="00565733" w:rsidRDefault="00565733" w:rsidP="003E3A0D">
      <w:pPr>
        <w:suppressAutoHyphens w:val="0"/>
        <w:spacing w:line="276" w:lineRule="auto"/>
        <w:ind w:firstLine="720"/>
        <w:rPr>
          <w:sz w:val="28"/>
          <w:szCs w:val="28"/>
          <w:lang w:eastAsia="ru-RU"/>
        </w:rPr>
      </w:pPr>
      <w:r w:rsidRPr="00565733">
        <w:rPr>
          <w:sz w:val="28"/>
          <w:szCs w:val="28"/>
          <w:lang w:eastAsia="ru-RU"/>
        </w:rPr>
        <w:t xml:space="preserve">У органов местного самоуправления отсутствуют полномочия в отношении отходов/веществ, расположенных на территории бывшего ОАО «Фосфор», собственник которых не установлен. Ведется работа по передаче участков в собственность Российской Федерации, после чего объект будет включен в государственный список объектов накопленного вреда окружающей среде, что позволит утилизировать отходы за счет средств федерального бюджета. </w:t>
      </w:r>
      <w:r w:rsidRPr="00565733">
        <w:rPr>
          <w:sz w:val="28"/>
          <w:szCs w:val="28"/>
          <w:lang w:eastAsia="ru-RU"/>
        </w:rPr>
        <w:tab/>
      </w:r>
    </w:p>
    <w:p w14:paraId="27B97138" w14:textId="77777777" w:rsidR="00565733" w:rsidRPr="00565733" w:rsidRDefault="00565733" w:rsidP="003E3A0D">
      <w:pPr>
        <w:suppressAutoHyphens w:val="0"/>
        <w:spacing w:line="276" w:lineRule="auto"/>
        <w:ind w:firstLine="720"/>
        <w:rPr>
          <w:color w:val="000000"/>
          <w:sz w:val="28"/>
          <w:szCs w:val="28"/>
          <w:lang w:eastAsia="ru-RU"/>
        </w:rPr>
      </w:pPr>
      <w:r w:rsidRPr="00565733">
        <w:rPr>
          <w:color w:val="000000"/>
          <w:sz w:val="28"/>
          <w:szCs w:val="28"/>
          <w:lang w:eastAsia="ru-RU"/>
        </w:rPr>
        <w:t>Другая важная проблема - влияние на окружающую среду несанкционированных свалок отходов производства и потребления.</w:t>
      </w:r>
    </w:p>
    <w:p w14:paraId="10393A1A" w14:textId="159EC7D4" w:rsidR="00565733" w:rsidRPr="00565733" w:rsidRDefault="00565733" w:rsidP="003E3A0D">
      <w:pPr>
        <w:suppressAutoHyphens w:val="0"/>
        <w:spacing w:line="276" w:lineRule="auto"/>
        <w:ind w:firstLine="720"/>
        <w:rPr>
          <w:sz w:val="28"/>
          <w:szCs w:val="28"/>
          <w:lang w:eastAsia="ru-RU"/>
        </w:rPr>
      </w:pPr>
      <w:r w:rsidRPr="00565733">
        <w:rPr>
          <w:sz w:val="28"/>
          <w:szCs w:val="28"/>
          <w:lang w:eastAsia="ru-RU"/>
        </w:rPr>
        <w:t>В настоящее время на территории городского округа Тольятти расположены 24 несанкционированные свалки. Общая площадь, занятая отходами составляет – 24,4 Га. На реализацию мероприятия по ликвидации 24 несанкционированных свалок  общим объемом 44 450 м3 необходимо более 60 000,0 тыс. руб</w:t>
      </w:r>
      <w:r w:rsidR="00CF5942">
        <w:rPr>
          <w:sz w:val="28"/>
          <w:szCs w:val="28"/>
          <w:lang w:eastAsia="ru-RU"/>
        </w:rPr>
        <w:t>лей</w:t>
      </w:r>
      <w:r w:rsidRPr="00565733">
        <w:rPr>
          <w:sz w:val="28"/>
          <w:szCs w:val="28"/>
          <w:lang w:eastAsia="ru-RU"/>
        </w:rPr>
        <w:t>.</w:t>
      </w:r>
    </w:p>
    <w:p w14:paraId="7E76B93B" w14:textId="75E4A4CD" w:rsidR="00565733" w:rsidRPr="00565733" w:rsidRDefault="00565733" w:rsidP="003E3A0D">
      <w:pPr>
        <w:suppressAutoHyphens w:val="0"/>
        <w:spacing w:line="276" w:lineRule="auto"/>
        <w:ind w:firstLine="720"/>
        <w:rPr>
          <w:color w:val="000000"/>
          <w:sz w:val="28"/>
          <w:szCs w:val="28"/>
          <w:lang w:eastAsia="ru-RU"/>
        </w:rPr>
      </w:pPr>
      <w:r w:rsidRPr="00565733">
        <w:rPr>
          <w:sz w:val="28"/>
          <w:szCs w:val="28"/>
          <w:lang w:eastAsia="ru-RU"/>
        </w:rPr>
        <w:t>В рамках реализации муниципальной программы «Охрана окружающей среды на территории городского округа Тольятти на 2017-2021 годы»</w:t>
      </w:r>
      <w:r w:rsidR="003E3A0D">
        <w:rPr>
          <w:sz w:val="28"/>
          <w:szCs w:val="28"/>
          <w:lang w:eastAsia="ru-RU"/>
        </w:rPr>
        <w:t xml:space="preserve">, </w:t>
      </w:r>
      <w:r w:rsidR="003E3A0D" w:rsidRPr="00806DED">
        <w:rPr>
          <w:sz w:val="28"/>
          <w:szCs w:val="28"/>
          <w:lang w:eastAsia="ru-RU"/>
        </w:rPr>
        <w:t>утвержденной</w:t>
      </w:r>
      <w:r w:rsidR="003E3A0D">
        <w:rPr>
          <w:sz w:val="28"/>
          <w:szCs w:val="28"/>
          <w:lang w:eastAsia="ru-RU"/>
        </w:rPr>
        <w:t xml:space="preserve"> </w:t>
      </w:r>
      <w:r w:rsidR="00806DED" w:rsidRPr="00806DED">
        <w:rPr>
          <w:sz w:val="28"/>
          <w:szCs w:val="28"/>
          <w:lang w:eastAsia="ru-RU"/>
        </w:rPr>
        <w:t xml:space="preserve">постановлением мэрии городского округа Тольятти 2612-п/1 </w:t>
      </w:r>
      <w:r w:rsidR="00806DED">
        <w:rPr>
          <w:sz w:val="28"/>
          <w:szCs w:val="28"/>
          <w:lang w:eastAsia="ru-RU"/>
        </w:rPr>
        <w:t xml:space="preserve">от </w:t>
      </w:r>
      <w:r w:rsidR="00806DED" w:rsidRPr="00806DED">
        <w:rPr>
          <w:sz w:val="28"/>
          <w:szCs w:val="28"/>
          <w:lang w:eastAsia="ru-RU"/>
        </w:rPr>
        <w:t>17.08.2016</w:t>
      </w:r>
      <w:r w:rsidR="00806DED">
        <w:rPr>
          <w:sz w:val="28"/>
          <w:szCs w:val="28"/>
          <w:lang w:eastAsia="ru-RU"/>
        </w:rPr>
        <w:t>,</w:t>
      </w:r>
      <w:r w:rsidR="00806DED">
        <w:rPr>
          <w:color w:val="333333"/>
          <w:sz w:val="21"/>
          <w:szCs w:val="21"/>
          <w:shd w:val="clear" w:color="auto" w:fill="F5F5F5"/>
        </w:rPr>
        <w:t xml:space="preserve"> </w:t>
      </w:r>
      <w:r w:rsidRPr="00565733">
        <w:rPr>
          <w:sz w:val="28"/>
          <w:szCs w:val="28"/>
          <w:lang w:eastAsia="ru-RU"/>
        </w:rPr>
        <w:t xml:space="preserve">в 2021 году предусмотрены мероприятия по ликвидации несанкционированных свалок на территории городского округа </w:t>
      </w:r>
      <w:r w:rsidR="003E3A0D">
        <w:rPr>
          <w:sz w:val="28"/>
          <w:szCs w:val="28"/>
          <w:lang w:eastAsia="ru-RU"/>
        </w:rPr>
        <w:t xml:space="preserve">Тольятти </w:t>
      </w:r>
      <w:r w:rsidRPr="00565733">
        <w:rPr>
          <w:sz w:val="28"/>
          <w:szCs w:val="28"/>
          <w:lang w:eastAsia="ru-RU"/>
        </w:rPr>
        <w:t>с объемом финансирования 2 900,00 тыс. руб</w:t>
      </w:r>
      <w:r w:rsidR="00B23793">
        <w:rPr>
          <w:sz w:val="28"/>
          <w:szCs w:val="28"/>
          <w:lang w:eastAsia="ru-RU"/>
        </w:rPr>
        <w:t>лей</w:t>
      </w:r>
      <w:r w:rsidRPr="00565733">
        <w:rPr>
          <w:sz w:val="28"/>
          <w:szCs w:val="28"/>
          <w:lang w:eastAsia="ru-RU"/>
        </w:rPr>
        <w:t xml:space="preserve"> из местного бюджета. </w:t>
      </w:r>
    </w:p>
    <w:p w14:paraId="2BACF8B5" w14:textId="42391C19" w:rsidR="00565733" w:rsidRPr="00565733" w:rsidRDefault="00565733" w:rsidP="00565733">
      <w:pPr>
        <w:widowControl w:val="0"/>
        <w:spacing w:line="276" w:lineRule="auto"/>
        <w:rPr>
          <w:sz w:val="28"/>
          <w:szCs w:val="28"/>
          <w:lang w:eastAsia="ar-SA"/>
        </w:rPr>
      </w:pPr>
      <w:r w:rsidRPr="00565733">
        <w:rPr>
          <w:color w:val="000000"/>
          <w:sz w:val="28"/>
          <w:szCs w:val="28"/>
          <w:lang w:eastAsia="ru-RU"/>
        </w:rPr>
        <w:t xml:space="preserve">Всего в 2021 году запланировано проведение мероприятий муниципальной программы на сумму </w:t>
      </w:r>
      <w:r w:rsidR="00BD7240">
        <w:rPr>
          <w:color w:val="000000"/>
          <w:sz w:val="28"/>
          <w:szCs w:val="28"/>
          <w:lang w:eastAsia="ru-RU"/>
        </w:rPr>
        <w:t>41557</w:t>
      </w:r>
      <w:r w:rsidRPr="00565733">
        <w:rPr>
          <w:color w:val="000000"/>
          <w:sz w:val="28"/>
          <w:szCs w:val="28"/>
          <w:lang w:eastAsia="ru-RU"/>
        </w:rPr>
        <w:t xml:space="preserve"> тыс. руб</w:t>
      </w:r>
      <w:r w:rsidR="00CF5942">
        <w:rPr>
          <w:color w:val="000000"/>
          <w:sz w:val="28"/>
          <w:szCs w:val="28"/>
          <w:lang w:eastAsia="ru-RU"/>
        </w:rPr>
        <w:t>лей</w:t>
      </w:r>
      <w:r w:rsidRPr="00565733">
        <w:rPr>
          <w:color w:val="000000"/>
          <w:sz w:val="28"/>
          <w:szCs w:val="28"/>
          <w:lang w:eastAsia="ru-RU"/>
        </w:rPr>
        <w:t xml:space="preserve"> из местного и областного бюджетов, в том числе на мероприятия по</w:t>
      </w:r>
      <w:r w:rsidRPr="00565733">
        <w:rPr>
          <w:sz w:val="28"/>
          <w:szCs w:val="28"/>
          <w:lang w:eastAsia="ar-SA"/>
        </w:rPr>
        <w:t xml:space="preserve"> выполнению проектно-</w:t>
      </w:r>
      <w:r w:rsidRPr="00565733">
        <w:rPr>
          <w:sz w:val="28"/>
          <w:szCs w:val="28"/>
          <w:lang w:eastAsia="ar-SA"/>
        </w:rPr>
        <w:lastRenderedPageBreak/>
        <w:t>изыскательских работ по объекту «Строительство очистных сооружений дождевых сточных вод с селитебной территории Автозаводского района г. Тольятти с подводящими трубопроводами и инженерно-техническим обеспечением</w:t>
      </w:r>
      <w:r w:rsidR="003E3A0D">
        <w:rPr>
          <w:sz w:val="28"/>
          <w:szCs w:val="28"/>
          <w:lang w:eastAsia="ar-SA"/>
        </w:rPr>
        <w:t>»</w:t>
      </w:r>
      <w:r w:rsidRPr="00565733">
        <w:rPr>
          <w:sz w:val="28"/>
          <w:szCs w:val="28"/>
          <w:lang w:eastAsia="ar-SA"/>
        </w:rPr>
        <w:t xml:space="preserve">. </w:t>
      </w:r>
    </w:p>
    <w:p w14:paraId="320449E2" w14:textId="23F7CF90" w:rsidR="00565733" w:rsidRDefault="00565733" w:rsidP="00565733">
      <w:pPr>
        <w:widowControl w:val="0"/>
        <w:spacing w:line="276" w:lineRule="auto"/>
        <w:rPr>
          <w:color w:val="000000"/>
          <w:sz w:val="28"/>
          <w:szCs w:val="28"/>
          <w:lang w:eastAsia="ru-RU"/>
        </w:rPr>
      </w:pPr>
      <w:r w:rsidRPr="00565733">
        <w:rPr>
          <w:color w:val="000000"/>
          <w:sz w:val="28"/>
          <w:szCs w:val="28"/>
          <w:lang w:eastAsia="ru-RU"/>
        </w:rPr>
        <w:t>Наиболее крупные экологические мероприятия реализовываются промышленными предприятиями за счёт собственных средств. За 2020 год предприятия освоили 3 281,9 млн. руб</w:t>
      </w:r>
      <w:r w:rsidR="00B23793">
        <w:rPr>
          <w:color w:val="000000"/>
          <w:sz w:val="28"/>
          <w:szCs w:val="28"/>
          <w:lang w:eastAsia="ru-RU"/>
        </w:rPr>
        <w:t>лей</w:t>
      </w:r>
      <w:r w:rsidRPr="00565733">
        <w:rPr>
          <w:color w:val="000000"/>
          <w:sz w:val="28"/>
          <w:szCs w:val="28"/>
          <w:lang w:eastAsia="ru-RU"/>
        </w:rPr>
        <w:t xml:space="preserve"> на мероприятия, направленные на охрану атмосферного воздуха, водоёмов и почвы, соблюдение природоохранного законодательства </w:t>
      </w:r>
      <w:r w:rsidR="00CF5942">
        <w:rPr>
          <w:color w:val="000000"/>
          <w:sz w:val="28"/>
          <w:szCs w:val="28"/>
          <w:lang w:eastAsia="ru-RU"/>
        </w:rPr>
        <w:t>(</w:t>
      </w:r>
      <w:r w:rsidRPr="00565733">
        <w:rPr>
          <w:color w:val="000000"/>
          <w:sz w:val="28"/>
          <w:szCs w:val="28"/>
          <w:lang w:eastAsia="ru-RU"/>
        </w:rPr>
        <w:t>ООО «</w:t>
      </w:r>
      <w:proofErr w:type="spellStart"/>
      <w:r w:rsidRPr="00565733">
        <w:rPr>
          <w:color w:val="000000"/>
          <w:sz w:val="28"/>
          <w:szCs w:val="28"/>
          <w:lang w:eastAsia="ru-RU"/>
        </w:rPr>
        <w:t>Тольяттикаучук</w:t>
      </w:r>
      <w:proofErr w:type="spellEnd"/>
      <w:r w:rsidRPr="00565733">
        <w:rPr>
          <w:color w:val="000000"/>
          <w:sz w:val="28"/>
          <w:szCs w:val="28"/>
          <w:lang w:eastAsia="ru-RU"/>
        </w:rPr>
        <w:t>»</w:t>
      </w:r>
      <w:r w:rsidR="00CF5942">
        <w:rPr>
          <w:color w:val="000000"/>
          <w:sz w:val="28"/>
          <w:szCs w:val="28"/>
          <w:lang w:eastAsia="ru-RU"/>
        </w:rPr>
        <w:t xml:space="preserve">, </w:t>
      </w:r>
      <w:r w:rsidRPr="00565733">
        <w:rPr>
          <w:color w:val="000000"/>
          <w:sz w:val="28"/>
          <w:szCs w:val="28"/>
          <w:lang w:eastAsia="ru-RU"/>
        </w:rPr>
        <w:t>ПАО «Тольяттиазот»</w:t>
      </w:r>
      <w:r w:rsidR="00CF5942">
        <w:rPr>
          <w:color w:val="000000"/>
          <w:sz w:val="28"/>
          <w:szCs w:val="28"/>
          <w:lang w:eastAsia="ru-RU"/>
        </w:rPr>
        <w:t>,</w:t>
      </w:r>
      <w:r w:rsidRPr="00565733">
        <w:rPr>
          <w:color w:val="000000"/>
          <w:sz w:val="28"/>
          <w:szCs w:val="28"/>
          <w:lang w:eastAsia="ru-RU"/>
        </w:rPr>
        <w:t xml:space="preserve"> АО «АВТОВАЗ»</w:t>
      </w:r>
      <w:r w:rsidR="00CF5942">
        <w:rPr>
          <w:color w:val="000000"/>
          <w:sz w:val="28"/>
          <w:szCs w:val="28"/>
          <w:lang w:eastAsia="ru-RU"/>
        </w:rPr>
        <w:t>,</w:t>
      </w:r>
      <w:r w:rsidR="00B23793">
        <w:rPr>
          <w:color w:val="000000"/>
          <w:sz w:val="28"/>
          <w:szCs w:val="28"/>
          <w:lang w:eastAsia="ru-RU"/>
        </w:rPr>
        <w:t xml:space="preserve"> </w:t>
      </w:r>
      <w:r w:rsidRPr="00565733">
        <w:rPr>
          <w:color w:val="000000"/>
          <w:sz w:val="28"/>
          <w:szCs w:val="28"/>
          <w:lang w:eastAsia="ru-RU"/>
        </w:rPr>
        <w:t>ООО «АВТОГРАД-ВОДОКАНАЛ»</w:t>
      </w:r>
      <w:r w:rsidR="00CF5942">
        <w:rPr>
          <w:color w:val="000000"/>
          <w:sz w:val="28"/>
          <w:szCs w:val="28"/>
          <w:lang w:eastAsia="ru-RU"/>
        </w:rPr>
        <w:t>,</w:t>
      </w:r>
      <w:r w:rsidRPr="00565733">
        <w:rPr>
          <w:color w:val="000000"/>
          <w:sz w:val="28"/>
          <w:szCs w:val="28"/>
          <w:lang w:eastAsia="ru-RU"/>
        </w:rPr>
        <w:t xml:space="preserve"> ПАО «</w:t>
      </w:r>
      <w:proofErr w:type="spellStart"/>
      <w:r w:rsidRPr="00565733">
        <w:rPr>
          <w:color w:val="000000"/>
          <w:sz w:val="28"/>
          <w:szCs w:val="28"/>
          <w:lang w:eastAsia="ru-RU"/>
        </w:rPr>
        <w:t>КуйбышевАзот</w:t>
      </w:r>
      <w:proofErr w:type="spellEnd"/>
      <w:r w:rsidRPr="00565733">
        <w:rPr>
          <w:color w:val="000000"/>
          <w:sz w:val="28"/>
          <w:szCs w:val="28"/>
          <w:lang w:eastAsia="ru-RU"/>
        </w:rPr>
        <w:t>»</w:t>
      </w:r>
      <w:r w:rsidR="00CF5942">
        <w:rPr>
          <w:color w:val="000000"/>
          <w:sz w:val="28"/>
          <w:szCs w:val="28"/>
          <w:lang w:eastAsia="ru-RU"/>
        </w:rPr>
        <w:t xml:space="preserve">, </w:t>
      </w:r>
      <w:r w:rsidRPr="00565733">
        <w:rPr>
          <w:color w:val="000000"/>
          <w:sz w:val="28"/>
          <w:szCs w:val="28"/>
          <w:lang w:eastAsia="ru-RU"/>
        </w:rPr>
        <w:t>предприятия Тольяттинская ТЭЦ и ТЭЦ ВАЗа филиала «Самарский» ПАО «Т Плюс», ООО «Тольяттинский Трансформатор», ОАО «</w:t>
      </w:r>
      <w:proofErr w:type="spellStart"/>
      <w:r w:rsidRPr="00565733">
        <w:rPr>
          <w:color w:val="000000"/>
          <w:sz w:val="28"/>
          <w:szCs w:val="28"/>
          <w:lang w:eastAsia="ru-RU"/>
        </w:rPr>
        <w:t>Волгоцеммаш</w:t>
      </w:r>
      <w:proofErr w:type="spellEnd"/>
      <w:r w:rsidRPr="00565733">
        <w:rPr>
          <w:color w:val="000000"/>
          <w:sz w:val="28"/>
          <w:szCs w:val="28"/>
          <w:lang w:eastAsia="ru-RU"/>
        </w:rPr>
        <w:t>»</w:t>
      </w:r>
      <w:r w:rsidR="003E3A0D">
        <w:rPr>
          <w:color w:val="000000"/>
          <w:sz w:val="28"/>
          <w:szCs w:val="28"/>
          <w:lang w:eastAsia="ru-RU"/>
        </w:rPr>
        <w:t>)</w:t>
      </w:r>
      <w:r w:rsidRPr="00565733">
        <w:rPr>
          <w:color w:val="000000"/>
          <w:sz w:val="28"/>
          <w:szCs w:val="28"/>
          <w:lang w:eastAsia="ru-RU"/>
        </w:rPr>
        <w:t xml:space="preserve">. </w:t>
      </w:r>
      <w:r w:rsidR="00E90D50">
        <w:rPr>
          <w:color w:val="000000"/>
          <w:sz w:val="28"/>
          <w:szCs w:val="28"/>
          <w:lang w:eastAsia="ru-RU"/>
        </w:rPr>
        <w:t xml:space="preserve">В 2021 году объем инвестиций в экологические мероприятия предприятий ожидается на уровне </w:t>
      </w:r>
      <w:r w:rsidR="00E90D50" w:rsidRPr="00E90D50">
        <w:rPr>
          <w:sz w:val="28"/>
          <w:szCs w:val="28"/>
          <w:lang w:eastAsia="ru-RU"/>
        </w:rPr>
        <w:t>2 859 млн. руб</w:t>
      </w:r>
      <w:r w:rsidR="00E90D50">
        <w:rPr>
          <w:sz w:val="28"/>
          <w:szCs w:val="28"/>
          <w:lang w:eastAsia="ru-RU"/>
        </w:rPr>
        <w:t>лей.</w:t>
      </w:r>
    </w:p>
    <w:p w14:paraId="0AD11AE1" w14:textId="77777777" w:rsidR="00565733" w:rsidRPr="00565733" w:rsidRDefault="00565733" w:rsidP="00565733">
      <w:pPr>
        <w:suppressAutoHyphens w:val="0"/>
        <w:spacing w:line="276" w:lineRule="auto"/>
        <w:rPr>
          <w:sz w:val="28"/>
          <w:szCs w:val="28"/>
          <w:lang w:eastAsia="ru-RU"/>
        </w:rPr>
      </w:pPr>
      <w:r w:rsidRPr="00565733">
        <w:rPr>
          <w:sz w:val="28"/>
          <w:szCs w:val="28"/>
          <w:lang w:eastAsia="ru-RU"/>
        </w:rPr>
        <w:t>Система водоотведения, являясь составной частью жилищно-коммунального хозяйства города Тольятти, образовалась и базируется на трех предприятиях: ООО «АВК» (обслуживает Автозаводский район), ООО «</w:t>
      </w:r>
      <w:proofErr w:type="spellStart"/>
      <w:r w:rsidRPr="00565733">
        <w:rPr>
          <w:sz w:val="28"/>
          <w:szCs w:val="28"/>
          <w:lang w:eastAsia="ru-RU"/>
        </w:rPr>
        <w:t>Тольяттикаучук</w:t>
      </w:r>
      <w:proofErr w:type="spellEnd"/>
      <w:r w:rsidRPr="00565733">
        <w:rPr>
          <w:sz w:val="28"/>
          <w:szCs w:val="28"/>
          <w:lang w:eastAsia="ru-RU"/>
        </w:rPr>
        <w:t xml:space="preserve">» (Центральный район и часть Комсомольского), ПАО «Тольяттиазот» (Комсомольский район). Каждое из этих предприятий имеет собственные очистные сооружения канализации, на которые соответственно принимаются собственные производственные, поверхностные и бытовые сточные воды, а также бытовые сточные воды от населения прилегающих районов городского округа и поверхностные стоки с жилой территории. </w:t>
      </w:r>
    </w:p>
    <w:p w14:paraId="4B608097" w14:textId="32E322A5" w:rsidR="00565733" w:rsidRDefault="00565733" w:rsidP="00565733">
      <w:pPr>
        <w:tabs>
          <w:tab w:val="left" w:pos="720"/>
        </w:tabs>
        <w:suppressAutoHyphens w:val="0"/>
        <w:spacing w:line="276" w:lineRule="auto"/>
        <w:ind w:firstLine="720"/>
        <w:rPr>
          <w:sz w:val="28"/>
          <w:szCs w:val="28"/>
          <w:lang w:eastAsia="ru-RU"/>
        </w:rPr>
      </w:pPr>
      <w:r w:rsidRPr="00565733">
        <w:rPr>
          <w:sz w:val="28"/>
          <w:szCs w:val="28"/>
          <w:lang w:eastAsia="ru-RU"/>
        </w:rPr>
        <w:t>В 2021 году объём вредных веществ, выбрасываемых в атмосферный воздух стационарными источниками загрязнения, по оценке, составит 28,5 тыс. тонн, что на 6,9% ниже уровня 2020 года. Объём сброса загрязненных сточных вод в 2021 году  в поверхностные водные объекты снизится на 0,2% и составит 114,6 млн.м</w:t>
      </w:r>
      <w:r w:rsidRPr="00565733">
        <w:rPr>
          <w:sz w:val="28"/>
          <w:szCs w:val="28"/>
          <w:vertAlign w:val="superscript"/>
          <w:lang w:eastAsia="ru-RU"/>
        </w:rPr>
        <w:t>3</w:t>
      </w:r>
      <w:r w:rsidRPr="00565733">
        <w:rPr>
          <w:sz w:val="28"/>
          <w:szCs w:val="28"/>
          <w:lang w:eastAsia="ru-RU"/>
        </w:rPr>
        <w:t xml:space="preserve">. </w:t>
      </w:r>
    </w:p>
    <w:p w14:paraId="7B162B6B" w14:textId="24682F8D" w:rsidR="00C853E2" w:rsidRPr="00565733" w:rsidRDefault="00532046" w:rsidP="00FF61B0">
      <w:pPr>
        <w:widowControl w:val="0"/>
        <w:spacing w:before="120" w:line="276" w:lineRule="auto"/>
        <w:ind w:firstLine="0"/>
        <w:jc w:val="center"/>
        <w:rPr>
          <w:rFonts w:eastAsia="Calibri"/>
          <w:sz w:val="28"/>
          <w:szCs w:val="28"/>
        </w:rPr>
      </w:pPr>
      <w:r w:rsidRPr="00565733">
        <w:rPr>
          <w:rFonts w:eastAsia="Calibri"/>
          <w:sz w:val="28"/>
          <w:szCs w:val="28"/>
        </w:rPr>
        <w:t xml:space="preserve">Ожидаемое выполнение прогнозных показателей по </w:t>
      </w:r>
      <w:r w:rsidR="00C40086" w:rsidRPr="00565733">
        <w:rPr>
          <w:rFonts w:eastAsia="Calibri"/>
          <w:sz w:val="28"/>
          <w:szCs w:val="28"/>
        </w:rPr>
        <w:t>разделу</w:t>
      </w:r>
    </w:p>
    <w:p w14:paraId="1C8C9D8C" w14:textId="24F98439" w:rsidR="00532046" w:rsidRPr="00565733" w:rsidRDefault="00C40086" w:rsidP="00FF61B0">
      <w:pPr>
        <w:widowControl w:val="0"/>
        <w:spacing w:after="120" w:line="276" w:lineRule="auto"/>
        <w:ind w:firstLine="0"/>
        <w:jc w:val="center"/>
        <w:rPr>
          <w:rFonts w:eastAsia="Calibri"/>
          <w:sz w:val="28"/>
          <w:szCs w:val="28"/>
        </w:rPr>
      </w:pPr>
      <w:r w:rsidRPr="00565733">
        <w:rPr>
          <w:rFonts w:eastAsia="Calibri"/>
          <w:sz w:val="28"/>
          <w:szCs w:val="28"/>
        </w:rPr>
        <w:t xml:space="preserve">«Охрана окружающей среды» </w:t>
      </w:r>
      <w:r w:rsidR="00532046" w:rsidRPr="00565733">
        <w:rPr>
          <w:rFonts w:eastAsia="Calibri"/>
          <w:sz w:val="28"/>
          <w:szCs w:val="28"/>
        </w:rPr>
        <w:t>на 20</w:t>
      </w:r>
      <w:r w:rsidR="00B43D7D" w:rsidRPr="00565733">
        <w:rPr>
          <w:rFonts w:eastAsia="Calibri"/>
          <w:sz w:val="28"/>
          <w:szCs w:val="28"/>
        </w:rPr>
        <w:t>2</w:t>
      </w:r>
      <w:r w:rsidR="00565733" w:rsidRPr="00565733">
        <w:rPr>
          <w:rFonts w:eastAsia="Calibri"/>
          <w:sz w:val="28"/>
          <w:szCs w:val="28"/>
        </w:rPr>
        <w:t>1</w:t>
      </w:r>
      <w:r w:rsidR="00532046" w:rsidRPr="00565733">
        <w:rPr>
          <w:rFonts w:eastAsia="Calibri"/>
          <w:sz w:val="28"/>
          <w:szCs w:val="28"/>
        </w:rPr>
        <w:t xml:space="preserve"> год</w:t>
      </w:r>
    </w:p>
    <w:tbl>
      <w:tblPr>
        <w:tblW w:w="9357" w:type="dxa"/>
        <w:tblInd w:w="108" w:type="dxa"/>
        <w:tblLayout w:type="fixed"/>
        <w:tblLook w:val="0000" w:firstRow="0" w:lastRow="0" w:firstColumn="0" w:lastColumn="0" w:noHBand="0" w:noVBand="0"/>
      </w:tblPr>
      <w:tblGrid>
        <w:gridCol w:w="3828"/>
        <w:gridCol w:w="1276"/>
        <w:gridCol w:w="1418"/>
        <w:gridCol w:w="1417"/>
        <w:gridCol w:w="1418"/>
      </w:tblGrid>
      <w:tr w:rsidR="00B43D7D" w:rsidRPr="00565733" w14:paraId="13B3D0D6" w14:textId="77777777" w:rsidTr="00385123">
        <w:trPr>
          <w:trHeight w:val="347"/>
          <w:tblHeader/>
        </w:trPr>
        <w:tc>
          <w:tcPr>
            <w:tcW w:w="3828" w:type="dxa"/>
            <w:vMerge w:val="restart"/>
            <w:tcBorders>
              <w:top w:val="single" w:sz="4" w:space="0" w:color="000000"/>
              <w:left w:val="single" w:sz="4" w:space="0" w:color="000000"/>
              <w:bottom w:val="single" w:sz="4" w:space="0" w:color="000000"/>
            </w:tcBorders>
            <w:shd w:val="clear" w:color="auto" w:fill="auto"/>
            <w:vAlign w:val="center"/>
          </w:tcPr>
          <w:p w14:paraId="5984D4DB" w14:textId="77777777" w:rsidR="00B43D7D" w:rsidRPr="00565733" w:rsidRDefault="00B43D7D" w:rsidP="00FF61B0">
            <w:pPr>
              <w:shd w:val="clear" w:color="auto" w:fill="FFFFFF"/>
              <w:ind w:firstLine="0"/>
              <w:jc w:val="center"/>
              <w:rPr>
                <w:sz w:val="28"/>
                <w:szCs w:val="28"/>
                <w:shd w:val="clear" w:color="auto" w:fill="FFFFFF"/>
              </w:rPr>
            </w:pPr>
            <w:r w:rsidRPr="00565733">
              <w:rPr>
                <w:sz w:val="28"/>
                <w:szCs w:val="28"/>
                <w:shd w:val="clear" w:color="auto" w:fill="FFFFFF"/>
              </w:rPr>
              <w:t>Наименование показателя</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14:paraId="57E6BCF5" w14:textId="77777777" w:rsidR="00B43D7D" w:rsidRPr="00565733" w:rsidRDefault="00B43D7D" w:rsidP="00FF61B0">
            <w:pPr>
              <w:shd w:val="clear" w:color="auto" w:fill="FFFFFF"/>
              <w:ind w:firstLine="0"/>
              <w:jc w:val="center"/>
              <w:rPr>
                <w:sz w:val="28"/>
                <w:szCs w:val="28"/>
                <w:shd w:val="clear" w:color="auto" w:fill="FFFFFF"/>
              </w:rPr>
            </w:pPr>
            <w:r w:rsidRPr="00565733">
              <w:rPr>
                <w:sz w:val="28"/>
                <w:szCs w:val="28"/>
                <w:shd w:val="clear" w:color="auto" w:fill="FFFFFF"/>
              </w:rPr>
              <w:t xml:space="preserve">Единица </w:t>
            </w:r>
            <w:proofErr w:type="spellStart"/>
            <w:r w:rsidRPr="00565733">
              <w:rPr>
                <w:sz w:val="28"/>
                <w:szCs w:val="28"/>
                <w:shd w:val="clear" w:color="auto" w:fill="FFFFFF"/>
              </w:rPr>
              <w:t>измере</w:t>
            </w:r>
            <w:proofErr w:type="spellEnd"/>
          </w:p>
          <w:p w14:paraId="49EBF651" w14:textId="77777777" w:rsidR="00B43D7D" w:rsidRPr="00565733" w:rsidRDefault="00B43D7D" w:rsidP="00FF61B0">
            <w:pPr>
              <w:shd w:val="clear" w:color="auto" w:fill="FFFFFF"/>
              <w:ind w:firstLine="0"/>
              <w:jc w:val="center"/>
              <w:rPr>
                <w:sz w:val="28"/>
                <w:szCs w:val="28"/>
                <w:shd w:val="clear" w:color="auto" w:fill="FFFFFF"/>
              </w:rPr>
            </w:pPr>
            <w:proofErr w:type="spellStart"/>
            <w:r w:rsidRPr="00565733">
              <w:rPr>
                <w:sz w:val="28"/>
                <w:szCs w:val="28"/>
                <w:shd w:val="clear" w:color="auto" w:fill="FFFFFF"/>
              </w:rPr>
              <w:t>ния</w:t>
            </w:r>
            <w:proofErr w:type="spellEnd"/>
          </w:p>
        </w:tc>
        <w:tc>
          <w:tcPr>
            <w:tcW w:w="2835" w:type="dxa"/>
            <w:gridSpan w:val="2"/>
            <w:tcBorders>
              <w:top w:val="single" w:sz="4" w:space="0" w:color="000000"/>
              <w:left w:val="single" w:sz="4" w:space="0" w:color="000000"/>
              <w:bottom w:val="single" w:sz="4" w:space="0" w:color="000000"/>
            </w:tcBorders>
            <w:shd w:val="clear" w:color="auto" w:fill="auto"/>
            <w:vAlign w:val="center"/>
          </w:tcPr>
          <w:p w14:paraId="7C55702B" w14:textId="537305B6" w:rsidR="00B43D7D" w:rsidRPr="00565733" w:rsidRDefault="00B43D7D" w:rsidP="00565733">
            <w:pPr>
              <w:ind w:firstLine="0"/>
              <w:jc w:val="center"/>
              <w:rPr>
                <w:sz w:val="28"/>
                <w:szCs w:val="28"/>
              </w:rPr>
            </w:pPr>
            <w:r w:rsidRPr="00565733">
              <w:rPr>
                <w:sz w:val="28"/>
                <w:szCs w:val="28"/>
              </w:rPr>
              <w:t>Прогноз на 202</w:t>
            </w:r>
            <w:r w:rsidR="00565733" w:rsidRPr="00565733">
              <w:rPr>
                <w:sz w:val="28"/>
                <w:szCs w:val="28"/>
              </w:rPr>
              <w:t>1</w:t>
            </w:r>
            <w:r w:rsidRPr="00565733">
              <w:rPr>
                <w:sz w:val="28"/>
                <w:szCs w:val="28"/>
              </w:rPr>
              <w:t xml:space="preserve"> год</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4BD0D4A" w14:textId="5289BB17" w:rsidR="00B43D7D" w:rsidRPr="00565733" w:rsidRDefault="00B43D7D" w:rsidP="00565733">
            <w:pPr>
              <w:ind w:firstLine="0"/>
              <w:jc w:val="center"/>
              <w:rPr>
                <w:sz w:val="28"/>
                <w:szCs w:val="28"/>
              </w:rPr>
            </w:pPr>
            <w:r w:rsidRPr="00565733">
              <w:rPr>
                <w:sz w:val="28"/>
                <w:szCs w:val="28"/>
              </w:rPr>
              <w:t>202</w:t>
            </w:r>
            <w:r w:rsidR="00565733">
              <w:rPr>
                <w:sz w:val="28"/>
                <w:szCs w:val="28"/>
              </w:rPr>
              <w:t>1</w:t>
            </w:r>
            <w:r w:rsidRPr="00565733">
              <w:rPr>
                <w:sz w:val="28"/>
                <w:szCs w:val="28"/>
              </w:rPr>
              <w:t xml:space="preserve"> год (оценка)</w:t>
            </w:r>
          </w:p>
        </w:tc>
      </w:tr>
      <w:tr w:rsidR="00B43D7D" w:rsidRPr="00565733" w14:paraId="6F9B6A77" w14:textId="77777777" w:rsidTr="00385123">
        <w:trPr>
          <w:trHeight w:val="425"/>
          <w:tblHeader/>
        </w:trPr>
        <w:tc>
          <w:tcPr>
            <w:tcW w:w="3828" w:type="dxa"/>
            <w:vMerge/>
            <w:tcBorders>
              <w:top w:val="single" w:sz="4" w:space="0" w:color="000000"/>
              <w:left w:val="single" w:sz="4" w:space="0" w:color="000000"/>
              <w:bottom w:val="single" w:sz="4" w:space="0" w:color="000000"/>
            </w:tcBorders>
          </w:tcPr>
          <w:p w14:paraId="745F6C71" w14:textId="77777777" w:rsidR="00B43D7D" w:rsidRPr="00565733" w:rsidRDefault="00B43D7D" w:rsidP="0048723E">
            <w:pPr>
              <w:shd w:val="clear" w:color="auto" w:fill="FFFFFF"/>
              <w:snapToGrid w:val="0"/>
              <w:ind w:firstLine="0"/>
              <w:jc w:val="center"/>
              <w:rPr>
                <w:sz w:val="28"/>
                <w:szCs w:val="28"/>
                <w:shd w:val="clear" w:color="auto" w:fill="FFFFFF"/>
              </w:rPr>
            </w:pPr>
          </w:p>
        </w:tc>
        <w:tc>
          <w:tcPr>
            <w:tcW w:w="1276" w:type="dxa"/>
            <w:vMerge/>
            <w:tcBorders>
              <w:top w:val="single" w:sz="4" w:space="0" w:color="000000"/>
              <w:left w:val="single" w:sz="4" w:space="0" w:color="000000"/>
              <w:bottom w:val="single" w:sz="4" w:space="0" w:color="000000"/>
            </w:tcBorders>
          </w:tcPr>
          <w:p w14:paraId="0BD02EEE" w14:textId="77777777" w:rsidR="00B43D7D" w:rsidRPr="00565733" w:rsidRDefault="00B43D7D" w:rsidP="0048723E">
            <w:pPr>
              <w:shd w:val="clear" w:color="auto" w:fill="FFFFFF"/>
              <w:snapToGrid w:val="0"/>
              <w:ind w:firstLine="0"/>
              <w:jc w:val="center"/>
              <w:rPr>
                <w:sz w:val="28"/>
                <w:szCs w:val="28"/>
                <w:shd w:val="clear" w:color="auto" w:fill="FFFFFF"/>
              </w:rPr>
            </w:pPr>
          </w:p>
        </w:tc>
        <w:tc>
          <w:tcPr>
            <w:tcW w:w="1418" w:type="dxa"/>
            <w:tcBorders>
              <w:top w:val="single" w:sz="4" w:space="0" w:color="000000"/>
              <w:left w:val="single" w:sz="4" w:space="0" w:color="000000"/>
              <w:bottom w:val="single" w:sz="4" w:space="0" w:color="000000"/>
            </w:tcBorders>
            <w:vAlign w:val="center"/>
          </w:tcPr>
          <w:p w14:paraId="4CA507F3" w14:textId="77777777" w:rsidR="00B43D7D" w:rsidRPr="00565733" w:rsidRDefault="00B43D7D" w:rsidP="00FF61B0">
            <w:pPr>
              <w:ind w:firstLine="0"/>
              <w:jc w:val="center"/>
              <w:rPr>
                <w:sz w:val="28"/>
                <w:szCs w:val="28"/>
              </w:rPr>
            </w:pPr>
            <w:r w:rsidRPr="00565733">
              <w:rPr>
                <w:sz w:val="28"/>
                <w:szCs w:val="28"/>
              </w:rPr>
              <w:t>1 вариант (консервативный)</w:t>
            </w:r>
          </w:p>
        </w:tc>
        <w:tc>
          <w:tcPr>
            <w:tcW w:w="1417" w:type="dxa"/>
            <w:tcBorders>
              <w:top w:val="single" w:sz="4" w:space="0" w:color="000000"/>
              <w:left w:val="single" w:sz="4" w:space="0" w:color="000000"/>
              <w:bottom w:val="single" w:sz="4" w:space="0" w:color="000000"/>
            </w:tcBorders>
            <w:vAlign w:val="center"/>
          </w:tcPr>
          <w:p w14:paraId="722EC48C" w14:textId="77777777" w:rsidR="00B43D7D" w:rsidRPr="00565733" w:rsidRDefault="00B43D7D" w:rsidP="00FF61B0">
            <w:pPr>
              <w:ind w:firstLine="0"/>
              <w:jc w:val="center"/>
              <w:rPr>
                <w:sz w:val="28"/>
                <w:szCs w:val="28"/>
              </w:rPr>
            </w:pPr>
            <w:r w:rsidRPr="00565733">
              <w:rPr>
                <w:sz w:val="28"/>
                <w:szCs w:val="28"/>
              </w:rPr>
              <w:t>2 вариант</w:t>
            </w:r>
          </w:p>
          <w:p w14:paraId="073735CF" w14:textId="77777777" w:rsidR="00B43D7D" w:rsidRPr="00565733" w:rsidRDefault="00B43D7D" w:rsidP="00FF61B0">
            <w:pPr>
              <w:ind w:firstLine="0"/>
              <w:jc w:val="center"/>
              <w:rPr>
                <w:sz w:val="28"/>
                <w:szCs w:val="28"/>
              </w:rPr>
            </w:pPr>
            <w:r w:rsidRPr="00565733">
              <w:rPr>
                <w:sz w:val="28"/>
                <w:szCs w:val="28"/>
              </w:rPr>
              <w:t>(базовый)</w:t>
            </w:r>
          </w:p>
        </w:tc>
        <w:tc>
          <w:tcPr>
            <w:tcW w:w="1418" w:type="dxa"/>
            <w:vMerge/>
            <w:tcBorders>
              <w:top w:val="single" w:sz="4" w:space="0" w:color="000000"/>
              <w:left w:val="single" w:sz="4" w:space="0" w:color="000000"/>
              <w:bottom w:val="single" w:sz="4" w:space="0" w:color="000000"/>
              <w:right w:val="single" w:sz="4" w:space="0" w:color="000000"/>
            </w:tcBorders>
          </w:tcPr>
          <w:p w14:paraId="6C17FEEB" w14:textId="77777777" w:rsidR="00B43D7D" w:rsidRPr="00565733" w:rsidRDefault="00B43D7D" w:rsidP="0048723E">
            <w:pPr>
              <w:shd w:val="clear" w:color="auto" w:fill="FFFFFF"/>
              <w:snapToGrid w:val="0"/>
              <w:ind w:firstLine="0"/>
              <w:jc w:val="center"/>
              <w:rPr>
                <w:sz w:val="28"/>
                <w:szCs w:val="28"/>
                <w:shd w:val="clear" w:color="auto" w:fill="FFFFFF"/>
              </w:rPr>
            </w:pPr>
          </w:p>
        </w:tc>
      </w:tr>
      <w:tr w:rsidR="00B43D7D" w:rsidRPr="00565733" w14:paraId="12EAFF5E" w14:textId="77777777" w:rsidTr="00FF61B0">
        <w:tc>
          <w:tcPr>
            <w:tcW w:w="3828" w:type="dxa"/>
            <w:tcBorders>
              <w:top w:val="single" w:sz="4" w:space="0" w:color="000000"/>
              <w:left w:val="single" w:sz="4" w:space="0" w:color="000000"/>
              <w:bottom w:val="single" w:sz="4" w:space="0" w:color="000000"/>
            </w:tcBorders>
          </w:tcPr>
          <w:p w14:paraId="3850430E" w14:textId="77777777" w:rsidR="00B43D7D" w:rsidRPr="00565733" w:rsidRDefault="00B43D7D" w:rsidP="00FF61B0">
            <w:pPr>
              <w:shd w:val="clear" w:color="auto" w:fill="FFFFFF"/>
              <w:ind w:firstLine="0"/>
              <w:jc w:val="left"/>
              <w:rPr>
                <w:sz w:val="28"/>
                <w:szCs w:val="28"/>
                <w:shd w:val="clear" w:color="auto" w:fill="FFFFFF"/>
              </w:rPr>
            </w:pPr>
            <w:bookmarkStart w:id="15" w:name="_Hlk52449747"/>
            <w:r w:rsidRPr="00565733">
              <w:rPr>
                <w:sz w:val="28"/>
                <w:szCs w:val="28"/>
                <w:shd w:val="clear" w:color="auto" w:fill="FFFFFF"/>
              </w:rPr>
              <w:t>Объем вредных веществ, выбрасываемых в атмосферный воздух стационарными источниками загрязнения</w:t>
            </w:r>
            <w:bookmarkEnd w:id="15"/>
          </w:p>
        </w:tc>
        <w:tc>
          <w:tcPr>
            <w:tcW w:w="1276" w:type="dxa"/>
            <w:tcBorders>
              <w:top w:val="single" w:sz="4" w:space="0" w:color="000000"/>
              <w:left w:val="single" w:sz="4" w:space="0" w:color="000000"/>
              <w:bottom w:val="single" w:sz="4" w:space="0" w:color="000000"/>
            </w:tcBorders>
            <w:vAlign w:val="center"/>
          </w:tcPr>
          <w:p w14:paraId="7A29323F" w14:textId="77777777" w:rsidR="00B43D7D" w:rsidRPr="00565733" w:rsidRDefault="00B43D7D" w:rsidP="00FF61B0">
            <w:pPr>
              <w:shd w:val="clear" w:color="auto" w:fill="FFFFFF"/>
              <w:ind w:firstLine="0"/>
              <w:jc w:val="center"/>
              <w:rPr>
                <w:sz w:val="28"/>
                <w:szCs w:val="28"/>
                <w:shd w:val="clear" w:color="auto" w:fill="FFFFFF"/>
              </w:rPr>
            </w:pPr>
            <w:r w:rsidRPr="00565733">
              <w:rPr>
                <w:sz w:val="28"/>
                <w:szCs w:val="28"/>
                <w:shd w:val="clear" w:color="auto" w:fill="FFFFFF"/>
              </w:rPr>
              <w:t>тыс. тонн</w:t>
            </w:r>
          </w:p>
        </w:tc>
        <w:tc>
          <w:tcPr>
            <w:tcW w:w="1418" w:type="dxa"/>
            <w:tcBorders>
              <w:top w:val="single" w:sz="4" w:space="0" w:color="000000"/>
              <w:left w:val="single" w:sz="4" w:space="0" w:color="000000"/>
              <w:bottom w:val="single" w:sz="4" w:space="0" w:color="000000"/>
            </w:tcBorders>
            <w:vAlign w:val="center"/>
          </w:tcPr>
          <w:p w14:paraId="197983A4" w14:textId="191C7025" w:rsidR="00B43D7D" w:rsidRPr="00565733" w:rsidRDefault="00565733" w:rsidP="00FF61B0">
            <w:pPr>
              <w:shd w:val="clear" w:color="auto" w:fill="FFFFFF"/>
              <w:spacing w:line="276" w:lineRule="auto"/>
              <w:ind w:firstLine="0"/>
              <w:jc w:val="center"/>
              <w:rPr>
                <w:sz w:val="28"/>
                <w:szCs w:val="28"/>
                <w:shd w:val="clear" w:color="auto" w:fill="FFFFFF"/>
                <w:lang w:val="en-US"/>
              </w:rPr>
            </w:pPr>
            <w:r>
              <w:rPr>
                <w:sz w:val="28"/>
                <w:szCs w:val="28"/>
                <w:shd w:val="clear" w:color="auto" w:fill="FFFFFF"/>
              </w:rPr>
              <w:t>36,1</w:t>
            </w:r>
          </w:p>
        </w:tc>
        <w:tc>
          <w:tcPr>
            <w:tcW w:w="1417" w:type="dxa"/>
            <w:tcBorders>
              <w:top w:val="single" w:sz="4" w:space="0" w:color="000000"/>
              <w:left w:val="single" w:sz="4" w:space="0" w:color="000000"/>
              <w:bottom w:val="single" w:sz="4" w:space="0" w:color="000000"/>
            </w:tcBorders>
            <w:vAlign w:val="center"/>
          </w:tcPr>
          <w:p w14:paraId="65BBDBA7" w14:textId="6B7305C4" w:rsidR="00B43D7D" w:rsidRPr="00565733" w:rsidRDefault="00565733" w:rsidP="00FF61B0">
            <w:pPr>
              <w:shd w:val="clear" w:color="auto" w:fill="FFFFFF"/>
              <w:spacing w:line="276" w:lineRule="auto"/>
              <w:ind w:firstLine="0"/>
              <w:jc w:val="center"/>
              <w:rPr>
                <w:sz w:val="28"/>
                <w:szCs w:val="28"/>
                <w:shd w:val="clear" w:color="auto" w:fill="FFFFFF"/>
              </w:rPr>
            </w:pPr>
            <w:r>
              <w:rPr>
                <w:sz w:val="28"/>
                <w:szCs w:val="28"/>
                <w:shd w:val="clear" w:color="auto" w:fill="FFFFFF"/>
              </w:rPr>
              <w:t>35,7</w:t>
            </w:r>
          </w:p>
        </w:tc>
        <w:tc>
          <w:tcPr>
            <w:tcW w:w="1418" w:type="dxa"/>
            <w:tcBorders>
              <w:top w:val="single" w:sz="4" w:space="0" w:color="000000"/>
              <w:left w:val="single" w:sz="4" w:space="0" w:color="000000"/>
              <w:bottom w:val="single" w:sz="4" w:space="0" w:color="000000"/>
              <w:right w:val="single" w:sz="4" w:space="0" w:color="000000"/>
            </w:tcBorders>
            <w:vAlign w:val="center"/>
          </w:tcPr>
          <w:p w14:paraId="72E694E5" w14:textId="68196549" w:rsidR="00B43D7D" w:rsidRPr="00565733" w:rsidRDefault="00565733" w:rsidP="00FF61B0">
            <w:pPr>
              <w:shd w:val="clear" w:color="auto" w:fill="FFFFFF"/>
              <w:spacing w:line="276" w:lineRule="auto"/>
              <w:ind w:firstLine="0"/>
              <w:jc w:val="center"/>
              <w:rPr>
                <w:sz w:val="28"/>
                <w:szCs w:val="28"/>
                <w:shd w:val="clear" w:color="auto" w:fill="FFFFFF"/>
              </w:rPr>
            </w:pPr>
            <w:r>
              <w:rPr>
                <w:sz w:val="28"/>
                <w:szCs w:val="28"/>
                <w:shd w:val="clear" w:color="auto" w:fill="FFFFFF"/>
              </w:rPr>
              <w:t>28,5</w:t>
            </w:r>
          </w:p>
        </w:tc>
      </w:tr>
      <w:tr w:rsidR="00B43D7D" w:rsidRPr="008253D3" w14:paraId="0E34C49C" w14:textId="77777777" w:rsidTr="00FF61B0">
        <w:tc>
          <w:tcPr>
            <w:tcW w:w="3828" w:type="dxa"/>
            <w:tcBorders>
              <w:top w:val="single" w:sz="4" w:space="0" w:color="000000"/>
              <w:left w:val="single" w:sz="4" w:space="0" w:color="000000"/>
              <w:bottom w:val="single" w:sz="4" w:space="0" w:color="000000"/>
            </w:tcBorders>
          </w:tcPr>
          <w:p w14:paraId="5C537B75" w14:textId="77777777" w:rsidR="00B43D7D" w:rsidRPr="00565733" w:rsidRDefault="00B43D7D" w:rsidP="00FF61B0">
            <w:pPr>
              <w:shd w:val="clear" w:color="auto" w:fill="FFFFFF"/>
              <w:ind w:firstLine="0"/>
              <w:jc w:val="left"/>
              <w:rPr>
                <w:sz w:val="28"/>
                <w:szCs w:val="28"/>
                <w:shd w:val="clear" w:color="auto" w:fill="FFFFFF"/>
              </w:rPr>
            </w:pPr>
            <w:r w:rsidRPr="00565733">
              <w:rPr>
                <w:sz w:val="28"/>
                <w:szCs w:val="28"/>
                <w:shd w:val="clear" w:color="auto" w:fill="FFFFFF"/>
              </w:rPr>
              <w:lastRenderedPageBreak/>
              <w:t>Объем сброса загрязнений сточных вод в поверхностные водные объекты</w:t>
            </w:r>
          </w:p>
        </w:tc>
        <w:tc>
          <w:tcPr>
            <w:tcW w:w="1276" w:type="dxa"/>
            <w:tcBorders>
              <w:top w:val="single" w:sz="4" w:space="0" w:color="000000"/>
              <w:left w:val="single" w:sz="4" w:space="0" w:color="000000"/>
              <w:bottom w:val="single" w:sz="4" w:space="0" w:color="000000"/>
            </w:tcBorders>
            <w:vAlign w:val="center"/>
          </w:tcPr>
          <w:p w14:paraId="09B42E32" w14:textId="5F9334FF" w:rsidR="00B43D7D" w:rsidRPr="00565733" w:rsidRDefault="00B43D7D" w:rsidP="00FF61B0">
            <w:pPr>
              <w:shd w:val="clear" w:color="auto" w:fill="FFFFFF"/>
              <w:spacing w:line="276" w:lineRule="auto"/>
              <w:ind w:firstLine="0"/>
              <w:jc w:val="center"/>
              <w:rPr>
                <w:sz w:val="28"/>
                <w:szCs w:val="28"/>
                <w:shd w:val="clear" w:color="auto" w:fill="FFFFFF"/>
              </w:rPr>
            </w:pPr>
            <w:r w:rsidRPr="00565733">
              <w:rPr>
                <w:sz w:val="28"/>
                <w:szCs w:val="28"/>
                <w:shd w:val="clear" w:color="auto" w:fill="FFFFFF"/>
              </w:rPr>
              <w:t>тыс.</w:t>
            </w:r>
            <w:r w:rsidR="00806DED">
              <w:rPr>
                <w:sz w:val="28"/>
                <w:szCs w:val="28"/>
                <w:shd w:val="clear" w:color="auto" w:fill="FFFFFF"/>
              </w:rPr>
              <w:t xml:space="preserve"> </w:t>
            </w:r>
            <w:proofErr w:type="spellStart"/>
            <w:proofErr w:type="gramStart"/>
            <w:r w:rsidRPr="00565733">
              <w:rPr>
                <w:sz w:val="28"/>
                <w:szCs w:val="28"/>
                <w:shd w:val="clear" w:color="auto" w:fill="FFFFFF"/>
              </w:rPr>
              <w:t>куб.м</w:t>
            </w:r>
            <w:proofErr w:type="spellEnd"/>
            <w:proofErr w:type="gramEnd"/>
          </w:p>
        </w:tc>
        <w:tc>
          <w:tcPr>
            <w:tcW w:w="1418" w:type="dxa"/>
            <w:tcBorders>
              <w:top w:val="single" w:sz="4" w:space="0" w:color="000000"/>
              <w:left w:val="single" w:sz="4" w:space="0" w:color="000000"/>
              <w:bottom w:val="single" w:sz="4" w:space="0" w:color="000000"/>
            </w:tcBorders>
            <w:vAlign w:val="center"/>
          </w:tcPr>
          <w:p w14:paraId="605CDCD9" w14:textId="442DF376" w:rsidR="00B43D7D" w:rsidRPr="00565733" w:rsidRDefault="00565733" w:rsidP="00FF61B0">
            <w:pPr>
              <w:shd w:val="clear" w:color="auto" w:fill="FFFFFF"/>
              <w:spacing w:line="276" w:lineRule="auto"/>
              <w:ind w:firstLine="0"/>
              <w:jc w:val="center"/>
              <w:rPr>
                <w:sz w:val="28"/>
                <w:szCs w:val="28"/>
                <w:shd w:val="clear" w:color="auto" w:fill="FFFFFF"/>
              </w:rPr>
            </w:pPr>
            <w:r>
              <w:rPr>
                <w:sz w:val="28"/>
                <w:szCs w:val="28"/>
                <w:shd w:val="clear" w:color="auto" w:fill="FFFFFF"/>
              </w:rPr>
              <w:t>118846,6</w:t>
            </w:r>
          </w:p>
        </w:tc>
        <w:tc>
          <w:tcPr>
            <w:tcW w:w="1417" w:type="dxa"/>
            <w:tcBorders>
              <w:top w:val="single" w:sz="4" w:space="0" w:color="000000"/>
              <w:left w:val="single" w:sz="4" w:space="0" w:color="000000"/>
              <w:bottom w:val="single" w:sz="4" w:space="0" w:color="000000"/>
            </w:tcBorders>
            <w:vAlign w:val="center"/>
          </w:tcPr>
          <w:p w14:paraId="659162DF" w14:textId="3E3AA189" w:rsidR="00B43D7D" w:rsidRPr="00565733" w:rsidRDefault="00CF5942" w:rsidP="00FF61B0">
            <w:pPr>
              <w:shd w:val="clear" w:color="auto" w:fill="FFFFFF"/>
              <w:spacing w:line="276" w:lineRule="auto"/>
              <w:ind w:firstLine="0"/>
              <w:jc w:val="center"/>
              <w:rPr>
                <w:sz w:val="28"/>
                <w:szCs w:val="28"/>
                <w:shd w:val="clear" w:color="auto" w:fill="FFFFFF"/>
              </w:rPr>
            </w:pPr>
            <w:r>
              <w:rPr>
                <w:sz w:val="28"/>
                <w:szCs w:val="28"/>
                <w:shd w:val="clear" w:color="auto" w:fill="FFFFFF"/>
              </w:rPr>
              <w:t>118370,3</w:t>
            </w:r>
          </w:p>
        </w:tc>
        <w:tc>
          <w:tcPr>
            <w:tcW w:w="1418" w:type="dxa"/>
            <w:tcBorders>
              <w:top w:val="single" w:sz="4" w:space="0" w:color="000000"/>
              <w:left w:val="single" w:sz="4" w:space="0" w:color="000000"/>
              <w:bottom w:val="single" w:sz="4" w:space="0" w:color="000000"/>
              <w:right w:val="single" w:sz="4" w:space="0" w:color="000000"/>
            </w:tcBorders>
            <w:vAlign w:val="center"/>
          </w:tcPr>
          <w:p w14:paraId="158AF063" w14:textId="08DB4F6E" w:rsidR="00B43D7D" w:rsidRPr="00565733" w:rsidRDefault="00565733" w:rsidP="00FF61B0">
            <w:pPr>
              <w:shd w:val="clear" w:color="auto" w:fill="FFFFFF"/>
              <w:spacing w:line="276" w:lineRule="auto"/>
              <w:ind w:firstLine="0"/>
              <w:jc w:val="center"/>
              <w:rPr>
                <w:sz w:val="28"/>
                <w:szCs w:val="28"/>
                <w:shd w:val="clear" w:color="auto" w:fill="FFFFFF"/>
              </w:rPr>
            </w:pPr>
            <w:r>
              <w:rPr>
                <w:sz w:val="28"/>
                <w:szCs w:val="28"/>
                <w:shd w:val="clear" w:color="auto" w:fill="FFFFFF"/>
              </w:rPr>
              <w:t>114564,0</w:t>
            </w:r>
          </w:p>
        </w:tc>
      </w:tr>
    </w:tbl>
    <w:p w14:paraId="19674275" w14:textId="77777777" w:rsidR="00860E97" w:rsidRPr="008253D3" w:rsidRDefault="00860E97" w:rsidP="005C79FB">
      <w:pPr>
        <w:autoSpaceDE w:val="0"/>
        <w:autoSpaceDN w:val="0"/>
        <w:adjustRightInd w:val="0"/>
        <w:spacing w:line="276" w:lineRule="auto"/>
        <w:outlineLvl w:val="2"/>
        <w:rPr>
          <w:sz w:val="28"/>
          <w:szCs w:val="28"/>
          <w:highlight w:val="yellow"/>
          <w:shd w:val="clear" w:color="auto" w:fill="FFFFFF"/>
        </w:rPr>
      </w:pPr>
    </w:p>
    <w:p w14:paraId="5DA2D105" w14:textId="0B63A1DD" w:rsidR="00A04094" w:rsidRDefault="008024D2" w:rsidP="00E35E43">
      <w:pPr>
        <w:widowControl w:val="0"/>
        <w:spacing w:line="276" w:lineRule="auto"/>
        <w:rPr>
          <w:rFonts w:eastAsia="Calibri"/>
          <w:sz w:val="28"/>
          <w:szCs w:val="28"/>
        </w:rPr>
      </w:pPr>
      <w:r w:rsidRPr="00CF5942">
        <w:rPr>
          <w:rFonts w:eastAsia="Calibri"/>
          <w:sz w:val="28"/>
          <w:szCs w:val="28"/>
        </w:rPr>
        <w:t xml:space="preserve">Корректировка </w:t>
      </w:r>
      <w:r w:rsidR="003C448C" w:rsidRPr="00CF5942">
        <w:rPr>
          <w:rFonts w:eastAsia="Calibri"/>
          <w:sz w:val="28"/>
          <w:szCs w:val="28"/>
        </w:rPr>
        <w:t xml:space="preserve">значения </w:t>
      </w:r>
      <w:r w:rsidRPr="00CF5942">
        <w:rPr>
          <w:rFonts w:eastAsia="Calibri"/>
          <w:sz w:val="28"/>
          <w:szCs w:val="28"/>
        </w:rPr>
        <w:t>показателя «</w:t>
      </w:r>
      <w:r w:rsidRPr="00CF5942">
        <w:rPr>
          <w:sz w:val="28"/>
          <w:szCs w:val="28"/>
          <w:shd w:val="clear" w:color="auto" w:fill="FFFFFF"/>
        </w:rPr>
        <w:t xml:space="preserve">Объем вредных веществ, выбрасываемых в атмосферный воздух стационарными источниками загрязнения» по сравнением с прогнозом </w:t>
      </w:r>
      <w:r w:rsidR="003C448C" w:rsidRPr="00CF5942">
        <w:rPr>
          <w:sz w:val="28"/>
          <w:szCs w:val="28"/>
          <w:shd w:val="clear" w:color="auto" w:fill="FFFFFF"/>
        </w:rPr>
        <w:t>прошлого года связана с тем</w:t>
      </w:r>
      <w:r w:rsidRPr="00CF5942">
        <w:rPr>
          <w:sz w:val="28"/>
          <w:szCs w:val="28"/>
          <w:shd w:val="clear" w:color="auto" w:fill="FFFFFF"/>
        </w:rPr>
        <w:t>, что фактическое значение показателя за 20</w:t>
      </w:r>
      <w:r w:rsidR="00CF5942" w:rsidRPr="00CF5942">
        <w:rPr>
          <w:sz w:val="28"/>
          <w:szCs w:val="28"/>
          <w:shd w:val="clear" w:color="auto" w:fill="FFFFFF"/>
        </w:rPr>
        <w:t>20</w:t>
      </w:r>
      <w:r w:rsidRPr="00CF5942">
        <w:rPr>
          <w:sz w:val="28"/>
          <w:szCs w:val="28"/>
          <w:shd w:val="clear" w:color="auto" w:fill="FFFFFF"/>
        </w:rPr>
        <w:t xml:space="preserve"> год сложилось </w:t>
      </w:r>
      <w:r w:rsidR="00CF5942" w:rsidRPr="00CF5942">
        <w:rPr>
          <w:sz w:val="28"/>
          <w:szCs w:val="28"/>
          <w:shd w:val="clear" w:color="auto" w:fill="FFFFFF"/>
        </w:rPr>
        <w:t>ниже</w:t>
      </w:r>
      <w:r w:rsidRPr="00CF5942">
        <w:rPr>
          <w:sz w:val="28"/>
          <w:szCs w:val="28"/>
          <w:shd w:val="clear" w:color="auto" w:fill="FFFFFF"/>
        </w:rPr>
        <w:t>, чем ожидалось ранее</w:t>
      </w:r>
      <w:r w:rsidR="00CF5942">
        <w:rPr>
          <w:sz w:val="28"/>
          <w:szCs w:val="28"/>
          <w:shd w:val="clear" w:color="auto" w:fill="FFFFFF"/>
        </w:rPr>
        <w:t xml:space="preserve"> (30,6 тыс. тонн вместо ожидаемых 35,7 тыс. тонн)</w:t>
      </w:r>
      <w:r w:rsidRPr="00CF5942">
        <w:rPr>
          <w:rFonts w:eastAsia="Calibri"/>
          <w:sz w:val="28"/>
          <w:szCs w:val="28"/>
        </w:rPr>
        <w:t xml:space="preserve">. </w:t>
      </w:r>
      <w:r w:rsidR="00A04094" w:rsidRPr="008A471E">
        <w:rPr>
          <w:rFonts w:eastAsia="Calibri"/>
          <w:sz w:val="28"/>
          <w:szCs w:val="28"/>
        </w:rPr>
        <w:t>В</w:t>
      </w:r>
      <w:r w:rsidR="00E037AA" w:rsidRPr="008A471E">
        <w:rPr>
          <w:rFonts w:eastAsia="Calibri"/>
          <w:sz w:val="28"/>
          <w:szCs w:val="28"/>
        </w:rPr>
        <w:t xml:space="preserve"> связи с исключением </w:t>
      </w:r>
      <w:r w:rsidR="003C448C" w:rsidRPr="008A471E">
        <w:rPr>
          <w:rFonts w:eastAsia="Calibri"/>
          <w:sz w:val="28"/>
          <w:szCs w:val="28"/>
        </w:rPr>
        <w:t>формы федерального статистического наблюдения Приложение №</w:t>
      </w:r>
      <w:r w:rsidR="00FF61B0" w:rsidRPr="008A471E">
        <w:rPr>
          <w:rFonts w:eastAsia="Calibri"/>
          <w:sz w:val="28"/>
          <w:szCs w:val="28"/>
        </w:rPr>
        <w:t> </w:t>
      </w:r>
      <w:r w:rsidR="003C448C" w:rsidRPr="008A471E">
        <w:rPr>
          <w:rFonts w:eastAsia="Calibri"/>
          <w:sz w:val="28"/>
          <w:szCs w:val="28"/>
        </w:rPr>
        <w:t>2-</w:t>
      </w:r>
      <w:r w:rsidR="00FF61B0" w:rsidRPr="008A471E">
        <w:rPr>
          <w:rFonts w:eastAsia="Calibri"/>
          <w:sz w:val="28"/>
          <w:szCs w:val="28"/>
        </w:rPr>
        <w:t>ТП </w:t>
      </w:r>
      <w:r w:rsidR="003C448C" w:rsidRPr="008A471E">
        <w:rPr>
          <w:rFonts w:eastAsia="Calibri"/>
          <w:sz w:val="28"/>
          <w:szCs w:val="28"/>
        </w:rPr>
        <w:t>(воздух) «Сведения об охране атмосферного воздуха»</w:t>
      </w:r>
      <w:r w:rsidR="00F357FD" w:rsidRPr="008A471E">
        <w:rPr>
          <w:rFonts w:eastAsia="Calibri"/>
          <w:sz w:val="28"/>
          <w:szCs w:val="28"/>
        </w:rPr>
        <w:t>,</w:t>
      </w:r>
      <w:r w:rsidR="00E037AA" w:rsidRPr="008A471E">
        <w:rPr>
          <w:rFonts w:eastAsia="Calibri"/>
          <w:sz w:val="28"/>
          <w:szCs w:val="28"/>
        </w:rPr>
        <w:t xml:space="preserve"> оценка </w:t>
      </w:r>
      <w:r w:rsidR="00A04094" w:rsidRPr="008A471E">
        <w:rPr>
          <w:rFonts w:eastAsia="Calibri"/>
          <w:sz w:val="28"/>
          <w:szCs w:val="28"/>
        </w:rPr>
        <w:t xml:space="preserve">и прогноз </w:t>
      </w:r>
      <w:r w:rsidR="00E037AA" w:rsidRPr="008A471E">
        <w:rPr>
          <w:rFonts w:eastAsia="Calibri"/>
          <w:sz w:val="28"/>
          <w:szCs w:val="28"/>
        </w:rPr>
        <w:t>объема вредных веществ, выбрасываемых в атмосферный воздух стационарными источниками загрязнения</w:t>
      </w:r>
      <w:r w:rsidR="00A04094" w:rsidRPr="008A471E">
        <w:rPr>
          <w:rFonts w:eastAsia="Calibri"/>
          <w:sz w:val="28"/>
          <w:szCs w:val="28"/>
        </w:rPr>
        <w:t xml:space="preserve"> рассчитаны</w:t>
      </w:r>
      <w:r w:rsidR="00E037AA" w:rsidRPr="008A471E">
        <w:rPr>
          <w:rFonts w:eastAsia="Calibri"/>
          <w:sz w:val="28"/>
          <w:szCs w:val="28"/>
        </w:rPr>
        <w:t xml:space="preserve"> </w:t>
      </w:r>
      <w:r w:rsidR="00AD0866" w:rsidRPr="008A471E">
        <w:rPr>
          <w:rFonts w:eastAsia="Calibri"/>
          <w:sz w:val="28"/>
          <w:szCs w:val="28"/>
        </w:rPr>
        <w:t xml:space="preserve">на основании </w:t>
      </w:r>
      <w:r w:rsidR="0031346E" w:rsidRPr="008A471E">
        <w:rPr>
          <w:rFonts w:eastAsia="Calibri"/>
          <w:sz w:val="28"/>
          <w:szCs w:val="28"/>
        </w:rPr>
        <w:t>представленны</w:t>
      </w:r>
      <w:r w:rsidR="00AD0866" w:rsidRPr="008A471E">
        <w:rPr>
          <w:rFonts w:eastAsia="Calibri"/>
          <w:sz w:val="28"/>
          <w:szCs w:val="28"/>
        </w:rPr>
        <w:t>х</w:t>
      </w:r>
      <w:r w:rsidR="0031346E" w:rsidRPr="008A471E">
        <w:rPr>
          <w:rFonts w:eastAsia="Calibri"/>
          <w:sz w:val="28"/>
          <w:szCs w:val="28"/>
        </w:rPr>
        <w:t xml:space="preserve"> </w:t>
      </w:r>
      <w:r w:rsidR="00AD0866" w:rsidRPr="008A471E">
        <w:rPr>
          <w:rFonts w:eastAsia="Calibri"/>
          <w:sz w:val="28"/>
          <w:szCs w:val="28"/>
        </w:rPr>
        <w:t xml:space="preserve">сведений от </w:t>
      </w:r>
      <w:r w:rsidR="00E90D50">
        <w:rPr>
          <w:rFonts w:eastAsia="Calibri"/>
          <w:sz w:val="28"/>
          <w:szCs w:val="28"/>
        </w:rPr>
        <w:t>9</w:t>
      </w:r>
      <w:r w:rsidR="00AD0866" w:rsidRPr="008A471E">
        <w:rPr>
          <w:rFonts w:eastAsia="Calibri"/>
          <w:sz w:val="28"/>
          <w:szCs w:val="28"/>
        </w:rPr>
        <w:t xml:space="preserve"> крупнейших промышленных предприятий города </w:t>
      </w:r>
      <w:r w:rsidR="0031346E" w:rsidRPr="008A471E">
        <w:rPr>
          <w:rFonts w:eastAsia="Calibri"/>
          <w:sz w:val="28"/>
          <w:szCs w:val="28"/>
        </w:rPr>
        <w:t>по запросу администрации</w:t>
      </w:r>
      <w:r w:rsidR="008D7A93" w:rsidRPr="008A471E">
        <w:rPr>
          <w:rFonts w:eastAsia="Calibri"/>
          <w:sz w:val="28"/>
          <w:szCs w:val="28"/>
        </w:rPr>
        <w:t xml:space="preserve"> </w:t>
      </w:r>
      <w:r w:rsidR="008D7A93" w:rsidRPr="008A471E">
        <w:rPr>
          <w:sz w:val="28"/>
          <w:szCs w:val="28"/>
          <w:shd w:val="clear" w:color="auto" w:fill="FFFFFF"/>
        </w:rPr>
        <w:t>городского округа Тольятти</w:t>
      </w:r>
      <w:r w:rsidR="00AD0866" w:rsidRPr="008A471E">
        <w:rPr>
          <w:rFonts w:eastAsia="Calibri"/>
          <w:sz w:val="28"/>
          <w:szCs w:val="28"/>
        </w:rPr>
        <w:t>.</w:t>
      </w:r>
    </w:p>
    <w:p w14:paraId="3930EA42" w14:textId="2CC4A720" w:rsidR="00E90D50" w:rsidRPr="00E90D50" w:rsidRDefault="00E90D50" w:rsidP="00E35E43">
      <w:pPr>
        <w:suppressAutoHyphens w:val="0"/>
        <w:spacing w:line="276" w:lineRule="auto"/>
        <w:ind w:firstLine="720"/>
        <w:rPr>
          <w:sz w:val="28"/>
          <w:szCs w:val="28"/>
          <w:lang w:eastAsia="ru-RU"/>
        </w:rPr>
      </w:pPr>
      <w:r w:rsidRPr="00E90D50">
        <w:rPr>
          <w:sz w:val="28"/>
          <w:szCs w:val="28"/>
          <w:lang w:eastAsia="ru-RU"/>
        </w:rPr>
        <w:t>Снижение выбросов на 7,2 тыс.</w:t>
      </w:r>
      <w:r w:rsidR="00E35E43">
        <w:rPr>
          <w:sz w:val="28"/>
          <w:szCs w:val="28"/>
          <w:lang w:eastAsia="ru-RU"/>
        </w:rPr>
        <w:t xml:space="preserve"> </w:t>
      </w:r>
      <w:r w:rsidRPr="00E90D50">
        <w:rPr>
          <w:sz w:val="28"/>
          <w:szCs w:val="28"/>
          <w:lang w:eastAsia="ru-RU"/>
        </w:rPr>
        <w:t>т</w:t>
      </w:r>
      <w:r w:rsidR="00E35E43">
        <w:rPr>
          <w:sz w:val="28"/>
          <w:szCs w:val="28"/>
          <w:lang w:eastAsia="ru-RU"/>
        </w:rPr>
        <w:t>онн</w:t>
      </w:r>
      <w:r w:rsidRPr="00E90D50">
        <w:rPr>
          <w:sz w:val="28"/>
          <w:szCs w:val="28"/>
          <w:lang w:eastAsia="ru-RU"/>
        </w:rPr>
        <w:t xml:space="preserve"> или на 19%</w:t>
      </w:r>
      <w:r>
        <w:rPr>
          <w:sz w:val="28"/>
          <w:szCs w:val="28"/>
          <w:lang w:eastAsia="ru-RU"/>
        </w:rPr>
        <w:t xml:space="preserve"> </w:t>
      </w:r>
      <w:r w:rsidRPr="00E90D50">
        <w:rPr>
          <w:sz w:val="28"/>
          <w:szCs w:val="28"/>
          <w:lang w:eastAsia="ru-RU"/>
        </w:rPr>
        <w:t>связано с уменьшением объема выпуска продукции в отчетном периоде (по ряду предприятий), а также с выполнением  мероприятий  по  уменьшению  выбросов  загрязняющих  веществ в атмосферу.</w:t>
      </w:r>
    </w:p>
    <w:p w14:paraId="422C5E89" w14:textId="5AA0E728" w:rsidR="00E90D50" w:rsidRPr="00E90D50" w:rsidRDefault="00E90D50" w:rsidP="00E35E43">
      <w:pPr>
        <w:suppressAutoHyphens w:val="0"/>
        <w:spacing w:line="276" w:lineRule="auto"/>
        <w:ind w:firstLine="720"/>
        <w:rPr>
          <w:sz w:val="28"/>
          <w:szCs w:val="28"/>
          <w:highlight w:val="cyan"/>
          <w:lang w:eastAsia="ru-RU"/>
        </w:rPr>
      </w:pPr>
      <w:r w:rsidRPr="00E90D50">
        <w:rPr>
          <w:sz w:val="28"/>
          <w:szCs w:val="28"/>
          <w:lang w:eastAsia="ru-RU"/>
        </w:rPr>
        <w:t xml:space="preserve">Наряду с этим, в администрацию городского округа Тольятти поступают  обращения от жителей о наличии в атмосферном воздухе химического запаха  преимущественно в периоды неблагоприятных метеорологических условий (НМУ). Доля количества дней с НМУ составляет в среднем 50% от общего количества календарных дней в году. За </w:t>
      </w:r>
      <w:r w:rsidR="00B81A11">
        <w:rPr>
          <w:sz w:val="28"/>
          <w:szCs w:val="28"/>
          <w:lang w:val="en-US" w:eastAsia="ru-RU"/>
        </w:rPr>
        <w:t>I</w:t>
      </w:r>
      <w:r w:rsidRPr="00E90D50">
        <w:rPr>
          <w:sz w:val="28"/>
          <w:szCs w:val="28"/>
          <w:lang w:eastAsia="ru-RU"/>
        </w:rPr>
        <w:t xml:space="preserve"> полугодие 2021 года количество дней с НМУ составило 123 дня – 68% от общего количества календарных дней в соответствующем периоде.</w:t>
      </w:r>
    </w:p>
    <w:p w14:paraId="3B337DDE" w14:textId="70FE770B" w:rsidR="00E90D50" w:rsidRPr="00E90D50" w:rsidRDefault="00E90D50" w:rsidP="00E35E43">
      <w:pPr>
        <w:suppressAutoHyphens w:val="0"/>
        <w:spacing w:line="276" w:lineRule="auto"/>
        <w:ind w:firstLine="720"/>
        <w:rPr>
          <w:sz w:val="28"/>
          <w:szCs w:val="28"/>
          <w:lang w:eastAsia="ru-RU"/>
        </w:rPr>
      </w:pPr>
      <w:r w:rsidRPr="00E90D50">
        <w:rPr>
          <w:sz w:val="28"/>
          <w:szCs w:val="28"/>
          <w:lang w:eastAsia="ru-RU"/>
        </w:rPr>
        <w:t xml:space="preserve">При этом по данным государственного мониторинга, проводимого ФГБУ «Приволжское УГМС» на 8 стационарных постах наблюдения за загрязнением атмосферы по 23 основным загрязнителям ежегодно фиксируется незначительное количество проб с превышением установленных нормативов (не более 0,2% проб от общего количества отобранных). </w:t>
      </w:r>
    </w:p>
    <w:p w14:paraId="41708E28" w14:textId="77777777" w:rsidR="00E90D50" w:rsidRPr="00E90D50" w:rsidRDefault="00E90D50" w:rsidP="00E35E43">
      <w:pPr>
        <w:suppressAutoHyphens w:val="0"/>
        <w:spacing w:line="276" w:lineRule="auto"/>
        <w:ind w:firstLine="720"/>
        <w:rPr>
          <w:sz w:val="28"/>
          <w:szCs w:val="28"/>
          <w:lang w:eastAsia="ru-RU"/>
        </w:rPr>
      </w:pPr>
      <w:r w:rsidRPr="00E90D50">
        <w:rPr>
          <w:sz w:val="28"/>
          <w:szCs w:val="28"/>
          <w:lang w:eastAsia="ru-RU"/>
        </w:rPr>
        <w:t xml:space="preserve">Обращения граждан, как правило, содержат информацию о наличии специфического химического запаха, раздражающего органы дыхания. В период появления запаха государственной системой мониторинга также </w:t>
      </w:r>
      <w:r w:rsidRPr="00E90D50">
        <w:rPr>
          <w:sz w:val="28"/>
          <w:szCs w:val="28"/>
          <w:lang w:eastAsia="ru-RU"/>
        </w:rPr>
        <w:lastRenderedPageBreak/>
        <w:t xml:space="preserve">фиксируются незначительные превышения предельно-допустимых концентраций загрязняющих веществ, либо вообще не фиксируются. </w:t>
      </w:r>
    </w:p>
    <w:p w14:paraId="3D13279D" w14:textId="4F497540" w:rsidR="00E35E43" w:rsidRPr="00E35E43" w:rsidRDefault="00E35E43" w:rsidP="00E35E43">
      <w:pPr>
        <w:suppressAutoHyphens w:val="0"/>
        <w:spacing w:line="276" w:lineRule="auto"/>
        <w:ind w:firstLine="720"/>
        <w:rPr>
          <w:sz w:val="28"/>
          <w:szCs w:val="28"/>
          <w:lang w:eastAsia="ru-RU"/>
        </w:rPr>
      </w:pPr>
      <w:r w:rsidRPr="00E35E43">
        <w:rPr>
          <w:sz w:val="28"/>
          <w:szCs w:val="28"/>
          <w:lang w:eastAsia="ru-RU"/>
        </w:rPr>
        <w:t>Таким образом, ухудшение качества атмосферного воздуха в городском округе Тольятти связано не с превышением предельно-допустимых концентраций загрязняющих веществ, а с наличием раздражающих запахов.</w:t>
      </w:r>
    </w:p>
    <w:p w14:paraId="461ABCF4" w14:textId="2AD0EDFA" w:rsidR="00E35E43" w:rsidRPr="00E35E43" w:rsidRDefault="00E35E43" w:rsidP="00E35E43">
      <w:pPr>
        <w:suppressAutoHyphens w:val="0"/>
        <w:spacing w:line="276" w:lineRule="auto"/>
        <w:ind w:firstLine="720"/>
        <w:rPr>
          <w:sz w:val="28"/>
          <w:szCs w:val="28"/>
          <w:lang w:eastAsia="ru-RU"/>
        </w:rPr>
      </w:pPr>
      <w:r w:rsidRPr="00E35E43">
        <w:rPr>
          <w:sz w:val="28"/>
          <w:szCs w:val="28"/>
          <w:lang w:eastAsia="ru-RU"/>
        </w:rPr>
        <w:t xml:space="preserve">В целях совместного решения проблемных вопросов экологии, при Администрации </w:t>
      </w:r>
      <w:r w:rsidR="00B23793">
        <w:rPr>
          <w:sz w:val="28"/>
          <w:szCs w:val="28"/>
          <w:lang w:eastAsia="ar-SA"/>
        </w:rPr>
        <w:t>городского округа Тольятти</w:t>
      </w:r>
      <w:r w:rsidR="00B23793" w:rsidRPr="00E35E43">
        <w:rPr>
          <w:sz w:val="28"/>
          <w:szCs w:val="28"/>
          <w:lang w:eastAsia="ru-RU"/>
        </w:rPr>
        <w:t xml:space="preserve"> </w:t>
      </w:r>
      <w:r w:rsidRPr="00E35E43">
        <w:rPr>
          <w:sz w:val="28"/>
          <w:szCs w:val="28"/>
          <w:lang w:eastAsia="ru-RU"/>
        </w:rPr>
        <w:t xml:space="preserve">создана Рабочая группа по разработке мер, направленных на улучшение экологической ситуации (далее </w:t>
      </w:r>
      <w:r>
        <w:rPr>
          <w:sz w:val="28"/>
          <w:szCs w:val="28"/>
          <w:lang w:eastAsia="ru-RU"/>
        </w:rPr>
        <w:t xml:space="preserve">по разделу </w:t>
      </w:r>
      <w:r w:rsidRPr="00E35E43">
        <w:rPr>
          <w:sz w:val="28"/>
          <w:szCs w:val="28"/>
          <w:lang w:eastAsia="ru-RU"/>
        </w:rPr>
        <w:t xml:space="preserve">– Рабочая группа) в составе представителей надзорных органов, Думы городского округа Тольятти, промпредприятий, образовательных учреждений, общественных организаций. </w:t>
      </w:r>
    </w:p>
    <w:p w14:paraId="0ACFBAE7" w14:textId="611E1788" w:rsidR="00E35E43" w:rsidRPr="00E35E43" w:rsidRDefault="00E35E43" w:rsidP="00E35E43">
      <w:pPr>
        <w:suppressAutoHyphens w:val="0"/>
        <w:spacing w:line="276" w:lineRule="auto"/>
        <w:ind w:firstLine="720"/>
        <w:rPr>
          <w:sz w:val="28"/>
          <w:szCs w:val="28"/>
          <w:lang w:eastAsia="ru-RU"/>
        </w:rPr>
      </w:pPr>
      <w:r w:rsidRPr="00E35E43">
        <w:rPr>
          <w:sz w:val="28"/>
          <w:szCs w:val="28"/>
          <w:lang w:eastAsia="ru-RU"/>
        </w:rPr>
        <w:t xml:space="preserve">По итогам работы Рабочей группы в 2019-2020 гг., впервые в городском округе Тольятти, проведена научно-исследовательская работа ТГУ по комплексному определению состава атмосферного воздуха в городском округе Тольятти (далее </w:t>
      </w:r>
      <w:r>
        <w:rPr>
          <w:sz w:val="28"/>
          <w:szCs w:val="28"/>
          <w:lang w:eastAsia="ru-RU"/>
        </w:rPr>
        <w:t xml:space="preserve">по разделу </w:t>
      </w:r>
      <w:r w:rsidRPr="00E35E43">
        <w:rPr>
          <w:sz w:val="28"/>
          <w:szCs w:val="28"/>
          <w:lang w:eastAsia="ru-RU"/>
        </w:rPr>
        <w:t xml:space="preserve">– НИР ТГУ). Электронная версия итогового отчета о НИР в полном объеме размещена на официальном портале </w:t>
      </w:r>
      <w:r>
        <w:rPr>
          <w:sz w:val="28"/>
          <w:szCs w:val="28"/>
          <w:lang w:eastAsia="ru-RU"/>
        </w:rPr>
        <w:t>а</w:t>
      </w:r>
      <w:r w:rsidRPr="00E35E43">
        <w:rPr>
          <w:sz w:val="28"/>
          <w:szCs w:val="28"/>
          <w:lang w:eastAsia="ru-RU"/>
        </w:rPr>
        <w:t>дминистрации</w:t>
      </w:r>
      <w:r>
        <w:rPr>
          <w:sz w:val="28"/>
          <w:szCs w:val="28"/>
          <w:lang w:eastAsia="ru-RU"/>
        </w:rPr>
        <w:t xml:space="preserve"> городского округа Тольятти </w:t>
      </w:r>
      <w:r w:rsidRPr="00E35E43">
        <w:rPr>
          <w:sz w:val="28"/>
          <w:szCs w:val="28"/>
          <w:lang w:eastAsia="ru-RU"/>
        </w:rPr>
        <w:t xml:space="preserve"> (</w:t>
      </w:r>
      <w:hyperlink r:id="rId11" w:history="1">
        <w:r w:rsidRPr="00E35E43">
          <w:rPr>
            <w:rStyle w:val="aff7"/>
            <w:sz w:val="28"/>
            <w:szCs w:val="28"/>
            <w:lang w:eastAsia="ru-RU"/>
          </w:rPr>
          <w:t>https://tgl.ru/structure/department/ekologicheskaya-obstanovka/14595/</w:t>
        </w:r>
      </w:hyperlink>
      <w:r w:rsidRPr="00E35E43">
        <w:rPr>
          <w:sz w:val="28"/>
          <w:szCs w:val="28"/>
          <w:lang w:eastAsia="ru-RU"/>
        </w:rPr>
        <w:t>)</w:t>
      </w:r>
      <w:r>
        <w:rPr>
          <w:sz w:val="28"/>
          <w:szCs w:val="28"/>
          <w:lang w:eastAsia="ru-RU"/>
        </w:rPr>
        <w:t xml:space="preserve"> </w:t>
      </w:r>
      <w:r w:rsidRPr="00E35E43">
        <w:rPr>
          <w:sz w:val="28"/>
          <w:szCs w:val="28"/>
          <w:lang w:eastAsia="ru-RU"/>
        </w:rPr>
        <w:t>в открытом доступе.</w:t>
      </w:r>
    </w:p>
    <w:p w14:paraId="5E41F6B9" w14:textId="77777777" w:rsidR="00E35E43" w:rsidRPr="00E35E43" w:rsidRDefault="00E35E43" w:rsidP="00E35E43">
      <w:pPr>
        <w:suppressAutoHyphens w:val="0"/>
        <w:spacing w:line="276" w:lineRule="auto"/>
        <w:ind w:firstLine="720"/>
        <w:rPr>
          <w:sz w:val="28"/>
          <w:szCs w:val="28"/>
          <w:lang w:eastAsia="ru-RU"/>
        </w:rPr>
      </w:pPr>
      <w:r w:rsidRPr="00E35E43">
        <w:rPr>
          <w:sz w:val="28"/>
          <w:szCs w:val="28"/>
          <w:lang w:eastAsia="ru-RU"/>
        </w:rPr>
        <w:t>В результате выполненных исследований с использованием современных высокоинформативных методов физико-химического анализа сформирован список приоритетных загрязнителей атмосферного воздуха г.о. Тольятти. Согласно представленным данным, основными токсичными загрязнителями воздуха можно считать органические соединения, которые с высокой долей вероятности, можно отнести к промышленным загрязнителям и компонентам автомобильного топлива и продуктам его сгорания.</w:t>
      </w:r>
    </w:p>
    <w:p w14:paraId="23A30A00" w14:textId="77777777" w:rsidR="00E35E43" w:rsidRPr="00E35E43" w:rsidRDefault="00E35E43" w:rsidP="00E35E43">
      <w:pPr>
        <w:suppressAutoHyphens w:val="0"/>
        <w:spacing w:line="276" w:lineRule="auto"/>
        <w:ind w:firstLine="720"/>
        <w:rPr>
          <w:sz w:val="28"/>
          <w:szCs w:val="28"/>
          <w:lang w:eastAsia="ru-RU"/>
        </w:rPr>
      </w:pPr>
      <w:r w:rsidRPr="00E35E43">
        <w:rPr>
          <w:sz w:val="28"/>
          <w:szCs w:val="28"/>
          <w:lang w:eastAsia="ru-RU"/>
        </w:rPr>
        <w:t>Как отметили эксперты НИР, в основном жалобы на неприятный запах, возникающий в разных районах Тольятти при наступлении неблагоприятных метеоусловий, вероятно, обусловлен выбросами предприятий Северного промузла Центрального района города. Индивидуальные компоненты этих выбросов обладают сильным запахом, однако среди них не обнаруживаются высокотоксичные вещества, относящиеся к первому классу опасности.</w:t>
      </w:r>
    </w:p>
    <w:p w14:paraId="40C35FF7" w14:textId="0EB7A0A9" w:rsidR="00E35E43" w:rsidRPr="00E35E43" w:rsidRDefault="00E35E43" w:rsidP="00E35E43">
      <w:pPr>
        <w:suppressAutoHyphens w:val="0"/>
        <w:spacing w:line="276" w:lineRule="auto"/>
        <w:ind w:firstLine="720"/>
        <w:rPr>
          <w:sz w:val="28"/>
          <w:szCs w:val="28"/>
          <w:lang w:eastAsia="ru-RU"/>
        </w:rPr>
      </w:pPr>
      <w:r w:rsidRPr="00E35E43">
        <w:rPr>
          <w:sz w:val="28"/>
          <w:szCs w:val="28"/>
          <w:lang w:eastAsia="ru-RU"/>
        </w:rPr>
        <w:t xml:space="preserve">Согласно федеральному законодательству предприятия химической промышленности Северного промузла Центрального района являются объектами, подлежащими федеральному государственному экологическому надзору (контролю). На территории Самарской области федеральный государственный экологический надзор (контроль) осуществляет </w:t>
      </w:r>
      <w:r w:rsidRPr="00E35E43">
        <w:rPr>
          <w:sz w:val="28"/>
          <w:szCs w:val="28"/>
          <w:lang w:eastAsia="ru-RU"/>
        </w:rPr>
        <w:lastRenderedPageBreak/>
        <w:t xml:space="preserve">Межрегиональное управление Росприроднадзора по Самарской и Ульяновской областям (далее </w:t>
      </w:r>
      <w:r>
        <w:rPr>
          <w:sz w:val="28"/>
          <w:szCs w:val="28"/>
          <w:lang w:eastAsia="ru-RU"/>
        </w:rPr>
        <w:t xml:space="preserve">по разделу </w:t>
      </w:r>
      <w:r w:rsidRPr="00E35E43">
        <w:rPr>
          <w:sz w:val="28"/>
          <w:szCs w:val="28"/>
          <w:lang w:eastAsia="ru-RU"/>
        </w:rPr>
        <w:t xml:space="preserve">- Росприроднадзор).  </w:t>
      </w:r>
    </w:p>
    <w:p w14:paraId="224568E3" w14:textId="73C1F78C" w:rsidR="00E35E43" w:rsidRPr="00E35E43" w:rsidRDefault="00E35E43" w:rsidP="00E35E43">
      <w:pPr>
        <w:suppressAutoHyphens w:val="0"/>
        <w:spacing w:line="276" w:lineRule="auto"/>
        <w:ind w:firstLine="720"/>
        <w:rPr>
          <w:sz w:val="28"/>
          <w:szCs w:val="28"/>
          <w:lang w:eastAsia="ru-RU"/>
        </w:rPr>
      </w:pPr>
      <w:r w:rsidRPr="00E35E43">
        <w:rPr>
          <w:sz w:val="28"/>
          <w:szCs w:val="28"/>
          <w:lang w:eastAsia="ru-RU"/>
        </w:rPr>
        <w:t xml:space="preserve">Данные обо всех фактах превышения ПДК веществ в атмосферном воздухе направляются </w:t>
      </w:r>
      <w:r w:rsidR="00B23793">
        <w:rPr>
          <w:sz w:val="28"/>
          <w:szCs w:val="28"/>
          <w:lang w:eastAsia="ru-RU"/>
        </w:rPr>
        <w:t>а</w:t>
      </w:r>
      <w:r w:rsidRPr="00E35E43">
        <w:rPr>
          <w:sz w:val="28"/>
          <w:szCs w:val="28"/>
          <w:lang w:eastAsia="ru-RU"/>
        </w:rPr>
        <w:t xml:space="preserve">дминистрацией </w:t>
      </w:r>
      <w:r w:rsidR="00B23793">
        <w:rPr>
          <w:sz w:val="28"/>
          <w:szCs w:val="28"/>
          <w:lang w:eastAsia="ar-SA"/>
        </w:rPr>
        <w:t>городского округа Тольятти</w:t>
      </w:r>
      <w:r w:rsidR="00B23793" w:rsidRPr="00E35E43">
        <w:rPr>
          <w:sz w:val="28"/>
          <w:szCs w:val="28"/>
          <w:lang w:eastAsia="ru-RU"/>
        </w:rPr>
        <w:t xml:space="preserve"> </w:t>
      </w:r>
      <w:r w:rsidRPr="00E35E43">
        <w:rPr>
          <w:sz w:val="28"/>
          <w:szCs w:val="28"/>
          <w:lang w:eastAsia="ru-RU"/>
        </w:rPr>
        <w:t>в Росприроднадзор и другие надзорные органы  для принятия мер в рамках компетенции в отношении потенциальных источников загрязнения.</w:t>
      </w:r>
    </w:p>
    <w:p w14:paraId="5BD5A45B" w14:textId="77777777" w:rsidR="00E35E43" w:rsidRPr="00E35E43" w:rsidRDefault="00E35E43" w:rsidP="00E35E43">
      <w:pPr>
        <w:suppressAutoHyphens w:val="0"/>
        <w:spacing w:line="276" w:lineRule="auto"/>
        <w:ind w:firstLine="720"/>
        <w:rPr>
          <w:sz w:val="28"/>
          <w:szCs w:val="28"/>
          <w:lang w:eastAsia="ru-RU"/>
        </w:rPr>
      </w:pPr>
      <w:r w:rsidRPr="00E35E43">
        <w:rPr>
          <w:sz w:val="28"/>
          <w:szCs w:val="28"/>
          <w:lang w:eastAsia="ru-RU"/>
        </w:rPr>
        <w:t xml:space="preserve">Необходимо отметить, что запах в атмосферном воздухе формируется не отдельным веществом, а сложной смесью веществ различного состава, часто присутствующих в смеси в крайне незначительных количествах. </w:t>
      </w:r>
    </w:p>
    <w:p w14:paraId="2E0F135F" w14:textId="61385698" w:rsidR="00E35E43" w:rsidRPr="00E35E43" w:rsidRDefault="00E35E43" w:rsidP="00E35E43">
      <w:pPr>
        <w:suppressAutoHyphens w:val="0"/>
        <w:spacing w:line="276" w:lineRule="auto"/>
        <w:ind w:firstLine="720"/>
        <w:rPr>
          <w:sz w:val="28"/>
          <w:szCs w:val="28"/>
          <w:lang w:eastAsia="ru-RU"/>
        </w:rPr>
      </w:pPr>
      <w:r w:rsidRPr="00E35E43">
        <w:rPr>
          <w:sz w:val="28"/>
          <w:szCs w:val="28"/>
          <w:lang w:eastAsia="ru-RU"/>
        </w:rPr>
        <w:t xml:space="preserve">В Российской Федерации на законодательном уровне отсутствуют правовые основания для определения и установления нормативов запаха и его мониторинга. Решение проблемы лежит в законодательной плоскости. Администрацией </w:t>
      </w:r>
      <w:r w:rsidR="00B23793">
        <w:rPr>
          <w:sz w:val="28"/>
          <w:szCs w:val="28"/>
          <w:lang w:eastAsia="ar-SA"/>
        </w:rPr>
        <w:t>городского округа Тольятти</w:t>
      </w:r>
      <w:r w:rsidR="00B23793" w:rsidRPr="00E35E43">
        <w:rPr>
          <w:sz w:val="28"/>
          <w:szCs w:val="28"/>
          <w:lang w:eastAsia="ru-RU"/>
        </w:rPr>
        <w:t xml:space="preserve"> </w:t>
      </w:r>
      <w:r w:rsidRPr="00E35E43">
        <w:rPr>
          <w:sz w:val="28"/>
          <w:szCs w:val="28"/>
          <w:lang w:eastAsia="ru-RU"/>
        </w:rPr>
        <w:t>дважды направлено соответствующее обращение в целях продвижения Законопроекта, предполагающего введение новых понятий «запах» и «региональный норматив запаха», а также установление  дополнительных полномочий органов государственной власти.</w:t>
      </w:r>
    </w:p>
    <w:p w14:paraId="1366F4F6" w14:textId="77777777" w:rsidR="00E35E43" w:rsidRPr="00E35E43" w:rsidRDefault="00E35E43" w:rsidP="00E35E43">
      <w:pPr>
        <w:suppressAutoHyphens w:val="0"/>
        <w:spacing w:line="276" w:lineRule="auto"/>
        <w:ind w:firstLine="720"/>
        <w:rPr>
          <w:sz w:val="28"/>
          <w:szCs w:val="28"/>
          <w:lang w:eastAsia="ru-RU"/>
        </w:rPr>
      </w:pPr>
      <w:r w:rsidRPr="00E35E43">
        <w:rPr>
          <w:sz w:val="28"/>
          <w:szCs w:val="28"/>
          <w:lang w:eastAsia="ru-RU"/>
        </w:rPr>
        <w:t xml:space="preserve">В итоговом отчете о НИР ТГУ представлены рекомендации по улучшению экологической обстановки в Тольятти. Они включают блоки мероприятий, направленные на снижение выбросов от предприятий и автотранспорта, озеленение и благоустройство города, организацию мониторинга загрязняющих веществ, совершенствование имеющихся законодательных актов. </w:t>
      </w:r>
    </w:p>
    <w:p w14:paraId="6FD045D9" w14:textId="7E1E72AC" w:rsidR="00E35E43" w:rsidRPr="00E35E43" w:rsidRDefault="00E35E43" w:rsidP="00E35E43">
      <w:pPr>
        <w:suppressAutoHyphens w:val="0"/>
        <w:spacing w:line="276" w:lineRule="auto"/>
        <w:ind w:firstLine="720"/>
        <w:rPr>
          <w:sz w:val="28"/>
          <w:szCs w:val="28"/>
          <w:lang w:eastAsia="ru-RU"/>
        </w:rPr>
      </w:pPr>
      <w:r w:rsidRPr="00E35E43">
        <w:rPr>
          <w:sz w:val="28"/>
          <w:szCs w:val="28"/>
          <w:lang w:eastAsia="ru-RU"/>
        </w:rPr>
        <w:t xml:space="preserve">Выводы и рекомендации НИР послужили основой для разработки администрацией городского округа Тольятти «Дорожной карты (комплексного плана) по обеспечению кардинального снижения уровня загрязнения атмосферного воздуха в городском округе Тольятти на 2021-2024 годы» (далее </w:t>
      </w:r>
      <w:r>
        <w:rPr>
          <w:sz w:val="28"/>
          <w:szCs w:val="28"/>
          <w:lang w:eastAsia="ru-RU"/>
        </w:rPr>
        <w:t xml:space="preserve">по разделу </w:t>
      </w:r>
      <w:r w:rsidRPr="00E35E43">
        <w:rPr>
          <w:sz w:val="28"/>
          <w:szCs w:val="28"/>
          <w:lang w:eastAsia="ru-RU"/>
        </w:rPr>
        <w:t xml:space="preserve">- «Дорожная карта»). </w:t>
      </w:r>
    </w:p>
    <w:p w14:paraId="241496C9" w14:textId="219FC394" w:rsidR="00E35E43" w:rsidRPr="00E35E43" w:rsidRDefault="00E35E43" w:rsidP="00E35E43">
      <w:pPr>
        <w:suppressAutoHyphens w:val="0"/>
        <w:spacing w:line="276" w:lineRule="auto"/>
        <w:ind w:firstLine="720"/>
        <w:rPr>
          <w:sz w:val="28"/>
          <w:szCs w:val="28"/>
          <w:lang w:eastAsia="ru-RU"/>
        </w:rPr>
      </w:pPr>
      <w:r w:rsidRPr="00E35E43">
        <w:rPr>
          <w:sz w:val="28"/>
          <w:szCs w:val="28"/>
          <w:lang w:eastAsia="ru-RU"/>
        </w:rPr>
        <w:t>В марте 2021 г</w:t>
      </w:r>
      <w:r>
        <w:rPr>
          <w:sz w:val="28"/>
          <w:szCs w:val="28"/>
          <w:lang w:eastAsia="ru-RU"/>
        </w:rPr>
        <w:t>ода</w:t>
      </w:r>
      <w:r w:rsidRPr="00E35E43">
        <w:rPr>
          <w:sz w:val="28"/>
          <w:szCs w:val="28"/>
          <w:lang w:eastAsia="ru-RU"/>
        </w:rPr>
        <w:t xml:space="preserve"> «Дорожная карта» представлена в министерство лесного хозяйства, охраны окружающей среды и природопользования Самарской области, а также в Думу городского округа Тольятти во исполнение Решения Думы городского округа Тольятти от 17.02.2021 № 849.</w:t>
      </w:r>
    </w:p>
    <w:p w14:paraId="5D29F8AB" w14:textId="77777777" w:rsidR="00F41472" w:rsidRDefault="00F41472" w:rsidP="00A4120F">
      <w:pPr>
        <w:numPr>
          <w:ilvl w:val="0"/>
          <w:numId w:val="5"/>
        </w:numPr>
        <w:tabs>
          <w:tab w:val="left" w:pos="142"/>
          <w:tab w:val="left" w:pos="9720"/>
        </w:tabs>
        <w:suppressAutoHyphens w:val="0"/>
        <w:spacing w:before="120" w:after="200" w:line="276" w:lineRule="auto"/>
        <w:textAlignment w:val="top"/>
        <w:rPr>
          <w:sz w:val="28"/>
          <w:szCs w:val="28"/>
          <w:highlight w:val="yellow"/>
          <w:lang w:eastAsia="ru-RU"/>
        </w:rPr>
      </w:pPr>
    </w:p>
    <w:p w14:paraId="42115513" w14:textId="77777777" w:rsidR="00562DC3" w:rsidRDefault="00562DC3" w:rsidP="0048723E">
      <w:pPr>
        <w:widowControl w:val="0"/>
        <w:ind w:firstLine="0"/>
        <w:rPr>
          <w:rFonts w:eastAsia="Calibri"/>
          <w:sz w:val="28"/>
          <w:szCs w:val="28"/>
        </w:rPr>
      </w:pPr>
    </w:p>
    <w:p w14:paraId="592762E5" w14:textId="77777777" w:rsidR="00562DC3" w:rsidRDefault="00562DC3" w:rsidP="0048723E">
      <w:pPr>
        <w:widowControl w:val="0"/>
        <w:ind w:firstLine="0"/>
        <w:rPr>
          <w:rFonts w:eastAsia="Calibri"/>
          <w:sz w:val="28"/>
          <w:szCs w:val="28"/>
        </w:rPr>
      </w:pPr>
    </w:p>
    <w:p w14:paraId="3219D829" w14:textId="2DF989C7" w:rsidR="00552507" w:rsidRPr="008253D3" w:rsidRDefault="00074159" w:rsidP="0048723E">
      <w:pPr>
        <w:widowControl w:val="0"/>
        <w:ind w:firstLine="0"/>
        <w:rPr>
          <w:rFonts w:eastAsia="Calibri"/>
          <w:sz w:val="28"/>
          <w:szCs w:val="28"/>
        </w:rPr>
      </w:pPr>
      <w:r w:rsidRPr="008253D3">
        <w:rPr>
          <w:rFonts w:eastAsia="Calibri"/>
          <w:sz w:val="28"/>
          <w:szCs w:val="28"/>
        </w:rPr>
        <w:t>Р</w:t>
      </w:r>
      <w:r w:rsidR="00552507" w:rsidRPr="008253D3">
        <w:rPr>
          <w:rFonts w:eastAsia="Calibri"/>
          <w:sz w:val="28"/>
          <w:szCs w:val="28"/>
        </w:rPr>
        <w:t>уководител</w:t>
      </w:r>
      <w:r w:rsidR="005319C7" w:rsidRPr="008253D3">
        <w:rPr>
          <w:rFonts w:eastAsia="Calibri"/>
          <w:sz w:val="28"/>
          <w:szCs w:val="28"/>
        </w:rPr>
        <w:t>ь</w:t>
      </w:r>
      <w:r w:rsidR="00552507" w:rsidRPr="008253D3">
        <w:rPr>
          <w:rFonts w:eastAsia="Calibri"/>
          <w:sz w:val="28"/>
          <w:szCs w:val="28"/>
        </w:rPr>
        <w:t xml:space="preserve"> департамента </w:t>
      </w:r>
    </w:p>
    <w:p w14:paraId="24867191" w14:textId="150C5390" w:rsidR="00C40086" w:rsidRPr="008253D3" w:rsidRDefault="00B659B4" w:rsidP="00FF61B0">
      <w:pPr>
        <w:widowControl w:val="0"/>
        <w:tabs>
          <w:tab w:val="left" w:pos="8080"/>
        </w:tabs>
        <w:ind w:firstLine="0"/>
        <w:rPr>
          <w:rFonts w:eastAsia="Calibri"/>
          <w:sz w:val="28"/>
          <w:szCs w:val="28"/>
        </w:rPr>
      </w:pPr>
      <w:r>
        <w:rPr>
          <w:rFonts w:eastAsia="Calibri"/>
          <w:sz w:val="28"/>
          <w:szCs w:val="28"/>
        </w:rPr>
        <w:t>э</w:t>
      </w:r>
      <w:r w:rsidR="00552507" w:rsidRPr="008253D3">
        <w:rPr>
          <w:rFonts w:eastAsia="Calibri"/>
          <w:sz w:val="28"/>
          <w:szCs w:val="28"/>
        </w:rPr>
        <w:t>кономического</w:t>
      </w:r>
      <w:r>
        <w:rPr>
          <w:rFonts w:eastAsia="Calibri"/>
          <w:sz w:val="28"/>
          <w:szCs w:val="28"/>
        </w:rPr>
        <w:t xml:space="preserve"> </w:t>
      </w:r>
      <w:r w:rsidR="00552507" w:rsidRPr="008253D3">
        <w:rPr>
          <w:rFonts w:eastAsia="Calibri"/>
          <w:sz w:val="28"/>
          <w:szCs w:val="28"/>
        </w:rPr>
        <w:t>развития</w:t>
      </w:r>
      <w:r>
        <w:rPr>
          <w:rFonts w:eastAsia="Calibri"/>
          <w:sz w:val="28"/>
          <w:szCs w:val="28"/>
        </w:rPr>
        <w:t xml:space="preserve">                                                               </w:t>
      </w:r>
      <w:proofErr w:type="spellStart"/>
      <w:r w:rsidR="0048723E" w:rsidRPr="008253D3">
        <w:rPr>
          <w:rFonts w:eastAsia="Calibri"/>
          <w:sz w:val="28"/>
          <w:szCs w:val="28"/>
        </w:rPr>
        <w:t>Е.В.Базаева</w:t>
      </w:r>
      <w:proofErr w:type="spellEnd"/>
    </w:p>
    <w:p w14:paraId="54BF84E4" w14:textId="77777777" w:rsidR="002C47EC" w:rsidRPr="008253D3" w:rsidRDefault="00A50BA4" w:rsidP="002C47EC">
      <w:pPr>
        <w:widowControl w:val="0"/>
        <w:rPr>
          <w:rFonts w:eastAsia="Calibri"/>
          <w:sz w:val="28"/>
          <w:szCs w:val="28"/>
        </w:rPr>
      </w:pPr>
      <w:r w:rsidRPr="008253D3">
        <w:rPr>
          <w:rFonts w:eastAsia="Calibri"/>
          <w:sz w:val="28"/>
          <w:szCs w:val="28"/>
        </w:rPr>
        <w:tab/>
      </w:r>
    </w:p>
    <w:p w14:paraId="494E05A1" w14:textId="4CE0E287" w:rsidR="00A50BA4" w:rsidRPr="00B659B4" w:rsidRDefault="00A1310C" w:rsidP="0048723E">
      <w:pPr>
        <w:widowControl w:val="0"/>
        <w:ind w:firstLine="0"/>
        <w:rPr>
          <w:szCs w:val="24"/>
        </w:rPr>
      </w:pPr>
      <w:r w:rsidRPr="00B659B4">
        <w:rPr>
          <w:rFonts w:eastAsia="Calibri"/>
          <w:szCs w:val="24"/>
        </w:rPr>
        <w:t>Кончева Н.В.</w:t>
      </w:r>
      <w:r w:rsidR="005F638D" w:rsidRPr="00B659B4">
        <w:rPr>
          <w:rFonts w:eastAsia="Calibri"/>
          <w:szCs w:val="24"/>
        </w:rPr>
        <w:t>, 54-32-76</w:t>
      </w:r>
    </w:p>
    <w:sectPr w:rsidR="00A50BA4" w:rsidRPr="00B659B4" w:rsidSect="00792212">
      <w:headerReference w:type="default" r:id="rId12"/>
      <w:pgSz w:w="11906" w:h="16838"/>
      <w:pgMar w:top="1134" w:right="851" w:bottom="1134" w:left="1701"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D1F95" w14:textId="77777777" w:rsidR="00BD362D" w:rsidRDefault="00BD362D">
      <w:r>
        <w:separator/>
      </w:r>
    </w:p>
  </w:endnote>
  <w:endnote w:type="continuationSeparator" w:id="0">
    <w:p w14:paraId="101F124F" w14:textId="77777777" w:rsidR="00BD362D" w:rsidRDefault="00BD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441D7" w14:textId="77777777" w:rsidR="00BD362D" w:rsidRDefault="00BD362D">
      <w:r>
        <w:separator/>
      </w:r>
    </w:p>
  </w:footnote>
  <w:footnote w:type="continuationSeparator" w:id="0">
    <w:p w14:paraId="5C622E81" w14:textId="77777777" w:rsidR="00BD362D" w:rsidRDefault="00BD362D">
      <w:r>
        <w:continuationSeparator/>
      </w:r>
    </w:p>
  </w:footnote>
  <w:footnote w:id="1">
    <w:p w14:paraId="752EB190" w14:textId="77777777" w:rsidR="00120C25" w:rsidRPr="00C13E7E" w:rsidRDefault="00120C25" w:rsidP="00961AC6">
      <w:pPr>
        <w:pStyle w:val="aff"/>
        <w:rPr>
          <w:sz w:val="18"/>
          <w:szCs w:val="18"/>
        </w:rPr>
      </w:pPr>
      <w:r w:rsidRPr="00C13E7E">
        <w:rPr>
          <w:rStyle w:val="affb"/>
          <w:sz w:val="18"/>
          <w:szCs w:val="18"/>
        </w:rPr>
        <w:footnoteRef/>
      </w:r>
      <w:r w:rsidRPr="00C13E7E">
        <w:rPr>
          <w:sz w:val="18"/>
          <w:szCs w:val="18"/>
        </w:rPr>
        <w:t xml:space="preserve"> http://economy.samregion.ru/activity/mun_razv/reitingi/gorodskie-okruga/.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F2D2" w14:textId="77777777" w:rsidR="00120C25" w:rsidRDefault="00120C25">
    <w:pPr>
      <w:pStyle w:val="af7"/>
      <w:jc w:val="center"/>
    </w:pPr>
    <w:r>
      <w:fldChar w:fldCharType="begin"/>
    </w:r>
    <w:r>
      <w:instrText xml:space="preserve"> PAGE </w:instrText>
    </w:r>
    <w:r>
      <w:fldChar w:fldCharType="separate"/>
    </w:r>
    <w:r w:rsidR="00282B08">
      <w:rPr>
        <w:noProof/>
      </w:rPr>
      <w:t>1</w:t>
    </w:r>
    <w:r>
      <w:rPr>
        <w:noProof/>
      </w:rPr>
      <w:fldChar w:fldCharType="end"/>
    </w:r>
  </w:p>
  <w:p w14:paraId="71671251" w14:textId="77777777" w:rsidR="00120C25" w:rsidRDefault="00120C25">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pStyle w:val="7"/>
      <w:suff w:val="nothing"/>
      <w:lvlText w:val=""/>
      <w:lvlJc w:val="left"/>
      <w:pPr>
        <w:tabs>
          <w:tab w:val="num" w:pos="0"/>
        </w:tabs>
        <w:ind w:left="1296" w:hanging="1296"/>
      </w:pPr>
      <w:rPr>
        <w:rFonts w:cs="Times New Roman"/>
      </w:rPr>
    </w:lvl>
    <w:lvl w:ilvl="7">
      <w:start w:val="1"/>
      <w:numFmt w:val="none"/>
      <w:pStyle w:val="8"/>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15:restartNumberingAfterBreak="0">
    <w:nsid w:val="0000000B"/>
    <w:multiLevelType w:val="singleLevel"/>
    <w:tmpl w:val="0000000B"/>
    <w:name w:val="WW8Num20"/>
    <w:lvl w:ilvl="0">
      <w:start w:val="1"/>
      <w:numFmt w:val="bullet"/>
      <w:lvlText w:val=""/>
      <w:lvlJc w:val="left"/>
      <w:pPr>
        <w:tabs>
          <w:tab w:val="num" w:pos="-180"/>
        </w:tabs>
        <w:ind w:left="180" w:hanging="360"/>
      </w:pPr>
      <w:rPr>
        <w:rFonts w:ascii="Symbol" w:hAnsi="Symbol" w:cs="Symbol"/>
      </w:rPr>
    </w:lvl>
  </w:abstractNum>
  <w:abstractNum w:abstractNumId="4" w15:restartNumberingAfterBreak="0">
    <w:nsid w:val="069A6F1D"/>
    <w:multiLevelType w:val="hybridMultilevel"/>
    <w:tmpl w:val="7454473C"/>
    <w:lvl w:ilvl="0" w:tplc="77628C3C">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15:restartNumberingAfterBreak="0">
    <w:nsid w:val="0ED23F6F"/>
    <w:multiLevelType w:val="hybridMultilevel"/>
    <w:tmpl w:val="996E78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F530EEE"/>
    <w:multiLevelType w:val="hybridMultilevel"/>
    <w:tmpl w:val="9000DC68"/>
    <w:lvl w:ilvl="0" w:tplc="1BEC7E02">
      <w:start w:val="4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09605F1"/>
    <w:multiLevelType w:val="hybridMultilevel"/>
    <w:tmpl w:val="A47E07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7450F6"/>
    <w:multiLevelType w:val="hybridMultilevel"/>
    <w:tmpl w:val="E264BE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A1631D"/>
    <w:multiLevelType w:val="hybridMultilevel"/>
    <w:tmpl w:val="D222F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F746F4"/>
    <w:multiLevelType w:val="hybridMultilevel"/>
    <w:tmpl w:val="CA0E289E"/>
    <w:lvl w:ilvl="0" w:tplc="3DF8BF70">
      <w:start w:val="1"/>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354B4E1C"/>
    <w:multiLevelType w:val="hybridMultilevel"/>
    <w:tmpl w:val="7A2EA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3F2D36"/>
    <w:multiLevelType w:val="hybridMultilevel"/>
    <w:tmpl w:val="22AA41DC"/>
    <w:lvl w:ilvl="0" w:tplc="94CE4436">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49311A52"/>
    <w:multiLevelType w:val="hybridMultilevel"/>
    <w:tmpl w:val="E3D2A776"/>
    <w:lvl w:ilvl="0" w:tplc="8AD0F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FF944B4"/>
    <w:multiLevelType w:val="hybridMultilevel"/>
    <w:tmpl w:val="A428FBBE"/>
    <w:lvl w:ilvl="0" w:tplc="55B225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530A5D15"/>
    <w:multiLevelType w:val="hybridMultilevel"/>
    <w:tmpl w:val="3E0CE002"/>
    <w:lvl w:ilvl="0" w:tplc="B0E48E2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672D46"/>
    <w:multiLevelType w:val="hybridMultilevel"/>
    <w:tmpl w:val="85EE8240"/>
    <w:lvl w:ilvl="0" w:tplc="C65C3A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5F0D47E8"/>
    <w:multiLevelType w:val="hybridMultilevel"/>
    <w:tmpl w:val="9580BB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0D3588F"/>
    <w:multiLevelType w:val="hybridMultilevel"/>
    <w:tmpl w:val="F558D436"/>
    <w:lvl w:ilvl="0" w:tplc="D1125C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7C040711"/>
    <w:multiLevelType w:val="hybridMultilevel"/>
    <w:tmpl w:val="8096684C"/>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20" w15:restartNumberingAfterBreak="0">
    <w:nsid w:val="7CFB0CBC"/>
    <w:multiLevelType w:val="hybridMultilevel"/>
    <w:tmpl w:val="66AC2B6A"/>
    <w:lvl w:ilvl="0" w:tplc="3104EC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 w:numId="3">
    <w:abstractNumId w:val="2"/>
  </w:num>
  <w:num w:numId="4">
    <w:abstractNumId w:val="1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4"/>
  </w:num>
  <w:num w:numId="8">
    <w:abstractNumId w:val="5"/>
  </w:num>
  <w:num w:numId="9">
    <w:abstractNumId w:val="18"/>
  </w:num>
  <w:num w:numId="10">
    <w:abstractNumId w:val="20"/>
  </w:num>
  <w:num w:numId="11">
    <w:abstractNumId w:val="7"/>
  </w:num>
  <w:num w:numId="12">
    <w:abstractNumId w:val="14"/>
  </w:num>
  <w:num w:numId="13">
    <w:abstractNumId w:val="19"/>
  </w:num>
  <w:num w:numId="14">
    <w:abstractNumId w:val="9"/>
  </w:num>
  <w:num w:numId="15">
    <w:abstractNumId w:val="13"/>
  </w:num>
  <w:num w:numId="16">
    <w:abstractNumId w:val="6"/>
  </w:num>
  <w:num w:numId="17">
    <w:abstractNumId w:val="8"/>
  </w:num>
  <w:num w:numId="18">
    <w:abstractNumId w:val="3"/>
  </w:num>
  <w:num w:numId="19">
    <w:abstractNumId w:val="11"/>
  </w:num>
  <w:num w:numId="20">
    <w:abstractNumId w:val="17"/>
  </w:num>
  <w:num w:numId="21">
    <w:abstractNumId w:val="1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0A8"/>
    <w:rsid w:val="000007C6"/>
    <w:rsid w:val="00000D3B"/>
    <w:rsid w:val="00000D7A"/>
    <w:rsid w:val="00000DB9"/>
    <w:rsid w:val="00001381"/>
    <w:rsid w:val="00001F11"/>
    <w:rsid w:val="00002636"/>
    <w:rsid w:val="00003FA1"/>
    <w:rsid w:val="00004325"/>
    <w:rsid w:val="00006079"/>
    <w:rsid w:val="00007622"/>
    <w:rsid w:val="000105F2"/>
    <w:rsid w:val="00010D06"/>
    <w:rsid w:val="000114D5"/>
    <w:rsid w:val="00012904"/>
    <w:rsid w:val="00012FC0"/>
    <w:rsid w:val="00014594"/>
    <w:rsid w:val="000145B6"/>
    <w:rsid w:val="000154F6"/>
    <w:rsid w:val="0001660B"/>
    <w:rsid w:val="0001678C"/>
    <w:rsid w:val="0001717F"/>
    <w:rsid w:val="00017390"/>
    <w:rsid w:val="00017E75"/>
    <w:rsid w:val="000203F9"/>
    <w:rsid w:val="000209B8"/>
    <w:rsid w:val="00021662"/>
    <w:rsid w:val="00021708"/>
    <w:rsid w:val="00021EC8"/>
    <w:rsid w:val="00021F14"/>
    <w:rsid w:val="0002266D"/>
    <w:rsid w:val="00022A8E"/>
    <w:rsid w:val="00022EEA"/>
    <w:rsid w:val="00023714"/>
    <w:rsid w:val="00025111"/>
    <w:rsid w:val="0002631F"/>
    <w:rsid w:val="00026601"/>
    <w:rsid w:val="000266F9"/>
    <w:rsid w:val="00027DB6"/>
    <w:rsid w:val="0003059F"/>
    <w:rsid w:val="00030683"/>
    <w:rsid w:val="000308E8"/>
    <w:rsid w:val="00030C71"/>
    <w:rsid w:val="000316E5"/>
    <w:rsid w:val="0003336A"/>
    <w:rsid w:val="00033382"/>
    <w:rsid w:val="00034112"/>
    <w:rsid w:val="000343C8"/>
    <w:rsid w:val="00034540"/>
    <w:rsid w:val="00034B55"/>
    <w:rsid w:val="00034D05"/>
    <w:rsid w:val="000355FA"/>
    <w:rsid w:val="00035637"/>
    <w:rsid w:val="00035AF4"/>
    <w:rsid w:val="00035FAE"/>
    <w:rsid w:val="000361BF"/>
    <w:rsid w:val="000361CC"/>
    <w:rsid w:val="00036307"/>
    <w:rsid w:val="00036D9B"/>
    <w:rsid w:val="00037DBC"/>
    <w:rsid w:val="00040813"/>
    <w:rsid w:val="00040910"/>
    <w:rsid w:val="00041093"/>
    <w:rsid w:val="000420C4"/>
    <w:rsid w:val="00042595"/>
    <w:rsid w:val="00044238"/>
    <w:rsid w:val="000447D9"/>
    <w:rsid w:val="00044BD7"/>
    <w:rsid w:val="00044D69"/>
    <w:rsid w:val="00045EE6"/>
    <w:rsid w:val="000461F5"/>
    <w:rsid w:val="0004675F"/>
    <w:rsid w:val="00047010"/>
    <w:rsid w:val="00047083"/>
    <w:rsid w:val="000471E0"/>
    <w:rsid w:val="00047828"/>
    <w:rsid w:val="0005141D"/>
    <w:rsid w:val="0005237A"/>
    <w:rsid w:val="00052CC0"/>
    <w:rsid w:val="0005370E"/>
    <w:rsid w:val="00053D89"/>
    <w:rsid w:val="000558C7"/>
    <w:rsid w:val="00055BD3"/>
    <w:rsid w:val="0005613F"/>
    <w:rsid w:val="00056B5C"/>
    <w:rsid w:val="00057272"/>
    <w:rsid w:val="000578C9"/>
    <w:rsid w:val="000604DF"/>
    <w:rsid w:val="0006149C"/>
    <w:rsid w:val="0006286B"/>
    <w:rsid w:val="00062D16"/>
    <w:rsid w:val="000630E5"/>
    <w:rsid w:val="000648E6"/>
    <w:rsid w:val="00065118"/>
    <w:rsid w:val="0006581E"/>
    <w:rsid w:val="0006670E"/>
    <w:rsid w:val="00066E74"/>
    <w:rsid w:val="000672B5"/>
    <w:rsid w:val="00067BA5"/>
    <w:rsid w:val="00070DA2"/>
    <w:rsid w:val="00072DB6"/>
    <w:rsid w:val="00074159"/>
    <w:rsid w:val="00074376"/>
    <w:rsid w:val="0007494B"/>
    <w:rsid w:val="00075511"/>
    <w:rsid w:val="00076DD1"/>
    <w:rsid w:val="00077747"/>
    <w:rsid w:val="000779F0"/>
    <w:rsid w:val="00077D23"/>
    <w:rsid w:val="000821C9"/>
    <w:rsid w:val="00082903"/>
    <w:rsid w:val="00084E27"/>
    <w:rsid w:val="000855F9"/>
    <w:rsid w:val="00090080"/>
    <w:rsid w:val="0009090B"/>
    <w:rsid w:val="0009173C"/>
    <w:rsid w:val="000930C4"/>
    <w:rsid w:val="000932D5"/>
    <w:rsid w:val="00093E1E"/>
    <w:rsid w:val="00093EC9"/>
    <w:rsid w:val="00094DE7"/>
    <w:rsid w:val="00095150"/>
    <w:rsid w:val="00095C66"/>
    <w:rsid w:val="00095D52"/>
    <w:rsid w:val="00096551"/>
    <w:rsid w:val="000A214A"/>
    <w:rsid w:val="000A276D"/>
    <w:rsid w:val="000A2FDD"/>
    <w:rsid w:val="000A315C"/>
    <w:rsid w:val="000A35E6"/>
    <w:rsid w:val="000A372A"/>
    <w:rsid w:val="000A3D5D"/>
    <w:rsid w:val="000A469F"/>
    <w:rsid w:val="000A5B43"/>
    <w:rsid w:val="000A5FFF"/>
    <w:rsid w:val="000A6441"/>
    <w:rsid w:val="000A6988"/>
    <w:rsid w:val="000A7005"/>
    <w:rsid w:val="000A702F"/>
    <w:rsid w:val="000B04AD"/>
    <w:rsid w:val="000B0A37"/>
    <w:rsid w:val="000B16D3"/>
    <w:rsid w:val="000B1CDE"/>
    <w:rsid w:val="000B2048"/>
    <w:rsid w:val="000B230E"/>
    <w:rsid w:val="000B2CF6"/>
    <w:rsid w:val="000B3238"/>
    <w:rsid w:val="000B33C3"/>
    <w:rsid w:val="000B37F9"/>
    <w:rsid w:val="000B55CF"/>
    <w:rsid w:val="000B6108"/>
    <w:rsid w:val="000B6339"/>
    <w:rsid w:val="000B7481"/>
    <w:rsid w:val="000B763D"/>
    <w:rsid w:val="000C0544"/>
    <w:rsid w:val="000C0964"/>
    <w:rsid w:val="000C1CFC"/>
    <w:rsid w:val="000C4812"/>
    <w:rsid w:val="000C521E"/>
    <w:rsid w:val="000C5517"/>
    <w:rsid w:val="000C60F8"/>
    <w:rsid w:val="000C72C2"/>
    <w:rsid w:val="000C73C9"/>
    <w:rsid w:val="000C7967"/>
    <w:rsid w:val="000D0A06"/>
    <w:rsid w:val="000D15D8"/>
    <w:rsid w:val="000D1764"/>
    <w:rsid w:val="000D2102"/>
    <w:rsid w:val="000D373A"/>
    <w:rsid w:val="000D3FB7"/>
    <w:rsid w:val="000D5F59"/>
    <w:rsid w:val="000D5F86"/>
    <w:rsid w:val="000D6067"/>
    <w:rsid w:val="000D625A"/>
    <w:rsid w:val="000D65F2"/>
    <w:rsid w:val="000D680D"/>
    <w:rsid w:val="000E0026"/>
    <w:rsid w:val="000E0070"/>
    <w:rsid w:val="000E0B35"/>
    <w:rsid w:val="000E1C05"/>
    <w:rsid w:val="000E21EE"/>
    <w:rsid w:val="000E3B4F"/>
    <w:rsid w:val="000E4BAA"/>
    <w:rsid w:val="000E5264"/>
    <w:rsid w:val="000E5757"/>
    <w:rsid w:val="000E5F1C"/>
    <w:rsid w:val="000E6A18"/>
    <w:rsid w:val="000E6B9A"/>
    <w:rsid w:val="000E7694"/>
    <w:rsid w:val="000F2C3F"/>
    <w:rsid w:val="000F38A2"/>
    <w:rsid w:val="000F4707"/>
    <w:rsid w:val="000F5365"/>
    <w:rsid w:val="000F5D50"/>
    <w:rsid w:val="000F6FCF"/>
    <w:rsid w:val="000F7134"/>
    <w:rsid w:val="000F746B"/>
    <w:rsid w:val="000F750F"/>
    <w:rsid w:val="000F778D"/>
    <w:rsid w:val="00100D23"/>
    <w:rsid w:val="00100E26"/>
    <w:rsid w:val="0010160E"/>
    <w:rsid w:val="00101706"/>
    <w:rsid w:val="0010177F"/>
    <w:rsid w:val="00102828"/>
    <w:rsid w:val="0010299D"/>
    <w:rsid w:val="00107F63"/>
    <w:rsid w:val="00110699"/>
    <w:rsid w:val="00110A0E"/>
    <w:rsid w:val="00112977"/>
    <w:rsid w:val="0011346A"/>
    <w:rsid w:val="001137DB"/>
    <w:rsid w:val="001144E4"/>
    <w:rsid w:val="00114F76"/>
    <w:rsid w:val="00114F92"/>
    <w:rsid w:val="001159F3"/>
    <w:rsid w:val="00115D41"/>
    <w:rsid w:val="001176BE"/>
    <w:rsid w:val="00117ADB"/>
    <w:rsid w:val="00120C25"/>
    <w:rsid w:val="00121538"/>
    <w:rsid w:val="001217FA"/>
    <w:rsid w:val="00121AEE"/>
    <w:rsid w:val="001222AA"/>
    <w:rsid w:val="00122A0C"/>
    <w:rsid w:val="001230CF"/>
    <w:rsid w:val="0012357A"/>
    <w:rsid w:val="00123A7D"/>
    <w:rsid w:val="00123DEF"/>
    <w:rsid w:val="00123F4E"/>
    <w:rsid w:val="001252A0"/>
    <w:rsid w:val="0013060D"/>
    <w:rsid w:val="00130B51"/>
    <w:rsid w:val="00130DA4"/>
    <w:rsid w:val="00130FF5"/>
    <w:rsid w:val="00131A7B"/>
    <w:rsid w:val="00132EE4"/>
    <w:rsid w:val="00133CE0"/>
    <w:rsid w:val="001340F7"/>
    <w:rsid w:val="0013410D"/>
    <w:rsid w:val="001344E4"/>
    <w:rsid w:val="00134880"/>
    <w:rsid w:val="00134BAD"/>
    <w:rsid w:val="00134EB1"/>
    <w:rsid w:val="001352A3"/>
    <w:rsid w:val="001401FE"/>
    <w:rsid w:val="00140D9A"/>
    <w:rsid w:val="001412E1"/>
    <w:rsid w:val="0014133C"/>
    <w:rsid w:val="0014212F"/>
    <w:rsid w:val="00143109"/>
    <w:rsid w:val="00143143"/>
    <w:rsid w:val="0014323C"/>
    <w:rsid w:val="00143875"/>
    <w:rsid w:val="00144617"/>
    <w:rsid w:val="00144B3F"/>
    <w:rsid w:val="00144F51"/>
    <w:rsid w:val="00145F62"/>
    <w:rsid w:val="0014678A"/>
    <w:rsid w:val="001479D2"/>
    <w:rsid w:val="00147A4E"/>
    <w:rsid w:val="001500E7"/>
    <w:rsid w:val="00150E4F"/>
    <w:rsid w:val="00151614"/>
    <w:rsid w:val="00152108"/>
    <w:rsid w:val="00152387"/>
    <w:rsid w:val="00152576"/>
    <w:rsid w:val="001527B8"/>
    <w:rsid w:val="0015336A"/>
    <w:rsid w:val="001536D2"/>
    <w:rsid w:val="00153A3A"/>
    <w:rsid w:val="00153B9D"/>
    <w:rsid w:val="0015472F"/>
    <w:rsid w:val="00155DCC"/>
    <w:rsid w:val="00156875"/>
    <w:rsid w:val="00161D52"/>
    <w:rsid w:val="00162AA2"/>
    <w:rsid w:val="00163383"/>
    <w:rsid w:val="00163E05"/>
    <w:rsid w:val="0016546B"/>
    <w:rsid w:val="001659E8"/>
    <w:rsid w:val="00166C79"/>
    <w:rsid w:val="001671E2"/>
    <w:rsid w:val="00167E99"/>
    <w:rsid w:val="0017075F"/>
    <w:rsid w:val="00171AEB"/>
    <w:rsid w:val="001722D1"/>
    <w:rsid w:val="0017361F"/>
    <w:rsid w:val="00174517"/>
    <w:rsid w:val="00174B55"/>
    <w:rsid w:val="00175E32"/>
    <w:rsid w:val="00176C70"/>
    <w:rsid w:val="00177095"/>
    <w:rsid w:val="0017762F"/>
    <w:rsid w:val="00181CDE"/>
    <w:rsid w:val="001822F1"/>
    <w:rsid w:val="00182532"/>
    <w:rsid w:val="00182F98"/>
    <w:rsid w:val="0018310E"/>
    <w:rsid w:val="0018329D"/>
    <w:rsid w:val="001837CB"/>
    <w:rsid w:val="00184201"/>
    <w:rsid w:val="00184265"/>
    <w:rsid w:val="00184ED7"/>
    <w:rsid w:val="00185030"/>
    <w:rsid w:val="0018541F"/>
    <w:rsid w:val="00186591"/>
    <w:rsid w:val="00186BB0"/>
    <w:rsid w:val="00186D9A"/>
    <w:rsid w:val="001877B9"/>
    <w:rsid w:val="0018782E"/>
    <w:rsid w:val="00187AC1"/>
    <w:rsid w:val="00187C8C"/>
    <w:rsid w:val="00187E07"/>
    <w:rsid w:val="00191994"/>
    <w:rsid w:val="00192D4A"/>
    <w:rsid w:val="00193191"/>
    <w:rsid w:val="001945F2"/>
    <w:rsid w:val="00194DE6"/>
    <w:rsid w:val="00195594"/>
    <w:rsid w:val="00195A96"/>
    <w:rsid w:val="00195E24"/>
    <w:rsid w:val="00196C5D"/>
    <w:rsid w:val="00197010"/>
    <w:rsid w:val="001A0382"/>
    <w:rsid w:val="001A1C96"/>
    <w:rsid w:val="001A1E5D"/>
    <w:rsid w:val="001A4E08"/>
    <w:rsid w:val="001A5499"/>
    <w:rsid w:val="001A587D"/>
    <w:rsid w:val="001A5D06"/>
    <w:rsid w:val="001A650B"/>
    <w:rsid w:val="001A75B1"/>
    <w:rsid w:val="001B0BDD"/>
    <w:rsid w:val="001B1A42"/>
    <w:rsid w:val="001B2844"/>
    <w:rsid w:val="001B2F61"/>
    <w:rsid w:val="001B38A7"/>
    <w:rsid w:val="001B4DAC"/>
    <w:rsid w:val="001B56A5"/>
    <w:rsid w:val="001B56FC"/>
    <w:rsid w:val="001B585E"/>
    <w:rsid w:val="001B67B7"/>
    <w:rsid w:val="001B6970"/>
    <w:rsid w:val="001B6A79"/>
    <w:rsid w:val="001B7C9E"/>
    <w:rsid w:val="001C0044"/>
    <w:rsid w:val="001C0500"/>
    <w:rsid w:val="001C0638"/>
    <w:rsid w:val="001C0C40"/>
    <w:rsid w:val="001C1106"/>
    <w:rsid w:val="001C13A2"/>
    <w:rsid w:val="001C26BC"/>
    <w:rsid w:val="001C2AC2"/>
    <w:rsid w:val="001C3FED"/>
    <w:rsid w:val="001C4394"/>
    <w:rsid w:val="001C48D7"/>
    <w:rsid w:val="001C4C7B"/>
    <w:rsid w:val="001C5E83"/>
    <w:rsid w:val="001C685D"/>
    <w:rsid w:val="001C6CCE"/>
    <w:rsid w:val="001C72D8"/>
    <w:rsid w:val="001C7BA0"/>
    <w:rsid w:val="001D0AB2"/>
    <w:rsid w:val="001D1658"/>
    <w:rsid w:val="001D2C63"/>
    <w:rsid w:val="001D3079"/>
    <w:rsid w:val="001D468A"/>
    <w:rsid w:val="001D6AFD"/>
    <w:rsid w:val="001D7EDE"/>
    <w:rsid w:val="001D7F51"/>
    <w:rsid w:val="001E1E26"/>
    <w:rsid w:val="001E2140"/>
    <w:rsid w:val="001E3B88"/>
    <w:rsid w:val="001E3FAB"/>
    <w:rsid w:val="001E4143"/>
    <w:rsid w:val="001E4304"/>
    <w:rsid w:val="001E50C5"/>
    <w:rsid w:val="001E521E"/>
    <w:rsid w:val="001E53FA"/>
    <w:rsid w:val="001E67F3"/>
    <w:rsid w:val="001E6966"/>
    <w:rsid w:val="001E6E29"/>
    <w:rsid w:val="001F09B3"/>
    <w:rsid w:val="001F1839"/>
    <w:rsid w:val="001F24D4"/>
    <w:rsid w:val="001F48B0"/>
    <w:rsid w:val="001F4ABD"/>
    <w:rsid w:val="001F4E94"/>
    <w:rsid w:val="001F5761"/>
    <w:rsid w:val="001F5AB6"/>
    <w:rsid w:val="001F6122"/>
    <w:rsid w:val="001F76D7"/>
    <w:rsid w:val="00200853"/>
    <w:rsid w:val="002022CD"/>
    <w:rsid w:val="0020274E"/>
    <w:rsid w:val="00203520"/>
    <w:rsid w:val="0020368E"/>
    <w:rsid w:val="00204BD7"/>
    <w:rsid w:val="00205ECE"/>
    <w:rsid w:val="00206BF5"/>
    <w:rsid w:val="00207323"/>
    <w:rsid w:val="00207688"/>
    <w:rsid w:val="0021124E"/>
    <w:rsid w:val="00211A23"/>
    <w:rsid w:val="00211B38"/>
    <w:rsid w:val="00211E4E"/>
    <w:rsid w:val="00214E7B"/>
    <w:rsid w:val="002162B5"/>
    <w:rsid w:val="002167C7"/>
    <w:rsid w:val="00217DA2"/>
    <w:rsid w:val="0022026E"/>
    <w:rsid w:val="00220D51"/>
    <w:rsid w:val="00220E21"/>
    <w:rsid w:val="002211E1"/>
    <w:rsid w:val="00221CF4"/>
    <w:rsid w:val="00222EF4"/>
    <w:rsid w:val="00224B44"/>
    <w:rsid w:val="00224B4F"/>
    <w:rsid w:val="00224EB2"/>
    <w:rsid w:val="00224F08"/>
    <w:rsid w:val="00226B4C"/>
    <w:rsid w:val="0022710F"/>
    <w:rsid w:val="00227FDE"/>
    <w:rsid w:val="0023072F"/>
    <w:rsid w:val="00230791"/>
    <w:rsid w:val="002312A5"/>
    <w:rsid w:val="002333FC"/>
    <w:rsid w:val="0023482F"/>
    <w:rsid w:val="002366A7"/>
    <w:rsid w:val="00237449"/>
    <w:rsid w:val="00240A4D"/>
    <w:rsid w:val="00241C27"/>
    <w:rsid w:val="00241DB8"/>
    <w:rsid w:val="0024206C"/>
    <w:rsid w:val="002421C7"/>
    <w:rsid w:val="002421EC"/>
    <w:rsid w:val="00242B0C"/>
    <w:rsid w:val="00242DB1"/>
    <w:rsid w:val="00242FA8"/>
    <w:rsid w:val="00243A7E"/>
    <w:rsid w:val="00246F0D"/>
    <w:rsid w:val="002473F6"/>
    <w:rsid w:val="00247E8A"/>
    <w:rsid w:val="002504AC"/>
    <w:rsid w:val="00250556"/>
    <w:rsid w:val="0025141D"/>
    <w:rsid w:val="00251693"/>
    <w:rsid w:val="00251DD3"/>
    <w:rsid w:val="0025242F"/>
    <w:rsid w:val="002525E8"/>
    <w:rsid w:val="00252C91"/>
    <w:rsid w:val="00253082"/>
    <w:rsid w:val="00253551"/>
    <w:rsid w:val="00253F67"/>
    <w:rsid w:val="002546FC"/>
    <w:rsid w:val="00255B85"/>
    <w:rsid w:val="00255BA3"/>
    <w:rsid w:val="00255CF8"/>
    <w:rsid w:val="00256C36"/>
    <w:rsid w:val="00256C45"/>
    <w:rsid w:val="002574EC"/>
    <w:rsid w:val="00257C94"/>
    <w:rsid w:val="002600B1"/>
    <w:rsid w:val="00261604"/>
    <w:rsid w:val="00261A6E"/>
    <w:rsid w:val="00262AC7"/>
    <w:rsid w:val="00263DE4"/>
    <w:rsid w:val="0026455C"/>
    <w:rsid w:val="00264926"/>
    <w:rsid w:val="00264FBD"/>
    <w:rsid w:val="0026589B"/>
    <w:rsid w:val="00266321"/>
    <w:rsid w:val="002663E9"/>
    <w:rsid w:val="00266419"/>
    <w:rsid w:val="00267938"/>
    <w:rsid w:val="00270AC4"/>
    <w:rsid w:val="00270D94"/>
    <w:rsid w:val="00271409"/>
    <w:rsid w:val="00272724"/>
    <w:rsid w:val="0027426F"/>
    <w:rsid w:val="002742CE"/>
    <w:rsid w:val="00274806"/>
    <w:rsid w:val="00274C2E"/>
    <w:rsid w:val="002756DD"/>
    <w:rsid w:val="00275A62"/>
    <w:rsid w:val="00276468"/>
    <w:rsid w:val="002764C2"/>
    <w:rsid w:val="002766EE"/>
    <w:rsid w:val="0027674B"/>
    <w:rsid w:val="00276829"/>
    <w:rsid w:val="00276D5E"/>
    <w:rsid w:val="00280277"/>
    <w:rsid w:val="002802E1"/>
    <w:rsid w:val="00280760"/>
    <w:rsid w:val="00281C91"/>
    <w:rsid w:val="002822DB"/>
    <w:rsid w:val="00282625"/>
    <w:rsid w:val="00282B08"/>
    <w:rsid w:val="00283D66"/>
    <w:rsid w:val="00283FF5"/>
    <w:rsid w:val="002841C9"/>
    <w:rsid w:val="00284999"/>
    <w:rsid w:val="0028609A"/>
    <w:rsid w:val="0028646C"/>
    <w:rsid w:val="00287CE2"/>
    <w:rsid w:val="002903D8"/>
    <w:rsid w:val="0029233B"/>
    <w:rsid w:val="002923F5"/>
    <w:rsid w:val="00292871"/>
    <w:rsid w:val="00294480"/>
    <w:rsid w:val="002949F5"/>
    <w:rsid w:val="00294AA3"/>
    <w:rsid w:val="00294BAB"/>
    <w:rsid w:val="00294CA1"/>
    <w:rsid w:val="00294CC6"/>
    <w:rsid w:val="002951FD"/>
    <w:rsid w:val="00295875"/>
    <w:rsid w:val="00295A01"/>
    <w:rsid w:val="00296A3F"/>
    <w:rsid w:val="0029758C"/>
    <w:rsid w:val="002A026C"/>
    <w:rsid w:val="002A0CAD"/>
    <w:rsid w:val="002A2389"/>
    <w:rsid w:val="002A2DBE"/>
    <w:rsid w:val="002A32D1"/>
    <w:rsid w:val="002A386D"/>
    <w:rsid w:val="002A4366"/>
    <w:rsid w:val="002A4BA9"/>
    <w:rsid w:val="002A4BDE"/>
    <w:rsid w:val="002A5241"/>
    <w:rsid w:val="002A65CC"/>
    <w:rsid w:val="002A789C"/>
    <w:rsid w:val="002B0189"/>
    <w:rsid w:val="002B0660"/>
    <w:rsid w:val="002B0A15"/>
    <w:rsid w:val="002B0A9C"/>
    <w:rsid w:val="002B19D9"/>
    <w:rsid w:val="002B2437"/>
    <w:rsid w:val="002B2C96"/>
    <w:rsid w:val="002B382C"/>
    <w:rsid w:val="002B3D0F"/>
    <w:rsid w:val="002B40E8"/>
    <w:rsid w:val="002B427D"/>
    <w:rsid w:val="002B5024"/>
    <w:rsid w:val="002B6471"/>
    <w:rsid w:val="002B6960"/>
    <w:rsid w:val="002B6B82"/>
    <w:rsid w:val="002B7B2F"/>
    <w:rsid w:val="002C02AE"/>
    <w:rsid w:val="002C0CE6"/>
    <w:rsid w:val="002C1058"/>
    <w:rsid w:val="002C113E"/>
    <w:rsid w:val="002C1248"/>
    <w:rsid w:val="002C29BD"/>
    <w:rsid w:val="002C45DB"/>
    <w:rsid w:val="002C47EC"/>
    <w:rsid w:val="002C4A18"/>
    <w:rsid w:val="002C4D6C"/>
    <w:rsid w:val="002C6A11"/>
    <w:rsid w:val="002D0FA0"/>
    <w:rsid w:val="002D218C"/>
    <w:rsid w:val="002D3207"/>
    <w:rsid w:val="002D689A"/>
    <w:rsid w:val="002D7AB3"/>
    <w:rsid w:val="002E114C"/>
    <w:rsid w:val="002E1824"/>
    <w:rsid w:val="002E2771"/>
    <w:rsid w:val="002E281A"/>
    <w:rsid w:val="002E2E87"/>
    <w:rsid w:val="002E3A48"/>
    <w:rsid w:val="002E4072"/>
    <w:rsid w:val="002E4DA4"/>
    <w:rsid w:val="002E4FC0"/>
    <w:rsid w:val="002E53C1"/>
    <w:rsid w:val="002E5815"/>
    <w:rsid w:val="002E756D"/>
    <w:rsid w:val="002F127A"/>
    <w:rsid w:val="002F1CCE"/>
    <w:rsid w:val="002F31F7"/>
    <w:rsid w:val="002F3AD0"/>
    <w:rsid w:val="002F42D0"/>
    <w:rsid w:val="002F4919"/>
    <w:rsid w:val="002F5CB7"/>
    <w:rsid w:val="002F6950"/>
    <w:rsid w:val="002F7A00"/>
    <w:rsid w:val="002F7BFD"/>
    <w:rsid w:val="00300FF8"/>
    <w:rsid w:val="00302822"/>
    <w:rsid w:val="00303B57"/>
    <w:rsid w:val="0030413B"/>
    <w:rsid w:val="00305C4E"/>
    <w:rsid w:val="00307119"/>
    <w:rsid w:val="0030735E"/>
    <w:rsid w:val="0030769A"/>
    <w:rsid w:val="00307822"/>
    <w:rsid w:val="00307943"/>
    <w:rsid w:val="00310CD0"/>
    <w:rsid w:val="003120DE"/>
    <w:rsid w:val="00312B3A"/>
    <w:rsid w:val="003132E4"/>
    <w:rsid w:val="0031346E"/>
    <w:rsid w:val="00313C3B"/>
    <w:rsid w:val="0031526C"/>
    <w:rsid w:val="00316125"/>
    <w:rsid w:val="003165B6"/>
    <w:rsid w:val="003168E7"/>
    <w:rsid w:val="00317C62"/>
    <w:rsid w:val="003206B6"/>
    <w:rsid w:val="00320E0B"/>
    <w:rsid w:val="00321E62"/>
    <w:rsid w:val="003220AD"/>
    <w:rsid w:val="003223CB"/>
    <w:rsid w:val="003227FD"/>
    <w:rsid w:val="00322960"/>
    <w:rsid w:val="00323267"/>
    <w:rsid w:val="00323830"/>
    <w:rsid w:val="00323D36"/>
    <w:rsid w:val="00323FBB"/>
    <w:rsid w:val="00324BA6"/>
    <w:rsid w:val="003250E6"/>
    <w:rsid w:val="0032558C"/>
    <w:rsid w:val="00326226"/>
    <w:rsid w:val="00326ED6"/>
    <w:rsid w:val="00330778"/>
    <w:rsid w:val="0033116F"/>
    <w:rsid w:val="00331414"/>
    <w:rsid w:val="00331740"/>
    <w:rsid w:val="00331A4E"/>
    <w:rsid w:val="003323D7"/>
    <w:rsid w:val="00333823"/>
    <w:rsid w:val="0033425F"/>
    <w:rsid w:val="00334672"/>
    <w:rsid w:val="00334ED8"/>
    <w:rsid w:val="003366ED"/>
    <w:rsid w:val="00336EFF"/>
    <w:rsid w:val="00337129"/>
    <w:rsid w:val="003402BB"/>
    <w:rsid w:val="00340C80"/>
    <w:rsid w:val="0034264B"/>
    <w:rsid w:val="00342822"/>
    <w:rsid w:val="003434B7"/>
    <w:rsid w:val="00343764"/>
    <w:rsid w:val="00343D9D"/>
    <w:rsid w:val="00343E7E"/>
    <w:rsid w:val="00344442"/>
    <w:rsid w:val="00345BF3"/>
    <w:rsid w:val="00345CD6"/>
    <w:rsid w:val="00346B8F"/>
    <w:rsid w:val="00346E6E"/>
    <w:rsid w:val="00350049"/>
    <w:rsid w:val="00350D81"/>
    <w:rsid w:val="0035385C"/>
    <w:rsid w:val="003549AF"/>
    <w:rsid w:val="00354A0B"/>
    <w:rsid w:val="00355505"/>
    <w:rsid w:val="00355BB1"/>
    <w:rsid w:val="00356A06"/>
    <w:rsid w:val="00356B26"/>
    <w:rsid w:val="00357298"/>
    <w:rsid w:val="00361837"/>
    <w:rsid w:val="00362A83"/>
    <w:rsid w:val="00363361"/>
    <w:rsid w:val="003639CA"/>
    <w:rsid w:val="00365B99"/>
    <w:rsid w:val="00365DC1"/>
    <w:rsid w:val="0036741E"/>
    <w:rsid w:val="003675EA"/>
    <w:rsid w:val="00370A1A"/>
    <w:rsid w:val="00370F4C"/>
    <w:rsid w:val="00370FDE"/>
    <w:rsid w:val="00371353"/>
    <w:rsid w:val="00371518"/>
    <w:rsid w:val="00371F70"/>
    <w:rsid w:val="003725DD"/>
    <w:rsid w:val="00374742"/>
    <w:rsid w:val="00374873"/>
    <w:rsid w:val="003749DB"/>
    <w:rsid w:val="00374EF9"/>
    <w:rsid w:val="00374F38"/>
    <w:rsid w:val="00376BCA"/>
    <w:rsid w:val="00380B73"/>
    <w:rsid w:val="00380BFA"/>
    <w:rsid w:val="00381155"/>
    <w:rsid w:val="0038334C"/>
    <w:rsid w:val="003837EF"/>
    <w:rsid w:val="003838F4"/>
    <w:rsid w:val="0038399C"/>
    <w:rsid w:val="00383B9B"/>
    <w:rsid w:val="00385123"/>
    <w:rsid w:val="00385EA4"/>
    <w:rsid w:val="00387E34"/>
    <w:rsid w:val="00390735"/>
    <w:rsid w:val="0039255B"/>
    <w:rsid w:val="00392DFF"/>
    <w:rsid w:val="003930B6"/>
    <w:rsid w:val="003935C4"/>
    <w:rsid w:val="00394A4D"/>
    <w:rsid w:val="00395368"/>
    <w:rsid w:val="0039540C"/>
    <w:rsid w:val="00396554"/>
    <w:rsid w:val="003968DD"/>
    <w:rsid w:val="00396E82"/>
    <w:rsid w:val="00396FCA"/>
    <w:rsid w:val="003978C8"/>
    <w:rsid w:val="003A0584"/>
    <w:rsid w:val="003A16B3"/>
    <w:rsid w:val="003A196A"/>
    <w:rsid w:val="003A21F6"/>
    <w:rsid w:val="003A2DD8"/>
    <w:rsid w:val="003A3963"/>
    <w:rsid w:val="003A4C12"/>
    <w:rsid w:val="003A55F6"/>
    <w:rsid w:val="003A64FD"/>
    <w:rsid w:val="003A6737"/>
    <w:rsid w:val="003B001D"/>
    <w:rsid w:val="003B10C1"/>
    <w:rsid w:val="003B1277"/>
    <w:rsid w:val="003B19AD"/>
    <w:rsid w:val="003B19E3"/>
    <w:rsid w:val="003B1B5C"/>
    <w:rsid w:val="003B2298"/>
    <w:rsid w:val="003B34DA"/>
    <w:rsid w:val="003B5074"/>
    <w:rsid w:val="003B50B9"/>
    <w:rsid w:val="003B59D5"/>
    <w:rsid w:val="003B681E"/>
    <w:rsid w:val="003B6AF7"/>
    <w:rsid w:val="003B724F"/>
    <w:rsid w:val="003B7DC4"/>
    <w:rsid w:val="003C1631"/>
    <w:rsid w:val="003C1BEE"/>
    <w:rsid w:val="003C2266"/>
    <w:rsid w:val="003C2DA5"/>
    <w:rsid w:val="003C3D26"/>
    <w:rsid w:val="003C448C"/>
    <w:rsid w:val="003C5ACF"/>
    <w:rsid w:val="003C60A8"/>
    <w:rsid w:val="003C659A"/>
    <w:rsid w:val="003C75C2"/>
    <w:rsid w:val="003D0BFA"/>
    <w:rsid w:val="003D0DEC"/>
    <w:rsid w:val="003D12B3"/>
    <w:rsid w:val="003D215D"/>
    <w:rsid w:val="003D30D1"/>
    <w:rsid w:val="003D3525"/>
    <w:rsid w:val="003D3EB9"/>
    <w:rsid w:val="003D6196"/>
    <w:rsid w:val="003D6FC4"/>
    <w:rsid w:val="003D703D"/>
    <w:rsid w:val="003D7A6B"/>
    <w:rsid w:val="003E0CAC"/>
    <w:rsid w:val="003E208E"/>
    <w:rsid w:val="003E2547"/>
    <w:rsid w:val="003E3A0D"/>
    <w:rsid w:val="003E43EA"/>
    <w:rsid w:val="003E57C3"/>
    <w:rsid w:val="003E7122"/>
    <w:rsid w:val="003E77FB"/>
    <w:rsid w:val="003E780F"/>
    <w:rsid w:val="003F24D4"/>
    <w:rsid w:val="003F29E0"/>
    <w:rsid w:val="003F2C37"/>
    <w:rsid w:val="003F406A"/>
    <w:rsid w:val="003F48BF"/>
    <w:rsid w:val="003F4B7B"/>
    <w:rsid w:val="003F4F2E"/>
    <w:rsid w:val="003F5041"/>
    <w:rsid w:val="003F5152"/>
    <w:rsid w:val="003F57D1"/>
    <w:rsid w:val="003F5A5E"/>
    <w:rsid w:val="003F74A7"/>
    <w:rsid w:val="00400AD2"/>
    <w:rsid w:val="00400D5D"/>
    <w:rsid w:val="004017B0"/>
    <w:rsid w:val="00401ABB"/>
    <w:rsid w:val="00401E67"/>
    <w:rsid w:val="004027F6"/>
    <w:rsid w:val="00402B1E"/>
    <w:rsid w:val="00403938"/>
    <w:rsid w:val="004048D8"/>
    <w:rsid w:val="00404FFF"/>
    <w:rsid w:val="00406981"/>
    <w:rsid w:val="004073E3"/>
    <w:rsid w:val="004106B0"/>
    <w:rsid w:val="0041224B"/>
    <w:rsid w:val="00412284"/>
    <w:rsid w:val="0041236D"/>
    <w:rsid w:val="00412AF5"/>
    <w:rsid w:val="00413709"/>
    <w:rsid w:val="00415338"/>
    <w:rsid w:val="00415884"/>
    <w:rsid w:val="004168B6"/>
    <w:rsid w:val="00417916"/>
    <w:rsid w:val="00417988"/>
    <w:rsid w:val="00420A14"/>
    <w:rsid w:val="0042211A"/>
    <w:rsid w:val="00423AB1"/>
    <w:rsid w:val="00423ACC"/>
    <w:rsid w:val="00423B41"/>
    <w:rsid w:val="00423EDD"/>
    <w:rsid w:val="004246A5"/>
    <w:rsid w:val="004247B6"/>
    <w:rsid w:val="00424AE5"/>
    <w:rsid w:val="00424FCB"/>
    <w:rsid w:val="00425C38"/>
    <w:rsid w:val="0042712D"/>
    <w:rsid w:val="00427438"/>
    <w:rsid w:val="0043035E"/>
    <w:rsid w:val="00430614"/>
    <w:rsid w:val="00430F43"/>
    <w:rsid w:val="00430FCB"/>
    <w:rsid w:val="0043237E"/>
    <w:rsid w:val="004330E4"/>
    <w:rsid w:val="00434444"/>
    <w:rsid w:val="00435C4F"/>
    <w:rsid w:val="00436CB8"/>
    <w:rsid w:val="0044094E"/>
    <w:rsid w:val="00440F18"/>
    <w:rsid w:val="0044138F"/>
    <w:rsid w:val="0044189F"/>
    <w:rsid w:val="004421C7"/>
    <w:rsid w:val="00442E64"/>
    <w:rsid w:val="004432C0"/>
    <w:rsid w:val="004434AB"/>
    <w:rsid w:val="004435FA"/>
    <w:rsid w:val="00443E1D"/>
    <w:rsid w:val="00443E24"/>
    <w:rsid w:val="00443EE9"/>
    <w:rsid w:val="00445D61"/>
    <w:rsid w:val="004461CB"/>
    <w:rsid w:val="00446981"/>
    <w:rsid w:val="0044732A"/>
    <w:rsid w:val="00450149"/>
    <w:rsid w:val="004504C0"/>
    <w:rsid w:val="00450B72"/>
    <w:rsid w:val="00450DDB"/>
    <w:rsid w:val="00451600"/>
    <w:rsid w:val="0045166E"/>
    <w:rsid w:val="00452709"/>
    <w:rsid w:val="00453026"/>
    <w:rsid w:val="004539AA"/>
    <w:rsid w:val="00456C39"/>
    <w:rsid w:val="00456F03"/>
    <w:rsid w:val="00457B6D"/>
    <w:rsid w:val="004602F9"/>
    <w:rsid w:val="0046127B"/>
    <w:rsid w:val="00461669"/>
    <w:rsid w:val="0046250A"/>
    <w:rsid w:val="004625E4"/>
    <w:rsid w:val="0046262B"/>
    <w:rsid w:val="004631AF"/>
    <w:rsid w:val="0046384C"/>
    <w:rsid w:val="004647B1"/>
    <w:rsid w:val="00464959"/>
    <w:rsid w:val="00464E6A"/>
    <w:rsid w:val="00464EE1"/>
    <w:rsid w:val="00465771"/>
    <w:rsid w:val="00466830"/>
    <w:rsid w:val="00466F33"/>
    <w:rsid w:val="0047134E"/>
    <w:rsid w:val="0047174C"/>
    <w:rsid w:val="0047186B"/>
    <w:rsid w:val="00472A0F"/>
    <w:rsid w:val="00474FD9"/>
    <w:rsid w:val="004750CE"/>
    <w:rsid w:val="00475CC6"/>
    <w:rsid w:val="00475F86"/>
    <w:rsid w:val="00476ACD"/>
    <w:rsid w:val="0047776E"/>
    <w:rsid w:val="00477A58"/>
    <w:rsid w:val="00480089"/>
    <w:rsid w:val="00480434"/>
    <w:rsid w:val="0048046B"/>
    <w:rsid w:val="00480F88"/>
    <w:rsid w:val="004818DD"/>
    <w:rsid w:val="0048228E"/>
    <w:rsid w:val="00482B2E"/>
    <w:rsid w:val="00483478"/>
    <w:rsid w:val="00483537"/>
    <w:rsid w:val="0048440B"/>
    <w:rsid w:val="004849DE"/>
    <w:rsid w:val="00484ECC"/>
    <w:rsid w:val="00484F7B"/>
    <w:rsid w:val="004860B6"/>
    <w:rsid w:val="00486670"/>
    <w:rsid w:val="0048673A"/>
    <w:rsid w:val="00486752"/>
    <w:rsid w:val="004867A9"/>
    <w:rsid w:val="0048723E"/>
    <w:rsid w:val="0049099D"/>
    <w:rsid w:val="00490B1D"/>
    <w:rsid w:val="0049135C"/>
    <w:rsid w:val="00491745"/>
    <w:rsid w:val="00493CBE"/>
    <w:rsid w:val="00493FC3"/>
    <w:rsid w:val="00495310"/>
    <w:rsid w:val="00495897"/>
    <w:rsid w:val="004A053C"/>
    <w:rsid w:val="004A060D"/>
    <w:rsid w:val="004A1F47"/>
    <w:rsid w:val="004A24B9"/>
    <w:rsid w:val="004A3FC1"/>
    <w:rsid w:val="004A41D0"/>
    <w:rsid w:val="004A426B"/>
    <w:rsid w:val="004A4357"/>
    <w:rsid w:val="004A455B"/>
    <w:rsid w:val="004A4689"/>
    <w:rsid w:val="004A46AA"/>
    <w:rsid w:val="004A47C7"/>
    <w:rsid w:val="004A4CED"/>
    <w:rsid w:val="004A704B"/>
    <w:rsid w:val="004A7577"/>
    <w:rsid w:val="004B0E7E"/>
    <w:rsid w:val="004B0EAE"/>
    <w:rsid w:val="004B150E"/>
    <w:rsid w:val="004B1810"/>
    <w:rsid w:val="004B43A3"/>
    <w:rsid w:val="004B5BD5"/>
    <w:rsid w:val="004B5D26"/>
    <w:rsid w:val="004B64C0"/>
    <w:rsid w:val="004B67FF"/>
    <w:rsid w:val="004B7045"/>
    <w:rsid w:val="004B77FC"/>
    <w:rsid w:val="004B7C3B"/>
    <w:rsid w:val="004C076B"/>
    <w:rsid w:val="004C0A26"/>
    <w:rsid w:val="004C1745"/>
    <w:rsid w:val="004C28D5"/>
    <w:rsid w:val="004C3658"/>
    <w:rsid w:val="004C5140"/>
    <w:rsid w:val="004C5FF7"/>
    <w:rsid w:val="004C7610"/>
    <w:rsid w:val="004C7805"/>
    <w:rsid w:val="004C7840"/>
    <w:rsid w:val="004C7AAB"/>
    <w:rsid w:val="004C7E0C"/>
    <w:rsid w:val="004C7E5D"/>
    <w:rsid w:val="004C7F25"/>
    <w:rsid w:val="004D0168"/>
    <w:rsid w:val="004D1069"/>
    <w:rsid w:val="004D26F7"/>
    <w:rsid w:val="004D306A"/>
    <w:rsid w:val="004D3812"/>
    <w:rsid w:val="004D5B07"/>
    <w:rsid w:val="004D6CD5"/>
    <w:rsid w:val="004D720F"/>
    <w:rsid w:val="004D7DBE"/>
    <w:rsid w:val="004E0B46"/>
    <w:rsid w:val="004E1BF6"/>
    <w:rsid w:val="004E4A98"/>
    <w:rsid w:val="004E557E"/>
    <w:rsid w:val="004E5713"/>
    <w:rsid w:val="004E5BB1"/>
    <w:rsid w:val="004E6D5D"/>
    <w:rsid w:val="004E6EA0"/>
    <w:rsid w:val="004E7351"/>
    <w:rsid w:val="004F1235"/>
    <w:rsid w:val="004F1319"/>
    <w:rsid w:val="004F1D2B"/>
    <w:rsid w:val="004F26D4"/>
    <w:rsid w:val="004F3625"/>
    <w:rsid w:val="004F3741"/>
    <w:rsid w:val="004F3ED8"/>
    <w:rsid w:val="004F4D65"/>
    <w:rsid w:val="004F5DA9"/>
    <w:rsid w:val="004F5F5B"/>
    <w:rsid w:val="004F6311"/>
    <w:rsid w:val="005002E1"/>
    <w:rsid w:val="00501BEA"/>
    <w:rsid w:val="00502633"/>
    <w:rsid w:val="00503E8D"/>
    <w:rsid w:val="00503EAC"/>
    <w:rsid w:val="00504119"/>
    <w:rsid w:val="00504302"/>
    <w:rsid w:val="00505472"/>
    <w:rsid w:val="00505A89"/>
    <w:rsid w:val="00505AFD"/>
    <w:rsid w:val="00505CA1"/>
    <w:rsid w:val="00505F55"/>
    <w:rsid w:val="005068F8"/>
    <w:rsid w:val="00506DD2"/>
    <w:rsid w:val="00507518"/>
    <w:rsid w:val="005077F7"/>
    <w:rsid w:val="00511581"/>
    <w:rsid w:val="00512861"/>
    <w:rsid w:val="00512EB3"/>
    <w:rsid w:val="0051326A"/>
    <w:rsid w:val="00513D94"/>
    <w:rsid w:val="00515B96"/>
    <w:rsid w:val="0051664F"/>
    <w:rsid w:val="00517B24"/>
    <w:rsid w:val="00517DD5"/>
    <w:rsid w:val="005205C0"/>
    <w:rsid w:val="00522C32"/>
    <w:rsid w:val="00524183"/>
    <w:rsid w:val="0052437D"/>
    <w:rsid w:val="00525013"/>
    <w:rsid w:val="00526B71"/>
    <w:rsid w:val="0052727C"/>
    <w:rsid w:val="00527891"/>
    <w:rsid w:val="00530199"/>
    <w:rsid w:val="0053060D"/>
    <w:rsid w:val="005312C4"/>
    <w:rsid w:val="005319C7"/>
    <w:rsid w:val="00532046"/>
    <w:rsid w:val="00532155"/>
    <w:rsid w:val="00533932"/>
    <w:rsid w:val="005349AB"/>
    <w:rsid w:val="00534E79"/>
    <w:rsid w:val="00535249"/>
    <w:rsid w:val="005357B0"/>
    <w:rsid w:val="00536336"/>
    <w:rsid w:val="00536354"/>
    <w:rsid w:val="0053642F"/>
    <w:rsid w:val="00536F3C"/>
    <w:rsid w:val="00540E1C"/>
    <w:rsid w:val="00540E8B"/>
    <w:rsid w:val="00540EF2"/>
    <w:rsid w:val="00541BAB"/>
    <w:rsid w:val="0054224F"/>
    <w:rsid w:val="00543DD0"/>
    <w:rsid w:val="00544676"/>
    <w:rsid w:val="00544EC5"/>
    <w:rsid w:val="00544F0B"/>
    <w:rsid w:val="005469D6"/>
    <w:rsid w:val="00546A46"/>
    <w:rsid w:val="005473C6"/>
    <w:rsid w:val="00547D18"/>
    <w:rsid w:val="005502D0"/>
    <w:rsid w:val="0055091F"/>
    <w:rsid w:val="00550B60"/>
    <w:rsid w:val="0055208F"/>
    <w:rsid w:val="00552507"/>
    <w:rsid w:val="00553AA4"/>
    <w:rsid w:val="005547CA"/>
    <w:rsid w:val="00555214"/>
    <w:rsid w:val="005552E7"/>
    <w:rsid w:val="005561AB"/>
    <w:rsid w:val="0055785A"/>
    <w:rsid w:val="00557C9C"/>
    <w:rsid w:val="00557D25"/>
    <w:rsid w:val="00557E4A"/>
    <w:rsid w:val="00560F75"/>
    <w:rsid w:val="005611DD"/>
    <w:rsid w:val="0056180E"/>
    <w:rsid w:val="00561DA7"/>
    <w:rsid w:val="00562DC3"/>
    <w:rsid w:val="005642AD"/>
    <w:rsid w:val="00564EC9"/>
    <w:rsid w:val="00565733"/>
    <w:rsid w:val="00565991"/>
    <w:rsid w:val="00570164"/>
    <w:rsid w:val="0057017A"/>
    <w:rsid w:val="00571000"/>
    <w:rsid w:val="00571A39"/>
    <w:rsid w:val="00572C00"/>
    <w:rsid w:val="005751E4"/>
    <w:rsid w:val="0057664A"/>
    <w:rsid w:val="00580671"/>
    <w:rsid w:val="00580C1C"/>
    <w:rsid w:val="00580FAB"/>
    <w:rsid w:val="00581822"/>
    <w:rsid w:val="005833F3"/>
    <w:rsid w:val="00583714"/>
    <w:rsid w:val="00584017"/>
    <w:rsid w:val="00584F3A"/>
    <w:rsid w:val="00584F92"/>
    <w:rsid w:val="00584FD3"/>
    <w:rsid w:val="00585A26"/>
    <w:rsid w:val="00587D12"/>
    <w:rsid w:val="00587EDC"/>
    <w:rsid w:val="005903FE"/>
    <w:rsid w:val="00590957"/>
    <w:rsid w:val="00590D85"/>
    <w:rsid w:val="00590E96"/>
    <w:rsid w:val="00592717"/>
    <w:rsid w:val="005927F9"/>
    <w:rsid w:val="005928B7"/>
    <w:rsid w:val="00592BCD"/>
    <w:rsid w:val="0059435C"/>
    <w:rsid w:val="00594DE1"/>
    <w:rsid w:val="00595081"/>
    <w:rsid w:val="00595740"/>
    <w:rsid w:val="00597014"/>
    <w:rsid w:val="00597CFC"/>
    <w:rsid w:val="00597F88"/>
    <w:rsid w:val="005A019D"/>
    <w:rsid w:val="005A0746"/>
    <w:rsid w:val="005A0E64"/>
    <w:rsid w:val="005A227E"/>
    <w:rsid w:val="005A311B"/>
    <w:rsid w:val="005A34F1"/>
    <w:rsid w:val="005A545B"/>
    <w:rsid w:val="005A6835"/>
    <w:rsid w:val="005A70F5"/>
    <w:rsid w:val="005A7B3B"/>
    <w:rsid w:val="005B0C8A"/>
    <w:rsid w:val="005B150F"/>
    <w:rsid w:val="005B1648"/>
    <w:rsid w:val="005B1E6C"/>
    <w:rsid w:val="005B2A1C"/>
    <w:rsid w:val="005B39BD"/>
    <w:rsid w:val="005B4052"/>
    <w:rsid w:val="005B4080"/>
    <w:rsid w:val="005B4105"/>
    <w:rsid w:val="005B4BC0"/>
    <w:rsid w:val="005B4E04"/>
    <w:rsid w:val="005B52A7"/>
    <w:rsid w:val="005B5576"/>
    <w:rsid w:val="005B579E"/>
    <w:rsid w:val="005B5C4D"/>
    <w:rsid w:val="005B5DB3"/>
    <w:rsid w:val="005B68A2"/>
    <w:rsid w:val="005B6D88"/>
    <w:rsid w:val="005C0476"/>
    <w:rsid w:val="005C1750"/>
    <w:rsid w:val="005C1F2B"/>
    <w:rsid w:val="005C4368"/>
    <w:rsid w:val="005C523D"/>
    <w:rsid w:val="005C641C"/>
    <w:rsid w:val="005C79FB"/>
    <w:rsid w:val="005C7E6A"/>
    <w:rsid w:val="005D061D"/>
    <w:rsid w:val="005D0850"/>
    <w:rsid w:val="005D0C8E"/>
    <w:rsid w:val="005D1E8D"/>
    <w:rsid w:val="005D20F5"/>
    <w:rsid w:val="005D2716"/>
    <w:rsid w:val="005D2A90"/>
    <w:rsid w:val="005D346C"/>
    <w:rsid w:val="005D35F1"/>
    <w:rsid w:val="005D35FE"/>
    <w:rsid w:val="005D4996"/>
    <w:rsid w:val="005D4DD7"/>
    <w:rsid w:val="005D4E71"/>
    <w:rsid w:val="005D5109"/>
    <w:rsid w:val="005D582A"/>
    <w:rsid w:val="005D5A55"/>
    <w:rsid w:val="005D5EF4"/>
    <w:rsid w:val="005D5FE2"/>
    <w:rsid w:val="005D6167"/>
    <w:rsid w:val="005D74F8"/>
    <w:rsid w:val="005E007E"/>
    <w:rsid w:val="005E05C9"/>
    <w:rsid w:val="005E1BAA"/>
    <w:rsid w:val="005E334E"/>
    <w:rsid w:val="005E346E"/>
    <w:rsid w:val="005E37BF"/>
    <w:rsid w:val="005E469F"/>
    <w:rsid w:val="005E4715"/>
    <w:rsid w:val="005E4972"/>
    <w:rsid w:val="005E5389"/>
    <w:rsid w:val="005E5D9D"/>
    <w:rsid w:val="005E7943"/>
    <w:rsid w:val="005F090A"/>
    <w:rsid w:val="005F1035"/>
    <w:rsid w:val="005F14C8"/>
    <w:rsid w:val="005F1AF0"/>
    <w:rsid w:val="005F1AF9"/>
    <w:rsid w:val="005F2A7C"/>
    <w:rsid w:val="005F2B0A"/>
    <w:rsid w:val="005F318A"/>
    <w:rsid w:val="005F5A67"/>
    <w:rsid w:val="005F638D"/>
    <w:rsid w:val="005F63E7"/>
    <w:rsid w:val="005F6EB3"/>
    <w:rsid w:val="0060004C"/>
    <w:rsid w:val="00601ACF"/>
    <w:rsid w:val="0060322D"/>
    <w:rsid w:val="00603CC7"/>
    <w:rsid w:val="00603DB3"/>
    <w:rsid w:val="00603E1F"/>
    <w:rsid w:val="00604938"/>
    <w:rsid w:val="00605BD8"/>
    <w:rsid w:val="00605C47"/>
    <w:rsid w:val="006061A2"/>
    <w:rsid w:val="00607D6D"/>
    <w:rsid w:val="00607F00"/>
    <w:rsid w:val="00611EDB"/>
    <w:rsid w:val="0061259C"/>
    <w:rsid w:val="00613DAA"/>
    <w:rsid w:val="00613FA0"/>
    <w:rsid w:val="00614FD8"/>
    <w:rsid w:val="006155DE"/>
    <w:rsid w:val="006159A8"/>
    <w:rsid w:val="00616D7E"/>
    <w:rsid w:val="00616DBF"/>
    <w:rsid w:val="00617918"/>
    <w:rsid w:val="0061794A"/>
    <w:rsid w:val="00620C61"/>
    <w:rsid w:val="0062162D"/>
    <w:rsid w:val="00621F7E"/>
    <w:rsid w:val="00622338"/>
    <w:rsid w:val="006230E3"/>
    <w:rsid w:val="0062396C"/>
    <w:rsid w:val="0062431A"/>
    <w:rsid w:val="006251D1"/>
    <w:rsid w:val="00626F05"/>
    <w:rsid w:val="006272F6"/>
    <w:rsid w:val="0062748E"/>
    <w:rsid w:val="00627A35"/>
    <w:rsid w:val="00627E18"/>
    <w:rsid w:val="006302EB"/>
    <w:rsid w:val="0063180B"/>
    <w:rsid w:val="006320EA"/>
    <w:rsid w:val="00632744"/>
    <w:rsid w:val="006329AF"/>
    <w:rsid w:val="00633EB2"/>
    <w:rsid w:val="00635D16"/>
    <w:rsid w:val="0063629A"/>
    <w:rsid w:val="006370FF"/>
    <w:rsid w:val="00637A96"/>
    <w:rsid w:val="00637B52"/>
    <w:rsid w:val="00640BF8"/>
    <w:rsid w:val="00640EA3"/>
    <w:rsid w:val="00641513"/>
    <w:rsid w:val="0064196D"/>
    <w:rsid w:val="00642111"/>
    <w:rsid w:val="0064294F"/>
    <w:rsid w:val="00642DFD"/>
    <w:rsid w:val="0064491D"/>
    <w:rsid w:val="00645162"/>
    <w:rsid w:val="0064542F"/>
    <w:rsid w:val="006468B1"/>
    <w:rsid w:val="00647294"/>
    <w:rsid w:val="0064755B"/>
    <w:rsid w:val="00651F5A"/>
    <w:rsid w:val="006522BE"/>
    <w:rsid w:val="0065276E"/>
    <w:rsid w:val="006549B9"/>
    <w:rsid w:val="00655BF5"/>
    <w:rsid w:val="00655FA7"/>
    <w:rsid w:val="00657335"/>
    <w:rsid w:val="00657646"/>
    <w:rsid w:val="0065785D"/>
    <w:rsid w:val="00661529"/>
    <w:rsid w:val="00662B5E"/>
    <w:rsid w:val="00663677"/>
    <w:rsid w:val="00663D03"/>
    <w:rsid w:val="00663FFE"/>
    <w:rsid w:val="00664D00"/>
    <w:rsid w:val="00664E9A"/>
    <w:rsid w:val="006651C1"/>
    <w:rsid w:val="00666008"/>
    <w:rsid w:val="00666527"/>
    <w:rsid w:val="006668FD"/>
    <w:rsid w:val="00666B81"/>
    <w:rsid w:val="00667001"/>
    <w:rsid w:val="006674CF"/>
    <w:rsid w:val="00670823"/>
    <w:rsid w:val="00672E4C"/>
    <w:rsid w:val="00673800"/>
    <w:rsid w:val="00675D25"/>
    <w:rsid w:val="006767CA"/>
    <w:rsid w:val="006769D8"/>
    <w:rsid w:val="00676DD3"/>
    <w:rsid w:val="00676ECF"/>
    <w:rsid w:val="00676FE1"/>
    <w:rsid w:val="00680121"/>
    <w:rsid w:val="00680707"/>
    <w:rsid w:val="00680A03"/>
    <w:rsid w:val="00681CD0"/>
    <w:rsid w:val="00682AA7"/>
    <w:rsid w:val="00682D70"/>
    <w:rsid w:val="006833C7"/>
    <w:rsid w:val="0068360B"/>
    <w:rsid w:val="00683D33"/>
    <w:rsid w:val="006842AE"/>
    <w:rsid w:val="006851F7"/>
    <w:rsid w:val="006856D8"/>
    <w:rsid w:val="00685ED9"/>
    <w:rsid w:val="006865BD"/>
    <w:rsid w:val="00687003"/>
    <w:rsid w:val="006870AD"/>
    <w:rsid w:val="0068738C"/>
    <w:rsid w:val="006873DA"/>
    <w:rsid w:val="006915B6"/>
    <w:rsid w:val="00691702"/>
    <w:rsid w:val="006926EC"/>
    <w:rsid w:val="00692B35"/>
    <w:rsid w:val="00692E3A"/>
    <w:rsid w:val="00693419"/>
    <w:rsid w:val="006943AF"/>
    <w:rsid w:val="0069477B"/>
    <w:rsid w:val="006959BC"/>
    <w:rsid w:val="00695D20"/>
    <w:rsid w:val="00696E9E"/>
    <w:rsid w:val="006A067B"/>
    <w:rsid w:val="006A11D8"/>
    <w:rsid w:val="006A1245"/>
    <w:rsid w:val="006A15ED"/>
    <w:rsid w:val="006A2191"/>
    <w:rsid w:val="006A26E7"/>
    <w:rsid w:val="006A4280"/>
    <w:rsid w:val="006A5CB4"/>
    <w:rsid w:val="006A649E"/>
    <w:rsid w:val="006A6602"/>
    <w:rsid w:val="006A739B"/>
    <w:rsid w:val="006A7542"/>
    <w:rsid w:val="006A76AE"/>
    <w:rsid w:val="006A7AD0"/>
    <w:rsid w:val="006B02C5"/>
    <w:rsid w:val="006B0D51"/>
    <w:rsid w:val="006B0F95"/>
    <w:rsid w:val="006B120A"/>
    <w:rsid w:val="006B180A"/>
    <w:rsid w:val="006B21E3"/>
    <w:rsid w:val="006B267A"/>
    <w:rsid w:val="006B26C4"/>
    <w:rsid w:val="006B2C81"/>
    <w:rsid w:val="006B3224"/>
    <w:rsid w:val="006B5913"/>
    <w:rsid w:val="006B631C"/>
    <w:rsid w:val="006B744C"/>
    <w:rsid w:val="006B7479"/>
    <w:rsid w:val="006C2CF0"/>
    <w:rsid w:val="006C2D59"/>
    <w:rsid w:val="006C44E6"/>
    <w:rsid w:val="006C4A01"/>
    <w:rsid w:val="006C5388"/>
    <w:rsid w:val="006C5A1F"/>
    <w:rsid w:val="006C6372"/>
    <w:rsid w:val="006C6C1B"/>
    <w:rsid w:val="006D2148"/>
    <w:rsid w:val="006D46A4"/>
    <w:rsid w:val="006D49CE"/>
    <w:rsid w:val="006D5094"/>
    <w:rsid w:val="006D5FCF"/>
    <w:rsid w:val="006D7160"/>
    <w:rsid w:val="006D7805"/>
    <w:rsid w:val="006D7D34"/>
    <w:rsid w:val="006E022D"/>
    <w:rsid w:val="006E02E8"/>
    <w:rsid w:val="006E03DE"/>
    <w:rsid w:val="006E1B56"/>
    <w:rsid w:val="006E34CB"/>
    <w:rsid w:val="006E3772"/>
    <w:rsid w:val="006E379E"/>
    <w:rsid w:val="006E37A9"/>
    <w:rsid w:val="006E393E"/>
    <w:rsid w:val="006E4447"/>
    <w:rsid w:val="006E469E"/>
    <w:rsid w:val="006E5351"/>
    <w:rsid w:val="006E7153"/>
    <w:rsid w:val="006E7CE4"/>
    <w:rsid w:val="006E7D4E"/>
    <w:rsid w:val="006F03EB"/>
    <w:rsid w:val="006F05CC"/>
    <w:rsid w:val="006F1B4B"/>
    <w:rsid w:val="006F236B"/>
    <w:rsid w:val="006F2421"/>
    <w:rsid w:val="006F257A"/>
    <w:rsid w:val="006F2E2A"/>
    <w:rsid w:val="006F3114"/>
    <w:rsid w:val="006F3415"/>
    <w:rsid w:val="006F3E1B"/>
    <w:rsid w:val="006F4B30"/>
    <w:rsid w:val="006F4FA1"/>
    <w:rsid w:val="006F6260"/>
    <w:rsid w:val="006F6BDD"/>
    <w:rsid w:val="006F6BF8"/>
    <w:rsid w:val="00700331"/>
    <w:rsid w:val="007011AE"/>
    <w:rsid w:val="007012B4"/>
    <w:rsid w:val="007046DC"/>
    <w:rsid w:val="00705086"/>
    <w:rsid w:val="00705260"/>
    <w:rsid w:val="00706026"/>
    <w:rsid w:val="007064B3"/>
    <w:rsid w:val="007066DD"/>
    <w:rsid w:val="007072E7"/>
    <w:rsid w:val="007103B4"/>
    <w:rsid w:val="007115AC"/>
    <w:rsid w:val="00711BC4"/>
    <w:rsid w:val="00712499"/>
    <w:rsid w:val="00712C81"/>
    <w:rsid w:val="007135D6"/>
    <w:rsid w:val="00713BCF"/>
    <w:rsid w:val="00714C5C"/>
    <w:rsid w:val="00716903"/>
    <w:rsid w:val="00716AEB"/>
    <w:rsid w:val="00720A77"/>
    <w:rsid w:val="007212A1"/>
    <w:rsid w:val="007216D4"/>
    <w:rsid w:val="00721BAA"/>
    <w:rsid w:val="00721FD2"/>
    <w:rsid w:val="00722680"/>
    <w:rsid w:val="00722683"/>
    <w:rsid w:val="00725C92"/>
    <w:rsid w:val="00726201"/>
    <w:rsid w:val="00726260"/>
    <w:rsid w:val="00726A23"/>
    <w:rsid w:val="00726A80"/>
    <w:rsid w:val="007272AA"/>
    <w:rsid w:val="00727475"/>
    <w:rsid w:val="007305B5"/>
    <w:rsid w:val="00730741"/>
    <w:rsid w:val="007322B4"/>
    <w:rsid w:val="00732F84"/>
    <w:rsid w:val="00733665"/>
    <w:rsid w:val="007342FC"/>
    <w:rsid w:val="00734557"/>
    <w:rsid w:val="00734FCF"/>
    <w:rsid w:val="007357F3"/>
    <w:rsid w:val="00736025"/>
    <w:rsid w:val="00736B55"/>
    <w:rsid w:val="007403FF"/>
    <w:rsid w:val="00741459"/>
    <w:rsid w:val="00741DC5"/>
    <w:rsid w:val="00742686"/>
    <w:rsid w:val="00742910"/>
    <w:rsid w:val="00742E05"/>
    <w:rsid w:val="0074300F"/>
    <w:rsid w:val="0074347F"/>
    <w:rsid w:val="007435F0"/>
    <w:rsid w:val="007435FD"/>
    <w:rsid w:val="0074508F"/>
    <w:rsid w:val="0075001F"/>
    <w:rsid w:val="00750038"/>
    <w:rsid w:val="00750FC5"/>
    <w:rsid w:val="00751146"/>
    <w:rsid w:val="0075136E"/>
    <w:rsid w:val="0075205E"/>
    <w:rsid w:val="00752860"/>
    <w:rsid w:val="007538B6"/>
    <w:rsid w:val="0075509F"/>
    <w:rsid w:val="00755CA3"/>
    <w:rsid w:val="007565A5"/>
    <w:rsid w:val="00757378"/>
    <w:rsid w:val="00757B83"/>
    <w:rsid w:val="00757E70"/>
    <w:rsid w:val="007610E5"/>
    <w:rsid w:val="00761441"/>
    <w:rsid w:val="00762A53"/>
    <w:rsid w:val="0076386F"/>
    <w:rsid w:val="0076397A"/>
    <w:rsid w:val="0076436E"/>
    <w:rsid w:val="0076476B"/>
    <w:rsid w:val="0076650F"/>
    <w:rsid w:val="00767784"/>
    <w:rsid w:val="00767B8F"/>
    <w:rsid w:val="00772047"/>
    <w:rsid w:val="007721F3"/>
    <w:rsid w:val="00772BA4"/>
    <w:rsid w:val="007737E1"/>
    <w:rsid w:val="00774506"/>
    <w:rsid w:val="0077498F"/>
    <w:rsid w:val="007755A0"/>
    <w:rsid w:val="007761AF"/>
    <w:rsid w:val="00776B1E"/>
    <w:rsid w:val="00777029"/>
    <w:rsid w:val="00777567"/>
    <w:rsid w:val="00777C28"/>
    <w:rsid w:val="00777F6C"/>
    <w:rsid w:val="0078137D"/>
    <w:rsid w:val="0078167F"/>
    <w:rsid w:val="00783740"/>
    <w:rsid w:val="00783B92"/>
    <w:rsid w:val="00784373"/>
    <w:rsid w:val="007852B3"/>
    <w:rsid w:val="0078642D"/>
    <w:rsid w:val="00787598"/>
    <w:rsid w:val="00787DDB"/>
    <w:rsid w:val="0079069E"/>
    <w:rsid w:val="007906DF"/>
    <w:rsid w:val="0079118E"/>
    <w:rsid w:val="00791D6B"/>
    <w:rsid w:val="00792023"/>
    <w:rsid w:val="00792212"/>
    <w:rsid w:val="007931B4"/>
    <w:rsid w:val="00795D37"/>
    <w:rsid w:val="00797741"/>
    <w:rsid w:val="00797B35"/>
    <w:rsid w:val="007A05CC"/>
    <w:rsid w:val="007A0B64"/>
    <w:rsid w:val="007A223A"/>
    <w:rsid w:val="007A279D"/>
    <w:rsid w:val="007A27D5"/>
    <w:rsid w:val="007A38CE"/>
    <w:rsid w:val="007A52BE"/>
    <w:rsid w:val="007A5639"/>
    <w:rsid w:val="007A575A"/>
    <w:rsid w:val="007A5820"/>
    <w:rsid w:val="007A6A08"/>
    <w:rsid w:val="007A6A4F"/>
    <w:rsid w:val="007A717F"/>
    <w:rsid w:val="007A7291"/>
    <w:rsid w:val="007B1195"/>
    <w:rsid w:val="007B1223"/>
    <w:rsid w:val="007B1DC1"/>
    <w:rsid w:val="007B463D"/>
    <w:rsid w:val="007B47E4"/>
    <w:rsid w:val="007B482B"/>
    <w:rsid w:val="007B727C"/>
    <w:rsid w:val="007C0D98"/>
    <w:rsid w:val="007C18D7"/>
    <w:rsid w:val="007C266B"/>
    <w:rsid w:val="007C33C0"/>
    <w:rsid w:val="007D2D3A"/>
    <w:rsid w:val="007D31FB"/>
    <w:rsid w:val="007D471D"/>
    <w:rsid w:val="007D521A"/>
    <w:rsid w:val="007D6040"/>
    <w:rsid w:val="007D6F4E"/>
    <w:rsid w:val="007E2F44"/>
    <w:rsid w:val="007E3258"/>
    <w:rsid w:val="007E5AE6"/>
    <w:rsid w:val="007E5AED"/>
    <w:rsid w:val="007E5C03"/>
    <w:rsid w:val="007E64C7"/>
    <w:rsid w:val="007E6ACF"/>
    <w:rsid w:val="007E6EBF"/>
    <w:rsid w:val="007F039F"/>
    <w:rsid w:val="007F0963"/>
    <w:rsid w:val="007F0F9D"/>
    <w:rsid w:val="007F15A7"/>
    <w:rsid w:val="007F2711"/>
    <w:rsid w:val="007F27C0"/>
    <w:rsid w:val="007F2A19"/>
    <w:rsid w:val="007F3831"/>
    <w:rsid w:val="007F5BA9"/>
    <w:rsid w:val="007F613C"/>
    <w:rsid w:val="007F6B03"/>
    <w:rsid w:val="007F7D89"/>
    <w:rsid w:val="00800241"/>
    <w:rsid w:val="00800E2B"/>
    <w:rsid w:val="008014FF"/>
    <w:rsid w:val="00801511"/>
    <w:rsid w:val="0080183D"/>
    <w:rsid w:val="008018CD"/>
    <w:rsid w:val="008019AC"/>
    <w:rsid w:val="008024D2"/>
    <w:rsid w:val="008024E7"/>
    <w:rsid w:val="00802ED5"/>
    <w:rsid w:val="00803182"/>
    <w:rsid w:val="00803B29"/>
    <w:rsid w:val="00805B3A"/>
    <w:rsid w:val="00805C4B"/>
    <w:rsid w:val="00806DED"/>
    <w:rsid w:val="00807440"/>
    <w:rsid w:val="00811397"/>
    <w:rsid w:val="0081226A"/>
    <w:rsid w:val="00812346"/>
    <w:rsid w:val="00812573"/>
    <w:rsid w:val="00812D6F"/>
    <w:rsid w:val="00812F0A"/>
    <w:rsid w:val="00812FD5"/>
    <w:rsid w:val="00813059"/>
    <w:rsid w:val="00814490"/>
    <w:rsid w:val="00814792"/>
    <w:rsid w:val="00815413"/>
    <w:rsid w:val="00815BBC"/>
    <w:rsid w:val="00815CAB"/>
    <w:rsid w:val="008161C2"/>
    <w:rsid w:val="0081693B"/>
    <w:rsid w:val="00816BF9"/>
    <w:rsid w:val="00817029"/>
    <w:rsid w:val="008177FB"/>
    <w:rsid w:val="0082039B"/>
    <w:rsid w:val="008219F0"/>
    <w:rsid w:val="0082247D"/>
    <w:rsid w:val="008228EA"/>
    <w:rsid w:val="008240CD"/>
    <w:rsid w:val="008247D5"/>
    <w:rsid w:val="00825109"/>
    <w:rsid w:val="008253D3"/>
    <w:rsid w:val="00825444"/>
    <w:rsid w:val="00826444"/>
    <w:rsid w:val="0082663A"/>
    <w:rsid w:val="00826C7D"/>
    <w:rsid w:val="00826CC0"/>
    <w:rsid w:val="00827393"/>
    <w:rsid w:val="00827A0C"/>
    <w:rsid w:val="008306F3"/>
    <w:rsid w:val="0083074C"/>
    <w:rsid w:val="00830E2A"/>
    <w:rsid w:val="00834002"/>
    <w:rsid w:val="00834886"/>
    <w:rsid w:val="00834C16"/>
    <w:rsid w:val="008356D3"/>
    <w:rsid w:val="008362DB"/>
    <w:rsid w:val="0083633B"/>
    <w:rsid w:val="00836F1E"/>
    <w:rsid w:val="0083781B"/>
    <w:rsid w:val="00840AB3"/>
    <w:rsid w:val="008410DB"/>
    <w:rsid w:val="00841968"/>
    <w:rsid w:val="00841E85"/>
    <w:rsid w:val="00842426"/>
    <w:rsid w:val="00842C84"/>
    <w:rsid w:val="00843EA1"/>
    <w:rsid w:val="008441AB"/>
    <w:rsid w:val="00844405"/>
    <w:rsid w:val="00844823"/>
    <w:rsid w:val="00845867"/>
    <w:rsid w:val="00845C2D"/>
    <w:rsid w:val="00846D11"/>
    <w:rsid w:val="008476DF"/>
    <w:rsid w:val="0085024B"/>
    <w:rsid w:val="00850B87"/>
    <w:rsid w:val="008512B1"/>
    <w:rsid w:val="00851D53"/>
    <w:rsid w:val="008520D9"/>
    <w:rsid w:val="00853F65"/>
    <w:rsid w:val="008545B0"/>
    <w:rsid w:val="00854713"/>
    <w:rsid w:val="008552C3"/>
    <w:rsid w:val="00856B8F"/>
    <w:rsid w:val="00857411"/>
    <w:rsid w:val="0085788A"/>
    <w:rsid w:val="00860DA6"/>
    <w:rsid w:val="00860E97"/>
    <w:rsid w:val="00860EDC"/>
    <w:rsid w:val="00861936"/>
    <w:rsid w:val="00861CFB"/>
    <w:rsid w:val="00862AB1"/>
    <w:rsid w:val="00864676"/>
    <w:rsid w:val="00865152"/>
    <w:rsid w:val="008658F9"/>
    <w:rsid w:val="008668A3"/>
    <w:rsid w:val="00866F48"/>
    <w:rsid w:val="0087160F"/>
    <w:rsid w:val="0087175B"/>
    <w:rsid w:val="00871DDD"/>
    <w:rsid w:val="00871E87"/>
    <w:rsid w:val="0087288B"/>
    <w:rsid w:val="00872F73"/>
    <w:rsid w:val="008746AF"/>
    <w:rsid w:val="0087520C"/>
    <w:rsid w:val="00875E11"/>
    <w:rsid w:val="00876A31"/>
    <w:rsid w:val="00880F88"/>
    <w:rsid w:val="00881B90"/>
    <w:rsid w:val="00881CEC"/>
    <w:rsid w:val="00882D04"/>
    <w:rsid w:val="00884A12"/>
    <w:rsid w:val="00885506"/>
    <w:rsid w:val="00885537"/>
    <w:rsid w:val="008855D6"/>
    <w:rsid w:val="008857F1"/>
    <w:rsid w:val="0088654A"/>
    <w:rsid w:val="00886A91"/>
    <w:rsid w:val="00887150"/>
    <w:rsid w:val="00887343"/>
    <w:rsid w:val="008874C4"/>
    <w:rsid w:val="00887D53"/>
    <w:rsid w:val="00887DB2"/>
    <w:rsid w:val="00891EC7"/>
    <w:rsid w:val="00892327"/>
    <w:rsid w:val="0089394B"/>
    <w:rsid w:val="00893A1D"/>
    <w:rsid w:val="008942B7"/>
    <w:rsid w:val="00894CC3"/>
    <w:rsid w:val="00897B12"/>
    <w:rsid w:val="008A141A"/>
    <w:rsid w:val="008A1EBE"/>
    <w:rsid w:val="008A1FC2"/>
    <w:rsid w:val="008A2AF8"/>
    <w:rsid w:val="008A331D"/>
    <w:rsid w:val="008A3AF4"/>
    <w:rsid w:val="008A3DB8"/>
    <w:rsid w:val="008A471E"/>
    <w:rsid w:val="008A51D3"/>
    <w:rsid w:val="008A573A"/>
    <w:rsid w:val="008A651E"/>
    <w:rsid w:val="008A6F3A"/>
    <w:rsid w:val="008A6FF5"/>
    <w:rsid w:val="008A7073"/>
    <w:rsid w:val="008A716A"/>
    <w:rsid w:val="008A7CE7"/>
    <w:rsid w:val="008A7DBA"/>
    <w:rsid w:val="008B146B"/>
    <w:rsid w:val="008B20F2"/>
    <w:rsid w:val="008B3795"/>
    <w:rsid w:val="008B3B6B"/>
    <w:rsid w:val="008B3D58"/>
    <w:rsid w:val="008B3E2A"/>
    <w:rsid w:val="008B4D04"/>
    <w:rsid w:val="008B56F9"/>
    <w:rsid w:val="008B5918"/>
    <w:rsid w:val="008B6D01"/>
    <w:rsid w:val="008B7738"/>
    <w:rsid w:val="008B7A4D"/>
    <w:rsid w:val="008C028C"/>
    <w:rsid w:val="008C0775"/>
    <w:rsid w:val="008C07C7"/>
    <w:rsid w:val="008C1239"/>
    <w:rsid w:val="008C1240"/>
    <w:rsid w:val="008C1524"/>
    <w:rsid w:val="008C237E"/>
    <w:rsid w:val="008C2B8E"/>
    <w:rsid w:val="008C2E25"/>
    <w:rsid w:val="008C3010"/>
    <w:rsid w:val="008C3306"/>
    <w:rsid w:val="008C38A1"/>
    <w:rsid w:val="008C3AA5"/>
    <w:rsid w:val="008C5724"/>
    <w:rsid w:val="008C5D64"/>
    <w:rsid w:val="008C5E8A"/>
    <w:rsid w:val="008C5F4E"/>
    <w:rsid w:val="008C7ACC"/>
    <w:rsid w:val="008D0359"/>
    <w:rsid w:val="008D0800"/>
    <w:rsid w:val="008D41DF"/>
    <w:rsid w:val="008D4737"/>
    <w:rsid w:val="008D49BC"/>
    <w:rsid w:val="008D4AE9"/>
    <w:rsid w:val="008D5240"/>
    <w:rsid w:val="008D5CA7"/>
    <w:rsid w:val="008D5D71"/>
    <w:rsid w:val="008D5FFA"/>
    <w:rsid w:val="008D6039"/>
    <w:rsid w:val="008D65B1"/>
    <w:rsid w:val="008D6853"/>
    <w:rsid w:val="008D6AEC"/>
    <w:rsid w:val="008D7166"/>
    <w:rsid w:val="008D7A93"/>
    <w:rsid w:val="008E0EDD"/>
    <w:rsid w:val="008E22AA"/>
    <w:rsid w:val="008E27BE"/>
    <w:rsid w:val="008E2B33"/>
    <w:rsid w:val="008E44E4"/>
    <w:rsid w:val="008E4FCB"/>
    <w:rsid w:val="008E67D5"/>
    <w:rsid w:val="008E731B"/>
    <w:rsid w:val="008E74AC"/>
    <w:rsid w:val="008E79C1"/>
    <w:rsid w:val="008F0EA2"/>
    <w:rsid w:val="008F1F7A"/>
    <w:rsid w:val="008F2025"/>
    <w:rsid w:val="008F2915"/>
    <w:rsid w:val="008F34A6"/>
    <w:rsid w:val="008F46ED"/>
    <w:rsid w:val="008F5429"/>
    <w:rsid w:val="008F595B"/>
    <w:rsid w:val="008F5CC5"/>
    <w:rsid w:val="008F60EE"/>
    <w:rsid w:val="008F6506"/>
    <w:rsid w:val="008F6530"/>
    <w:rsid w:val="008F73C5"/>
    <w:rsid w:val="008F7F6C"/>
    <w:rsid w:val="009000B6"/>
    <w:rsid w:val="009002F2"/>
    <w:rsid w:val="00901484"/>
    <w:rsid w:val="00901754"/>
    <w:rsid w:val="00901C78"/>
    <w:rsid w:val="00903559"/>
    <w:rsid w:val="0090434E"/>
    <w:rsid w:val="009056DF"/>
    <w:rsid w:val="009057BA"/>
    <w:rsid w:val="00905C1D"/>
    <w:rsid w:val="0090607E"/>
    <w:rsid w:val="009064A9"/>
    <w:rsid w:val="009069BB"/>
    <w:rsid w:val="00907092"/>
    <w:rsid w:val="00907F0B"/>
    <w:rsid w:val="00910145"/>
    <w:rsid w:val="00912D2E"/>
    <w:rsid w:val="00912FEE"/>
    <w:rsid w:val="0091392B"/>
    <w:rsid w:val="00913C45"/>
    <w:rsid w:val="0091529C"/>
    <w:rsid w:val="00915495"/>
    <w:rsid w:val="00921BE5"/>
    <w:rsid w:val="00922393"/>
    <w:rsid w:val="00923023"/>
    <w:rsid w:val="00923A31"/>
    <w:rsid w:val="00923CF5"/>
    <w:rsid w:val="00925E09"/>
    <w:rsid w:val="00926B2F"/>
    <w:rsid w:val="009278E9"/>
    <w:rsid w:val="00927D22"/>
    <w:rsid w:val="00930FDA"/>
    <w:rsid w:val="0093250B"/>
    <w:rsid w:val="00933690"/>
    <w:rsid w:val="00933EE2"/>
    <w:rsid w:val="00934687"/>
    <w:rsid w:val="00934F02"/>
    <w:rsid w:val="0093504D"/>
    <w:rsid w:val="00935A83"/>
    <w:rsid w:val="00935FF0"/>
    <w:rsid w:val="009360F1"/>
    <w:rsid w:val="00937E10"/>
    <w:rsid w:val="00940468"/>
    <w:rsid w:val="009405E7"/>
    <w:rsid w:val="00941B23"/>
    <w:rsid w:val="00941F18"/>
    <w:rsid w:val="00941F84"/>
    <w:rsid w:val="00942759"/>
    <w:rsid w:val="00943D49"/>
    <w:rsid w:val="00943ED8"/>
    <w:rsid w:val="00944C2B"/>
    <w:rsid w:val="00944E3C"/>
    <w:rsid w:val="00945999"/>
    <w:rsid w:val="0094696B"/>
    <w:rsid w:val="00947A1A"/>
    <w:rsid w:val="00947FE4"/>
    <w:rsid w:val="009500E3"/>
    <w:rsid w:val="00953BED"/>
    <w:rsid w:val="00954399"/>
    <w:rsid w:val="00954982"/>
    <w:rsid w:val="00954E8F"/>
    <w:rsid w:val="0095634B"/>
    <w:rsid w:val="009569A4"/>
    <w:rsid w:val="0095708D"/>
    <w:rsid w:val="00961AC6"/>
    <w:rsid w:val="00961EB9"/>
    <w:rsid w:val="00961FEC"/>
    <w:rsid w:val="009622E4"/>
    <w:rsid w:val="00962775"/>
    <w:rsid w:val="00963947"/>
    <w:rsid w:val="00963F1B"/>
    <w:rsid w:val="009646B9"/>
    <w:rsid w:val="00964F44"/>
    <w:rsid w:val="00965D64"/>
    <w:rsid w:val="0096671B"/>
    <w:rsid w:val="00967095"/>
    <w:rsid w:val="009676F0"/>
    <w:rsid w:val="00970682"/>
    <w:rsid w:val="00970FC5"/>
    <w:rsid w:val="009711EF"/>
    <w:rsid w:val="00972BC8"/>
    <w:rsid w:val="009731DC"/>
    <w:rsid w:val="00973CE8"/>
    <w:rsid w:val="00973CF7"/>
    <w:rsid w:val="00974690"/>
    <w:rsid w:val="0097519B"/>
    <w:rsid w:val="009753C6"/>
    <w:rsid w:val="00975CB1"/>
    <w:rsid w:val="00975F10"/>
    <w:rsid w:val="009765AA"/>
    <w:rsid w:val="00976ADE"/>
    <w:rsid w:val="00980D2D"/>
    <w:rsid w:val="00980DE4"/>
    <w:rsid w:val="009824E1"/>
    <w:rsid w:val="00982A64"/>
    <w:rsid w:val="00982E9E"/>
    <w:rsid w:val="00985439"/>
    <w:rsid w:val="00985F7E"/>
    <w:rsid w:val="00986984"/>
    <w:rsid w:val="00986B8B"/>
    <w:rsid w:val="00986BFC"/>
    <w:rsid w:val="00986DF9"/>
    <w:rsid w:val="00987AFA"/>
    <w:rsid w:val="00987FDC"/>
    <w:rsid w:val="009904A4"/>
    <w:rsid w:val="00992C1B"/>
    <w:rsid w:val="00992D53"/>
    <w:rsid w:val="00993F99"/>
    <w:rsid w:val="00993FAA"/>
    <w:rsid w:val="0099419D"/>
    <w:rsid w:val="00994721"/>
    <w:rsid w:val="00994F79"/>
    <w:rsid w:val="00995660"/>
    <w:rsid w:val="0099596F"/>
    <w:rsid w:val="0099731C"/>
    <w:rsid w:val="009A213D"/>
    <w:rsid w:val="009A3861"/>
    <w:rsid w:val="009A397F"/>
    <w:rsid w:val="009A3B1B"/>
    <w:rsid w:val="009A43F5"/>
    <w:rsid w:val="009A47E3"/>
    <w:rsid w:val="009A4B8B"/>
    <w:rsid w:val="009A4CFB"/>
    <w:rsid w:val="009A5634"/>
    <w:rsid w:val="009A6189"/>
    <w:rsid w:val="009A6400"/>
    <w:rsid w:val="009A6F20"/>
    <w:rsid w:val="009A6F4A"/>
    <w:rsid w:val="009A707A"/>
    <w:rsid w:val="009A744E"/>
    <w:rsid w:val="009A7AF1"/>
    <w:rsid w:val="009B04B3"/>
    <w:rsid w:val="009B09FE"/>
    <w:rsid w:val="009B149D"/>
    <w:rsid w:val="009B1EF7"/>
    <w:rsid w:val="009B2067"/>
    <w:rsid w:val="009B2161"/>
    <w:rsid w:val="009B2B22"/>
    <w:rsid w:val="009B2CE3"/>
    <w:rsid w:val="009B35A8"/>
    <w:rsid w:val="009B43C8"/>
    <w:rsid w:val="009B57FC"/>
    <w:rsid w:val="009B5826"/>
    <w:rsid w:val="009B6BAA"/>
    <w:rsid w:val="009B703E"/>
    <w:rsid w:val="009B76B3"/>
    <w:rsid w:val="009B7ADC"/>
    <w:rsid w:val="009C01A1"/>
    <w:rsid w:val="009C16F6"/>
    <w:rsid w:val="009C3A8D"/>
    <w:rsid w:val="009C43CE"/>
    <w:rsid w:val="009C47C5"/>
    <w:rsid w:val="009C4DA5"/>
    <w:rsid w:val="009C5060"/>
    <w:rsid w:val="009C548D"/>
    <w:rsid w:val="009C5974"/>
    <w:rsid w:val="009C5B40"/>
    <w:rsid w:val="009C730D"/>
    <w:rsid w:val="009C7E32"/>
    <w:rsid w:val="009D0773"/>
    <w:rsid w:val="009D1153"/>
    <w:rsid w:val="009D231A"/>
    <w:rsid w:val="009D4575"/>
    <w:rsid w:val="009D6130"/>
    <w:rsid w:val="009D660D"/>
    <w:rsid w:val="009E09D8"/>
    <w:rsid w:val="009E1E16"/>
    <w:rsid w:val="009E219F"/>
    <w:rsid w:val="009E2CDA"/>
    <w:rsid w:val="009E46F7"/>
    <w:rsid w:val="009E4C34"/>
    <w:rsid w:val="009E681D"/>
    <w:rsid w:val="009E79F8"/>
    <w:rsid w:val="009F08D7"/>
    <w:rsid w:val="009F0C1E"/>
    <w:rsid w:val="009F0D7D"/>
    <w:rsid w:val="009F2C67"/>
    <w:rsid w:val="009F3411"/>
    <w:rsid w:val="009F3E1C"/>
    <w:rsid w:val="009F3F4B"/>
    <w:rsid w:val="009F4BE3"/>
    <w:rsid w:val="009F5E37"/>
    <w:rsid w:val="009F5FB5"/>
    <w:rsid w:val="009F62AE"/>
    <w:rsid w:val="009F67BD"/>
    <w:rsid w:val="009F680A"/>
    <w:rsid w:val="009F741B"/>
    <w:rsid w:val="009F74EE"/>
    <w:rsid w:val="009F7E35"/>
    <w:rsid w:val="00A01010"/>
    <w:rsid w:val="00A02382"/>
    <w:rsid w:val="00A03A77"/>
    <w:rsid w:val="00A03B0A"/>
    <w:rsid w:val="00A03CE7"/>
    <w:rsid w:val="00A04094"/>
    <w:rsid w:val="00A0447D"/>
    <w:rsid w:val="00A0515E"/>
    <w:rsid w:val="00A0516C"/>
    <w:rsid w:val="00A06023"/>
    <w:rsid w:val="00A06230"/>
    <w:rsid w:val="00A07228"/>
    <w:rsid w:val="00A11169"/>
    <w:rsid w:val="00A12879"/>
    <w:rsid w:val="00A128F0"/>
    <w:rsid w:val="00A1310C"/>
    <w:rsid w:val="00A13A44"/>
    <w:rsid w:val="00A13C97"/>
    <w:rsid w:val="00A13E21"/>
    <w:rsid w:val="00A14624"/>
    <w:rsid w:val="00A146D4"/>
    <w:rsid w:val="00A14FC0"/>
    <w:rsid w:val="00A1583E"/>
    <w:rsid w:val="00A1623E"/>
    <w:rsid w:val="00A16950"/>
    <w:rsid w:val="00A169FA"/>
    <w:rsid w:val="00A16AB9"/>
    <w:rsid w:val="00A2067A"/>
    <w:rsid w:val="00A21783"/>
    <w:rsid w:val="00A21AEE"/>
    <w:rsid w:val="00A21C9C"/>
    <w:rsid w:val="00A21CAD"/>
    <w:rsid w:val="00A22DBC"/>
    <w:rsid w:val="00A25AB3"/>
    <w:rsid w:val="00A27586"/>
    <w:rsid w:val="00A3186A"/>
    <w:rsid w:val="00A318EB"/>
    <w:rsid w:val="00A31DC0"/>
    <w:rsid w:val="00A33B33"/>
    <w:rsid w:val="00A340C4"/>
    <w:rsid w:val="00A34716"/>
    <w:rsid w:val="00A359C9"/>
    <w:rsid w:val="00A3681F"/>
    <w:rsid w:val="00A37018"/>
    <w:rsid w:val="00A370CD"/>
    <w:rsid w:val="00A3743A"/>
    <w:rsid w:val="00A4120F"/>
    <w:rsid w:val="00A423B6"/>
    <w:rsid w:val="00A42762"/>
    <w:rsid w:val="00A42832"/>
    <w:rsid w:val="00A43039"/>
    <w:rsid w:val="00A43FB6"/>
    <w:rsid w:val="00A44276"/>
    <w:rsid w:val="00A4496F"/>
    <w:rsid w:val="00A4676A"/>
    <w:rsid w:val="00A4714B"/>
    <w:rsid w:val="00A47BEA"/>
    <w:rsid w:val="00A50AAC"/>
    <w:rsid w:val="00A50BA4"/>
    <w:rsid w:val="00A50F0E"/>
    <w:rsid w:val="00A5186E"/>
    <w:rsid w:val="00A51B30"/>
    <w:rsid w:val="00A526A9"/>
    <w:rsid w:val="00A53425"/>
    <w:rsid w:val="00A53D87"/>
    <w:rsid w:val="00A53DB5"/>
    <w:rsid w:val="00A5453E"/>
    <w:rsid w:val="00A54736"/>
    <w:rsid w:val="00A54B0D"/>
    <w:rsid w:val="00A552AC"/>
    <w:rsid w:val="00A55BAC"/>
    <w:rsid w:val="00A560F3"/>
    <w:rsid w:val="00A56A63"/>
    <w:rsid w:val="00A56BE8"/>
    <w:rsid w:val="00A56EE3"/>
    <w:rsid w:val="00A577DB"/>
    <w:rsid w:val="00A5786E"/>
    <w:rsid w:val="00A60327"/>
    <w:rsid w:val="00A60BBF"/>
    <w:rsid w:val="00A6114B"/>
    <w:rsid w:val="00A61228"/>
    <w:rsid w:val="00A61574"/>
    <w:rsid w:val="00A6354E"/>
    <w:rsid w:val="00A63C57"/>
    <w:rsid w:val="00A64BD4"/>
    <w:rsid w:val="00A655A3"/>
    <w:rsid w:val="00A656AB"/>
    <w:rsid w:val="00A65B77"/>
    <w:rsid w:val="00A65FD4"/>
    <w:rsid w:val="00A6681A"/>
    <w:rsid w:val="00A679F4"/>
    <w:rsid w:val="00A7199A"/>
    <w:rsid w:val="00A71A2C"/>
    <w:rsid w:val="00A71AC8"/>
    <w:rsid w:val="00A732A3"/>
    <w:rsid w:val="00A73686"/>
    <w:rsid w:val="00A737E4"/>
    <w:rsid w:val="00A73C6E"/>
    <w:rsid w:val="00A73E6A"/>
    <w:rsid w:val="00A73E7F"/>
    <w:rsid w:val="00A74ED4"/>
    <w:rsid w:val="00A757BC"/>
    <w:rsid w:val="00A7630D"/>
    <w:rsid w:val="00A775F8"/>
    <w:rsid w:val="00A806FC"/>
    <w:rsid w:val="00A80E02"/>
    <w:rsid w:val="00A810DD"/>
    <w:rsid w:val="00A8117F"/>
    <w:rsid w:val="00A81594"/>
    <w:rsid w:val="00A8179A"/>
    <w:rsid w:val="00A8189E"/>
    <w:rsid w:val="00A82442"/>
    <w:rsid w:val="00A83058"/>
    <w:rsid w:val="00A83E0F"/>
    <w:rsid w:val="00A85FE3"/>
    <w:rsid w:val="00A86ACB"/>
    <w:rsid w:val="00A86F52"/>
    <w:rsid w:val="00A8787A"/>
    <w:rsid w:val="00A90834"/>
    <w:rsid w:val="00A912AA"/>
    <w:rsid w:val="00A91FD3"/>
    <w:rsid w:val="00A92456"/>
    <w:rsid w:val="00A932B1"/>
    <w:rsid w:val="00A93572"/>
    <w:rsid w:val="00A93743"/>
    <w:rsid w:val="00A93FE2"/>
    <w:rsid w:val="00A94169"/>
    <w:rsid w:val="00A94341"/>
    <w:rsid w:val="00A943CB"/>
    <w:rsid w:val="00A94584"/>
    <w:rsid w:val="00A945E2"/>
    <w:rsid w:val="00A955FD"/>
    <w:rsid w:val="00A95EC1"/>
    <w:rsid w:val="00A9624F"/>
    <w:rsid w:val="00A9639F"/>
    <w:rsid w:val="00A97370"/>
    <w:rsid w:val="00A974F7"/>
    <w:rsid w:val="00A978F3"/>
    <w:rsid w:val="00A97F64"/>
    <w:rsid w:val="00AA034A"/>
    <w:rsid w:val="00AA0387"/>
    <w:rsid w:val="00AA0A92"/>
    <w:rsid w:val="00AA0BD6"/>
    <w:rsid w:val="00AA1C78"/>
    <w:rsid w:val="00AA3193"/>
    <w:rsid w:val="00AA4400"/>
    <w:rsid w:val="00AA4480"/>
    <w:rsid w:val="00AA47D8"/>
    <w:rsid w:val="00AA48BE"/>
    <w:rsid w:val="00AA5078"/>
    <w:rsid w:val="00AA546B"/>
    <w:rsid w:val="00AA6406"/>
    <w:rsid w:val="00AA65D6"/>
    <w:rsid w:val="00AA6638"/>
    <w:rsid w:val="00AA7354"/>
    <w:rsid w:val="00AA78B0"/>
    <w:rsid w:val="00AA7C29"/>
    <w:rsid w:val="00AB33AC"/>
    <w:rsid w:val="00AB4F96"/>
    <w:rsid w:val="00AB77C5"/>
    <w:rsid w:val="00AC01F5"/>
    <w:rsid w:val="00AC2661"/>
    <w:rsid w:val="00AC2A5C"/>
    <w:rsid w:val="00AC4076"/>
    <w:rsid w:val="00AC4115"/>
    <w:rsid w:val="00AC42B1"/>
    <w:rsid w:val="00AC548D"/>
    <w:rsid w:val="00AC58DC"/>
    <w:rsid w:val="00AC76BE"/>
    <w:rsid w:val="00AC7FC1"/>
    <w:rsid w:val="00AD0866"/>
    <w:rsid w:val="00AD2510"/>
    <w:rsid w:val="00AD29B1"/>
    <w:rsid w:val="00AD3271"/>
    <w:rsid w:val="00AD43CC"/>
    <w:rsid w:val="00AD4C56"/>
    <w:rsid w:val="00AD4D49"/>
    <w:rsid w:val="00AD4E99"/>
    <w:rsid w:val="00AD5CB2"/>
    <w:rsid w:val="00AD605E"/>
    <w:rsid w:val="00AD7B03"/>
    <w:rsid w:val="00AE1181"/>
    <w:rsid w:val="00AE13C4"/>
    <w:rsid w:val="00AE1934"/>
    <w:rsid w:val="00AE222F"/>
    <w:rsid w:val="00AE4252"/>
    <w:rsid w:val="00AE4A4C"/>
    <w:rsid w:val="00AE4EB6"/>
    <w:rsid w:val="00AE51FC"/>
    <w:rsid w:val="00AE66FF"/>
    <w:rsid w:val="00AE67B5"/>
    <w:rsid w:val="00AE71EC"/>
    <w:rsid w:val="00AE7214"/>
    <w:rsid w:val="00AE7ED1"/>
    <w:rsid w:val="00AF14A8"/>
    <w:rsid w:val="00AF1BB5"/>
    <w:rsid w:val="00AF2FF9"/>
    <w:rsid w:val="00AF452D"/>
    <w:rsid w:val="00AF47E7"/>
    <w:rsid w:val="00AF54CB"/>
    <w:rsid w:val="00AF5607"/>
    <w:rsid w:val="00AF628F"/>
    <w:rsid w:val="00AF6C26"/>
    <w:rsid w:val="00AF7711"/>
    <w:rsid w:val="00AF7DDC"/>
    <w:rsid w:val="00AF7EB6"/>
    <w:rsid w:val="00B005F0"/>
    <w:rsid w:val="00B021E6"/>
    <w:rsid w:val="00B023C8"/>
    <w:rsid w:val="00B02419"/>
    <w:rsid w:val="00B02721"/>
    <w:rsid w:val="00B028A0"/>
    <w:rsid w:val="00B03880"/>
    <w:rsid w:val="00B03CA4"/>
    <w:rsid w:val="00B05479"/>
    <w:rsid w:val="00B061A0"/>
    <w:rsid w:val="00B06214"/>
    <w:rsid w:val="00B068F6"/>
    <w:rsid w:val="00B07CA0"/>
    <w:rsid w:val="00B12136"/>
    <w:rsid w:val="00B1214F"/>
    <w:rsid w:val="00B12364"/>
    <w:rsid w:val="00B13E1F"/>
    <w:rsid w:val="00B13EEF"/>
    <w:rsid w:val="00B147D5"/>
    <w:rsid w:val="00B1584E"/>
    <w:rsid w:val="00B159EE"/>
    <w:rsid w:val="00B15B4A"/>
    <w:rsid w:val="00B16402"/>
    <w:rsid w:val="00B17431"/>
    <w:rsid w:val="00B17787"/>
    <w:rsid w:val="00B17B3D"/>
    <w:rsid w:val="00B20313"/>
    <w:rsid w:val="00B2126E"/>
    <w:rsid w:val="00B21A45"/>
    <w:rsid w:val="00B22387"/>
    <w:rsid w:val="00B23793"/>
    <w:rsid w:val="00B259C2"/>
    <w:rsid w:val="00B259C8"/>
    <w:rsid w:val="00B3196A"/>
    <w:rsid w:val="00B322AB"/>
    <w:rsid w:val="00B32F9C"/>
    <w:rsid w:val="00B33F03"/>
    <w:rsid w:val="00B352D4"/>
    <w:rsid w:val="00B35D55"/>
    <w:rsid w:val="00B35FA1"/>
    <w:rsid w:val="00B35FC3"/>
    <w:rsid w:val="00B365C4"/>
    <w:rsid w:val="00B37165"/>
    <w:rsid w:val="00B40221"/>
    <w:rsid w:val="00B4027A"/>
    <w:rsid w:val="00B40A44"/>
    <w:rsid w:val="00B40C3E"/>
    <w:rsid w:val="00B40CDE"/>
    <w:rsid w:val="00B411A8"/>
    <w:rsid w:val="00B411B0"/>
    <w:rsid w:val="00B43B6F"/>
    <w:rsid w:val="00B43D7D"/>
    <w:rsid w:val="00B44981"/>
    <w:rsid w:val="00B46063"/>
    <w:rsid w:val="00B46B60"/>
    <w:rsid w:val="00B46C08"/>
    <w:rsid w:val="00B518A6"/>
    <w:rsid w:val="00B51B15"/>
    <w:rsid w:val="00B524B9"/>
    <w:rsid w:val="00B52AF1"/>
    <w:rsid w:val="00B54078"/>
    <w:rsid w:val="00B54A85"/>
    <w:rsid w:val="00B54F4C"/>
    <w:rsid w:val="00B55019"/>
    <w:rsid w:val="00B5539F"/>
    <w:rsid w:val="00B55AF6"/>
    <w:rsid w:val="00B56140"/>
    <w:rsid w:val="00B5704C"/>
    <w:rsid w:val="00B572A8"/>
    <w:rsid w:val="00B60011"/>
    <w:rsid w:val="00B602AE"/>
    <w:rsid w:val="00B60A69"/>
    <w:rsid w:val="00B60C92"/>
    <w:rsid w:val="00B61639"/>
    <w:rsid w:val="00B61C94"/>
    <w:rsid w:val="00B61EEC"/>
    <w:rsid w:val="00B622C7"/>
    <w:rsid w:val="00B6276C"/>
    <w:rsid w:val="00B62B58"/>
    <w:rsid w:val="00B64AF5"/>
    <w:rsid w:val="00B64BCD"/>
    <w:rsid w:val="00B659B4"/>
    <w:rsid w:val="00B6661D"/>
    <w:rsid w:val="00B666AE"/>
    <w:rsid w:val="00B668AF"/>
    <w:rsid w:val="00B66A8C"/>
    <w:rsid w:val="00B66BBC"/>
    <w:rsid w:val="00B677A1"/>
    <w:rsid w:val="00B67E96"/>
    <w:rsid w:val="00B7102D"/>
    <w:rsid w:val="00B7105C"/>
    <w:rsid w:val="00B742AB"/>
    <w:rsid w:val="00B742D7"/>
    <w:rsid w:val="00B759E8"/>
    <w:rsid w:val="00B75DCF"/>
    <w:rsid w:val="00B77595"/>
    <w:rsid w:val="00B81862"/>
    <w:rsid w:val="00B81A11"/>
    <w:rsid w:val="00B81C57"/>
    <w:rsid w:val="00B826A6"/>
    <w:rsid w:val="00B82803"/>
    <w:rsid w:val="00B8449F"/>
    <w:rsid w:val="00B84BCA"/>
    <w:rsid w:val="00B857DC"/>
    <w:rsid w:val="00B8594E"/>
    <w:rsid w:val="00B86BA5"/>
    <w:rsid w:val="00B8743B"/>
    <w:rsid w:val="00B87A6E"/>
    <w:rsid w:val="00B87ED9"/>
    <w:rsid w:val="00B903BD"/>
    <w:rsid w:val="00B90411"/>
    <w:rsid w:val="00B90F43"/>
    <w:rsid w:val="00B912D1"/>
    <w:rsid w:val="00B92512"/>
    <w:rsid w:val="00B93EAF"/>
    <w:rsid w:val="00B941BE"/>
    <w:rsid w:val="00B94590"/>
    <w:rsid w:val="00B9460E"/>
    <w:rsid w:val="00B9481A"/>
    <w:rsid w:val="00B94B99"/>
    <w:rsid w:val="00B958C0"/>
    <w:rsid w:val="00B97814"/>
    <w:rsid w:val="00B97A86"/>
    <w:rsid w:val="00BA13B1"/>
    <w:rsid w:val="00BA2412"/>
    <w:rsid w:val="00BA27A5"/>
    <w:rsid w:val="00BA373B"/>
    <w:rsid w:val="00BA39B6"/>
    <w:rsid w:val="00BA4068"/>
    <w:rsid w:val="00BA41CE"/>
    <w:rsid w:val="00BA4EE3"/>
    <w:rsid w:val="00BA4F66"/>
    <w:rsid w:val="00BA5B90"/>
    <w:rsid w:val="00BA6B35"/>
    <w:rsid w:val="00BA6D74"/>
    <w:rsid w:val="00BA70CA"/>
    <w:rsid w:val="00BB0105"/>
    <w:rsid w:val="00BB029A"/>
    <w:rsid w:val="00BB0A8B"/>
    <w:rsid w:val="00BB2021"/>
    <w:rsid w:val="00BB2CD4"/>
    <w:rsid w:val="00BB4671"/>
    <w:rsid w:val="00BB58AA"/>
    <w:rsid w:val="00BB5B7D"/>
    <w:rsid w:val="00BB68D3"/>
    <w:rsid w:val="00BB6948"/>
    <w:rsid w:val="00BB6DCC"/>
    <w:rsid w:val="00BB727B"/>
    <w:rsid w:val="00BB75E6"/>
    <w:rsid w:val="00BC00C7"/>
    <w:rsid w:val="00BC0451"/>
    <w:rsid w:val="00BC12DB"/>
    <w:rsid w:val="00BC1920"/>
    <w:rsid w:val="00BC1992"/>
    <w:rsid w:val="00BC1FF3"/>
    <w:rsid w:val="00BC2F62"/>
    <w:rsid w:val="00BC372E"/>
    <w:rsid w:val="00BC5375"/>
    <w:rsid w:val="00BC55D0"/>
    <w:rsid w:val="00BC5775"/>
    <w:rsid w:val="00BC64F5"/>
    <w:rsid w:val="00BC65FE"/>
    <w:rsid w:val="00BC6DE3"/>
    <w:rsid w:val="00BC6FE1"/>
    <w:rsid w:val="00BC7456"/>
    <w:rsid w:val="00BC771F"/>
    <w:rsid w:val="00BC7AC4"/>
    <w:rsid w:val="00BC7EB7"/>
    <w:rsid w:val="00BD0775"/>
    <w:rsid w:val="00BD1C44"/>
    <w:rsid w:val="00BD24BD"/>
    <w:rsid w:val="00BD362D"/>
    <w:rsid w:val="00BD390B"/>
    <w:rsid w:val="00BD4310"/>
    <w:rsid w:val="00BD4FBD"/>
    <w:rsid w:val="00BD6897"/>
    <w:rsid w:val="00BD6A24"/>
    <w:rsid w:val="00BD6D70"/>
    <w:rsid w:val="00BD7240"/>
    <w:rsid w:val="00BE02C2"/>
    <w:rsid w:val="00BE0BE0"/>
    <w:rsid w:val="00BE0E7B"/>
    <w:rsid w:val="00BE2537"/>
    <w:rsid w:val="00BE2E1A"/>
    <w:rsid w:val="00BE37E1"/>
    <w:rsid w:val="00BE4400"/>
    <w:rsid w:val="00BE5E3C"/>
    <w:rsid w:val="00BE6173"/>
    <w:rsid w:val="00BE6C67"/>
    <w:rsid w:val="00BE750F"/>
    <w:rsid w:val="00BF02A9"/>
    <w:rsid w:val="00BF03F5"/>
    <w:rsid w:val="00BF0D02"/>
    <w:rsid w:val="00BF1FDA"/>
    <w:rsid w:val="00BF24DE"/>
    <w:rsid w:val="00BF2A06"/>
    <w:rsid w:val="00BF2A25"/>
    <w:rsid w:val="00BF2A2D"/>
    <w:rsid w:val="00BF33BF"/>
    <w:rsid w:val="00BF3475"/>
    <w:rsid w:val="00BF387B"/>
    <w:rsid w:val="00BF3B56"/>
    <w:rsid w:val="00BF3B5B"/>
    <w:rsid w:val="00BF40F9"/>
    <w:rsid w:val="00BF42DA"/>
    <w:rsid w:val="00BF4B71"/>
    <w:rsid w:val="00BF4E15"/>
    <w:rsid w:val="00BF54FF"/>
    <w:rsid w:val="00BF56F5"/>
    <w:rsid w:val="00BF5954"/>
    <w:rsid w:val="00BF7093"/>
    <w:rsid w:val="00C00212"/>
    <w:rsid w:val="00C015CA"/>
    <w:rsid w:val="00C01A7C"/>
    <w:rsid w:val="00C02724"/>
    <w:rsid w:val="00C02BDC"/>
    <w:rsid w:val="00C032F4"/>
    <w:rsid w:val="00C03B05"/>
    <w:rsid w:val="00C03F62"/>
    <w:rsid w:val="00C04432"/>
    <w:rsid w:val="00C04D8D"/>
    <w:rsid w:val="00C04F47"/>
    <w:rsid w:val="00C05BBC"/>
    <w:rsid w:val="00C05BCB"/>
    <w:rsid w:val="00C060DF"/>
    <w:rsid w:val="00C06859"/>
    <w:rsid w:val="00C071EB"/>
    <w:rsid w:val="00C07765"/>
    <w:rsid w:val="00C1033B"/>
    <w:rsid w:val="00C11A87"/>
    <w:rsid w:val="00C124B0"/>
    <w:rsid w:val="00C12B13"/>
    <w:rsid w:val="00C13656"/>
    <w:rsid w:val="00C13B37"/>
    <w:rsid w:val="00C13E7E"/>
    <w:rsid w:val="00C14908"/>
    <w:rsid w:val="00C14FD1"/>
    <w:rsid w:val="00C15A39"/>
    <w:rsid w:val="00C16500"/>
    <w:rsid w:val="00C16689"/>
    <w:rsid w:val="00C16AFB"/>
    <w:rsid w:val="00C16FFD"/>
    <w:rsid w:val="00C172C9"/>
    <w:rsid w:val="00C17504"/>
    <w:rsid w:val="00C17E47"/>
    <w:rsid w:val="00C20BDB"/>
    <w:rsid w:val="00C20E99"/>
    <w:rsid w:val="00C21C73"/>
    <w:rsid w:val="00C21EDB"/>
    <w:rsid w:val="00C23471"/>
    <w:rsid w:val="00C23B76"/>
    <w:rsid w:val="00C2461D"/>
    <w:rsid w:val="00C24CDA"/>
    <w:rsid w:val="00C25CD4"/>
    <w:rsid w:val="00C266F7"/>
    <w:rsid w:val="00C32733"/>
    <w:rsid w:val="00C32856"/>
    <w:rsid w:val="00C32967"/>
    <w:rsid w:val="00C32D60"/>
    <w:rsid w:val="00C32E13"/>
    <w:rsid w:val="00C33923"/>
    <w:rsid w:val="00C33AE7"/>
    <w:rsid w:val="00C3522F"/>
    <w:rsid w:val="00C37459"/>
    <w:rsid w:val="00C37816"/>
    <w:rsid w:val="00C40086"/>
    <w:rsid w:val="00C400AA"/>
    <w:rsid w:val="00C40964"/>
    <w:rsid w:val="00C4157E"/>
    <w:rsid w:val="00C415AC"/>
    <w:rsid w:val="00C41755"/>
    <w:rsid w:val="00C4217B"/>
    <w:rsid w:val="00C4277F"/>
    <w:rsid w:val="00C43217"/>
    <w:rsid w:val="00C438A0"/>
    <w:rsid w:val="00C4437E"/>
    <w:rsid w:val="00C443FE"/>
    <w:rsid w:val="00C44F6A"/>
    <w:rsid w:val="00C45261"/>
    <w:rsid w:val="00C45939"/>
    <w:rsid w:val="00C46C87"/>
    <w:rsid w:val="00C47F3A"/>
    <w:rsid w:val="00C519A1"/>
    <w:rsid w:val="00C51B3C"/>
    <w:rsid w:val="00C51C07"/>
    <w:rsid w:val="00C52C3F"/>
    <w:rsid w:val="00C548D6"/>
    <w:rsid w:val="00C561C8"/>
    <w:rsid w:val="00C5633B"/>
    <w:rsid w:val="00C569E3"/>
    <w:rsid w:val="00C612E7"/>
    <w:rsid w:val="00C624DB"/>
    <w:rsid w:val="00C62735"/>
    <w:rsid w:val="00C62BD5"/>
    <w:rsid w:val="00C657BA"/>
    <w:rsid w:val="00C66193"/>
    <w:rsid w:val="00C6673A"/>
    <w:rsid w:val="00C67199"/>
    <w:rsid w:val="00C70110"/>
    <w:rsid w:val="00C70EBF"/>
    <w:rsid w:val="00C71428"/>
    <w:rsid w:val="00C718AE"/>
    <w:rsid w:val="00C720B9"/>
    <w:rsid w:val="00C72521"/>
    <w:rsid w:val="00C72B7B"/>
    <w:rsid w:val="00C733B9"/>
    <w:rsid w:val="00C7403B"/>
    <w:rsid w:val="00C74827"/>
    <w:rsid w:val="00C74A51"/>
    <w:rsid w:val="00C75C70"/>
    <w:rsid w:val="00C75FDF"/>
    <w:rsid w:val="00C76035"/>
    <w:rsid w:val="00C7618D"/>
    <w:rsid w:val="00C76C8B"/>
    <w:rsid w:val="00C76D59"/>
    <w:rsid w:val="00C81374"/>
    <w:rsid w:val="00C81F63"/>
    <w:rsid w:val="00C821FA"/>
    <w:rsid w:val="00C82256"/>
    <w:rsid w:val="00C8436E"/>
    <w:rsid w:val="00C84C3A"/>
    <w:rsid w:val="00C853E2"/>
    <w:rsid w:val="00C85417"/>
    <w:rsid w:val="00C86B59"/>
    <w:rsid w:val="00C86C0F"/>
    <w:rsid w:val="00C8788A"/>
    <w:rsid w:val="00C90084"/>
    <w:rsid w:val="00C900DF"/>
    <w:rsid w:val="00C91CB2"/>
    <w:rsid w:val="00C9231E"/>
    <w:rsid w:val="00C93DF2"/>
    <w:rsid w:val="00C9408C"/>
    <w:rsid w:val="00C949C7"/>
    <w:rsid w:val="00C94F2B"/>
    <w:rsid w:val="00C952D2"/>
    <w:rsid w:val="00C95775"/>
    <w:rsid w:val="00C95BA9"/>
    <w:rsid w:val="00C962D2"/>
    <w:rsid w:val="00C963C0"/>
    <w:rsid w:val="00C96987"/>
    <w:rsid w:val="00C96C23"/>
    <w:rsid w:val="00C9708A"/>
    <w:rsid w:val="00C972F2"/>
    <w:rsid w:val="00C97EA2"/>
    <w:rsid w:val="00CA0B77"/>
    <w:rsid w:val="00CA1205"/>
    <w:rsid w:val="00CA3BCC"/>
    <w:rsid w:val="00CA63A1"/>
    <w:rsid w:val="00CA6950"/>
    <w:rsid w:val="00CA6EF1"/>
    <w:rsid w:val="00CA6F93"/>
    <w:rsid w:val="00CA7930"/>
    <w:rsid w:val="00CB0001"/>
    <w:rsid w:val="00CB0334"/>
    <w:rsid w:val="00CB0641"/>
    <w:rsid w:val="00CB07D4"/>
    <w:rsid w:val="00CB111D"/>
    <w:rsid w:val="00CB18FC"/>
    <w:rsid w:val="00CB1923"/>
    <w:rsid w:val="00CB3B0F"/>
    <w:rsid w:val="00CB6685"/>
    <w:rsid w:val="00CB7E97"/>
    <w:rsid w:val="00CC0394"/>
    <w:rsid w:val="00CC1BCB"/>
    <w:rsid w:val="00CC2014"/>
    <w:rsid w:val="00CC2D95"/>
    <w:rsid w:val="00CC3523"/>
    <w:rsid w:val="00CC395B"/>
    <w:rsid w:val="00CC514D"/>
    <w:rsid w:val="00CC63C2"/>
    <w:rsid w:val="00CC71EF"/>
    <w:rsid w:val="00CD2958"/>
    <w:rsid w:val="00CD36A3"/>
    <w:rsid w:val="00CD4081"/>
    <w:rsid w:val="00CD4336"/>
    <w:rsid w:val="00CD43C6"/>
    <w:rsid w:val="00CD440C"/>
    <w:rsid w:val="00CD4469"/>
    <w:rsid w:val="00CD4711"/>
    <w:rsid w:val="00CD480A"/>
    <w:rsid w:val="00CD4AE0"/>
    <w:rsid w:val="00CD58A8"/>
    <w:rsid w:val="00CD6D97"/>
    <w:rsid w:val="00CD7173"/>
    <w:rsid w:val="00CD7B0A"/>
    <w:rsid w:val="00CE09E6"/>
    <w:rsid w:val="00CE10AE"/>
    <w:rsid w:val="00CE258F"/>
    <w:rsid w:val="00CE4AA8"/>
    <w:rsid w:val="00CE53E9"/>
    <w:rsid w:val="00CE5495"/>
    <w:rsid w:val="00CE5DFC"/>
    <w:rsid w:val="00CE67C5"/>
    <w:rsid w:val="00CE6FFA"/>
    <w:rsid w:val="00CE763B"/>
    <w:rsid w:val="00CF0230"/>
    <w:rsid w:val="00CF0AA9"/>
    <w:rsid w:val="00CF0E0D"/>
    <w:rsid w:val="00CF10FB"/>
    <w:rsid w:val="00CF18D0"/>
    <w:rsid w:val="00CF1CBC"/>
    <w:rsid w:val="00CF574A"/>
    <w:rsid w:val="00CF584C"/>
    <w:rsid w:val="00CF5942"/>
    <w:rsid w:val="00CF5973"/>
    <w:rsid w:val="00CF5D7B"/>
    <w:rsid w:val="00CF6F12"/>
    <w:rsid w:val="00CF7308"/>
    <w:rsid w:val="00CF734B"/>
    <w:rsid w:val="00CF73E2"/>
    <w:rsid w:val="00CF7E6D"/>
    <w:rsid w:val="00D001DB"/>
    <w:rsid w:val="00D00C49"/>
    <w:rsid w:val="00D011E7"/>
    <w:rsid w:val="00D02652"/>
    <w:rsid w:val="00D036C5"/>
    <w:rsid w:val="00D05495"/>
    <w:rsid w:val="00D0603F"/>
    <w:rsid w:val="00D06063"/>
    <w:rsid w:val="00D0645A"/>
    <w:rsid w:val="00D069B4"/>
    <w:rsid w:val="00D10456"/>
    <w:rsid w:val="00D1081C"/>
    <w:rsid w:val="00D10C58"/>
    <w:rsid w:val="00D111EC"/>
    <w:rsid w:val="00D12AB1"/>
    <w:rsid w:val="00D12B8E"/>
    <w:rsid w:val="00D12D95"/>
    <w:rsid w:val="00D12FDA"/>
    <w:rsid w:val="00D131F2"/>
    <w:rsid w:val="00D1404E"/>
    <w:rsid w:val="00D162BB"/>
    <w:rsid w:val="00D163FB"/>
    <w:rsid w:val="00D16CD0"/>
    <w:rsid w:val="00D17780"/>
    <w:rsid w:val="00D17948"/>
    <w:rsid w:val="00D17E21"/>
    <w:rsid w:val="00D17ED4"/>
    <w:rsid w:val="00D21BEC"/>
    <w:rsid w:val="00D221BA"/>
    <w:rsid w:val="00D229F0"/>
    <w:rsid w:val="00D24B42"/>
    <w:rsid w:val="00D250F8"/>
    <w:rsid w:val="00D261C1"/>
    <w:rsid w:val="00D262CB"/>
    <w:rsid w:val="00D26531"/>
    <w:rsid w:val="00D26E37"/>
    <w:rsid w:val="00D271F5"/>
    <w:rsid w:val="00D27A42"/>
    <w:rsid w:val="00D27C0F"/>
    <w:rsid w:val="00D27F46"/>
    <w:rsid w:val="00D307B9"/>
    <w:rsid w:val="00D31884"/>
    <w:rsid w:val="00D31D2B"/>
    <w:rsid w:val="00D320F4"/>
    <w:rsid w:val="00D337E9"/>
    <w:rsid w:val="00D33AB6"/>
    <w:rsid w:val="00D35F6D"/>
    <w:rsid w:val="00D371F8"/>
    <w:rsid w:val="00D3777D"/>
    <w:rsid w:val="00D401F2"/>
    <w:rsid w:val="00D43371"/>
    <w:rsid w:val="00D43676"/>
    <w:rsid w:val="00D43DC7"/>
    <w:rsid w:val="00D440AD"/>
    <w:rsid w:val="00D447A5"/>
    <w:rsid w:val="00D450BE"/>
    <w:rsid w:val="00D45248"/>
    <w:rsid w:val="00D45989"/>
    <w:rsid w:val="00D45FE8"/>
    <w:rsid w:val="00D4724A"/>
    <w:rsid w:val="00D47EC5"/>
    <w:rsid w:val="00D50F76"/>
    <w:rsid w:val="00D52669"/>
    <w:rsid w:val="00D53F15"/>
    <w:rsid w:val="00D53FEE"/>
    <w:rsid w:val="00D544BC"/>
    <w:rsid w:val="00D553C6"/>
    <w:rsid w:val="00D557CD"/>
    <w:rsid w:val="00D55ABA"/>
    <w:rsid w:val="00D56D2A"/>
    <w:rsid w:val="00D57987"/>
    <w:rsid w:val="00D57AA5"/>
    <w:rsid w:val="00D57C22"/>
    <w:rsid w:val="00D6092E"/>
    <w:rsid w:val="00D60CA4"/>
    <w:rsid w:val="00D6301D"/>
    <w:rsid w:val="00D6431A"/>
    <w:rsid w:val="00D657E9"/>
    <w:rsid w:val="00D65D02"/>
    <w:rsid w:val="00D65FAC"/>
    <w:rsid w:val="00D66002"/>
    <w:rsid w:val="00D66943"/>
    <w:rsid w:val="00D67416"/>
    <w:rsid w:val="00D67DFC"/>
    <w:rsid w:val="00D67F89"/>
    <w:rsid w:val="00D7019A"/>
    <w:rsid w:val="00D70534"/>
    <w:rsid w:val="00D71160"/>
    <w:rsid w:val="00D71626"/>
    <w:rsid w:val="00D72CCF"/>
    <w:rsid w:val="00D74080"/>
    <w:rsid w:val="00D74260"/>
    <w:rsid w:val="00D753A0"/>
    <w:rsid w:val="00D758BB"/>
    <w:rsid w:val="00D758E8"/>
    <w:rsid w:val="00D75FCF"/>
    <w:rsid w:val="00D76B08"/>
    <w:rsid w:val="00D8064B"/>
    <w:rsid w:val="00D812BB"/>
    <w:rsid w:val="00D83028"/>
    <w:rsid w:val="00D8341C"/>
    <w:rsid w:val="00D83D2A"/>
    <w:rsid w:val="00D84F7A"/>
    <w:rsid w:val="00D850DA"/>
    <w:rsid w:val="00D852C9"/>
    <w:rsid w:val="00D87011"/>
    <w:rsid w:val="00D872C0"/>
    <w:rsid w:val="00D87F15"/>
    <w:rsid w:val="00D923F6"/>
    <w:rsid w:val="00D92577"/>
    <w:rsid w:val="00D93663"/>
    <w:rsid w:val="00D93B0F"/>
    <w:rsid w:val="00D9551A"/>
    <w:rsid w:val="00D955F2"/>
    <w:rsid w:val="00D95608"/>
    <w:rsid w:val="00D9739C"/>
    <w:rsid w:val="00D976A6"/>
    <w:rsid w:val="00D97D3F"/>
    <w:rsid w:val="00DA02A2"/>
    <w:rsid w:val="00DA1343"/>
    <w:rsid w:val="00DA1C7A"/>
    <w:rsid w:val="00DA3524"/>
    <w:rsid w:val="00DA59F0"/>
    <w:rsid w:val="00DA63A5"/>
    <w:rsid w:val="00DA7237"/>
    <w:rsid w:val="00DB01BF"/>
    <w:rsid w:val="00DB03E7"/>
    <w:rsid w:val="00DB2005"/>
    <w:rsid w:val="00DB2057"/>
    <w:rsid w:val="00DB34BD"/>
    <w:rsid w:val="00DB37CC"/>
    <w:rsid w:val="00DB4B77"/>
    <w:rsid w:val="00DB50D0"/>
    <w:rsid w:val="00DB5EA3"/>
    <w:rsid w:val="00DB6803"/>
    <w:rsid w:val="00DB788B"/>
    <w:rsid w:val="00DB7EA1"/>
    <w:rsid w:val="00DB7EEB"/>
    <w:rsid w:val="00DC0D24"/>
    <w:rsid w:val="00DC13E1"/>
    <w:rsid w:val="00DC1420"/>
    <w:rsid w:val="00DC148B"/>
    <w:rsid w:val="00DC18BC"/>
    <w:rsid w:val="00DC23C7"/>
    <w:rsid w:val="00DC2593"/>
    <w:rsid w:val="00DC2EB8"/>
    <w:rsid w:val="00DC30D0"/>
    <w:rsid w:val="00DC409C"/>
    <w:rsid w:val="00DC5570"/>
    <w:rsid w:val="00DC5772"/>
    <w:rsid w:val="00DC6205"/>
    <w:rsid w:val="00DC6890"/>
    <w:rsid w:val="00DC68CF"/>
    <w:rsid w:val="00DC68D3"/>
    <w:rsid w:val="00DC68FE"/>
    <w:rsid w:val="00DC6912"/>
    <w:rsid w:val="00DC6A71"/>
    <w:rsid w:val="00DC7133"/>
    <w:rsid w:val="00DC754C"/>
    <w:rsid w:val="00DD04CF"/>
    <w:rsid w:val="00DD0F01"/>
    <w:rsid w:val="00DD108B"/>
    <w:rsid w:val="00DD18DC"/>
    <w:rsid w:val="00DD3BA8"/>
    <w:rsid w:val="00DD424D"/>
    <w:rsid w:val="00DD44A8"/>
    <w:rsid w:val="00DD505B"/>
    <w:rsid w:val="00DD56D7"/>
    <w:rsid w:val="00DD5A9B"/>
    <w:rsid w:val="00DD6460"/>
    <w:rsid w:val="00DD69F2"/>
    <w:rsid w:val="00DD748D"/>
    <w:rsid w:val="00DE06A9"/>
    <w:rsid w:val="00DE0838"/>
    <w:rsid w:val="00DE0931"/>
    <w:rsid w:val="00DE17D7"/>
    <w:rsid w:val="00DE2A9A"/>
    <w:rsid w:val="00DE33EA"/>
    <w:rsid w:val="00DE3C00"/>
    <w:rsid w:val="00DE61AC"/>
    <w:rsid w:val="00DE7292"/>
    <w:rsid w:val="00DE77A6"/>
    <w:rsid w:val="00DE79B4"/>
    <w:rsid w:val="00DF005A"/>
    <w:rsid w:val="00DF030A"/>
    <w:rsid w:val="00DF03AE"/>
    <w:rsid w:val="00DF0923"/>
    <w:rsid w:val="00DF1951"/>
    <w:rsid w:val="00DF1D71"/>
    <w:rsid w:val="00DF2A49"/>
    <w:rsid w:val="00DF2C3B"/>
    <w:rsid w:val="00DF2D87"/>
    <w:rsid w:val="00DF3E06"/>
    <w:rsid w:val="00DF43F0"/>
    <w:rsid w:val="00DF69C7"/>
    <w:rsid w:val="00DF7133"/>
    <w:rsid w:val="00DF725A"/>
    <w:rsid w:val="00DF72CF"/>
    <w:rsid w:val="00E0010A"/>
    <w:rsid w:val="00E0011E"/>
    <w:rsid w:val="00E001EA"/>
    <w:rsid w:val="00E02229"/>
    <w:rsid w:val="00E037AA"/>
    <w:rsid w:val="00E03CEA"/>
    <w:rsid w:val="00E04D3F"/>
    <w:rsid w:val="00E05256"/>
    <w:rsid w:val="00E054A5"/>
    <w:rsid w:val="00E0662C"/>
    <w:rsid w:val="00E06C63"/>
    <w:rsid w:val="00E10055"/>
    <w:rsid w:val="00E1146E"/>
    <w:rsid w:val="00E132CC"/>
    <w:rsid w:val="00E135D6"/>
    <w:rsid w:val="00E1534A"/>
    <w:rsid w:val="00E153B5"/>
    <w:rsid w:val="00E15BDB"/>
    <w:rsid w:val="00E1711B"/>
    <w:rsid w:val="00E17DEF"/>
    <w:rsid w:val="00E17FA7"/>
    <w:rsid w:val="00E200AA"/>
    <w:rsid w:val="00E2158C"/>
    <w:rsid w:val="00E22293"/>
    <w:rsid w:val="00E2243B"/>
    <w:rsid w:val="00E22750"/>
    <w:rsid w:val="00E23715"/>
    <w:rsid w:val="00E23E31"/>
    <w:rsid w:val="00E24C4B"/>
    <w:rsid w:val="00E251BD"/>
    <w:rsid w:val="00E27474"/>
    <w:rsid w:val="00E30010"/>
    <w:rsid w:val="00E304B0"/>
    <w:rsid w:val="00E319D4"/>
    <w:rsid w:val="00E330B2"/>
    <w:rsid w:val="00E33D25"/>
    <w:rsid w:val="00E3413F"/>
    <w:rsid w:val="00E3433B"/>
    <w:rsid w:val="00E3435E"/>
    <w:rsid w:val="00E34BDD"/>
    <w:rsid w:val="00E35E43"/>
    <w:rsid w:val="00E36538"/>
    <w:rsid w:val="00E3664D"/>
    <w:rsid w:val="00E367AD"/>
    <w:rsid w:val="00E36C3F"/>
    <w:rsid w:val="00E371C3"/>
    <w:rsid w:val="00E37CA8"/>
    <w:rsid w:val="00E401CB"/>
    <w:rsid w:val="00E40574"/>
    <w:rsid w:val="00E4137C"/>
    <w:rsid w:val="00E4162E"/>
    <w:rsid w:val="00E41963"/>
    <w:rsid w:val="00E41A5D"/>
    <w:rsid w:val="00E429AD"/>
    <w:rsid w:val="00E42A0D"/>
    <w:rsid w:val="00E42DD2"/>
    <w:rsid w:val="00E43294"/>
    <w:rsid w:val="00E43A87"/>
    <w:rsid w:val="00E451FC"/>
    <w:rsid w:val="00E45518"/>
    <w:rsid w:val="00E46348"/>
    <w:rsid w:val="00E5097D"/>
    <w:rsid w:val="00E512D0"/>
    <w:rsid w:val="00E51EEA"/>
    <w:rsid w:val="00E5243F"/>
    <w:rsid w:val="00E52637"/>
    <w:rsid w:val="00E5282A"/>
    <w:rsid w:val="00E52DB5"/>
    <w:rsid w:val="00E5550D"/>
    <w:rsid w:val="00E55D49"/>
    <w:rsid w:val="00E55EDC"/>
    <w:rsid w:val="00E562C1"/>
    <w:rsid w:val="00E56577"/>
    <w:rsid w:val="00E57019"/>
    <w:rsid w:val="00E57FD9"/>
    <w:rsid w:val="00E60005"/>
    <w:rsid w:val="00E605C5"/>
    <w:rsid w:val="00E609D6"/>
    <w:rsid w:val="00E611CE"/>
    <w:rsid w:val="00E61EA5"/>
    <w:rsid w:val="00E62336"/>
    <w:rsid w:val="00E62BCA"/>
    <w:rsid w:val="00E63073"/>
    <w:rsid w:val="00E630DE"/>
    <w:rsid w:val="00E63B0F"/>
    <w:rsid w:val="00E6424A"/>
    <w:rsid w:val="00E64BF7"/>
    <w:rsid w:val="00E6563F"/>
    <w:rsid w:val="00E70D79"/>
    <w:rsid w:val="00E72F82"/>
    <w:rsid w:val="00E73724"/>
    <w:rsid w:val="00E73A4C"/>
    <w:rsid w:val="00E748E8"/>
    <w:rsid w:val="00E755AF"/>
    <w:rsid w:val="00E75C99"/>
    <w:rsid w:val="00E80BC2"/>
    <w:rsid w:val="00E80FC3"/>
    <w:rsid w:val="00E8131C"/>
    <w:rsid w:val="00E8146F"/>
    <w:rsid w:val="00E818CF"/>
    <w:rsid w:val="00E81DBD"/>
    <w:rsid w:val="00E81E8A"/>
    <w:rsid w:val="00E81E8C"/>
    <w:rsid w:val="00E828C3"/>
    <w:rsid w:val="00E8298C"/>
    <w:rsid w:val="00E829C8"/>
    <w:rsid w:val="00E830FC"/>
    <w:rsid w:val="00E8369C"/>
    <w:rsid w:val="00E8379C"/>
    <w:rsid w:val="00E840CD"/>
    <w:rsid w:val="00E84E5C"/>
    <w:rsid w:val="00E8621B"/>
    <w:rsid w:val="00E86B65"/>
    <w:rsid w:val="00E86C9A"/>
    <w:rsid w:val="00E86D13"/>
    <w:rsid w:val="00E8718A"/>
    <w:rsid w:val="00E90D50"/>
    <w:rsid w:val="00E9108A"/>
    <w:rsid w:val="00E916A1"/>
    <w:rsid w:val="00E9253D"/>
    <w:rsid w:val="00E92ADE"/>
    <w:rsid w:val="00E93390"/>
    <w:rsid w:val="00E93532"/>
    <w:rsid w:val="00E9409B"/>
    <w:rsid w:val="00E941F0"/>
    <w:rsid w:val="00E9507F"/>
    <w:rsid w:val="00E952EC"/>
    <w:rsid w:val="00E97494"/>
    <w:rsid w:val="00EA21FA"/>
    <w:rsid w:val="00EA2B1A"/>
    <w:rsid w:val="00EA2C91"/>
    <w:rsid w:val="00EA2EA7"/>
    <w:rsid w:val="00EA2EED"/>
    <w:rsid w:val="00EA31AC"/>
    <w:rsid w:val="00EA4191"/>
    <w:rsid w:val="00EA5136"/>
    <w:rsid w:val="00EA521F"/>
    <w:rsid w:val="00EA5AC7"/>
    <w:rsid w:val="00EA642E"/>
    <w:rsid w:val="00EA7F89"/>
    <w:rsid w:val="00EB0825"/>
    <w:rsid w:val="00EB2D68"/>
    <w:rsid w:val="00EB3339"/>
    <w:rsid w:val="00EB3776"/>
    <w:rsid w:val="00EB3D7D"/>
    <w:rsid w:val="00EB459D"/>
    <w:rsid w:val="00EB4A4D"/>
    <w:rsid w:val="00EB58EA"/>
    <w:rsid w:val="00EB73ED"/>
    <w:rsid w:val="00EB772E"/>
    <w:rsid w:val="00EB7B3A"/>
    <w:rsid w:val="00EB7F75"/>
    <w:rsid w:val="00EC17CB"/>
    <w:rsid w:val="00EC1F32"/>
    <w:rsid w:val="00EC2E81"/>
    <w:rsid w:val="00EC2E92"/>
    <w:rsid w:val="00EC3323"/>
    <w:rsid w:val="00EC3AC0"/>
    <w:rsid w:val="00EC41EF"/>
    <w:rsid w:val="00EC4C4A"/>
    <w:rsid w:val="00EC63A4"/>
    <w:rsid w:val="00EC6D31"/>
    <w:rsid w:val="00ED1D42"/>
    <w:rsid w:val="00ED2819"/>
    <w:rsid w:val="00ED2858"/>
    <w:rsid w:val="00ED2F0E"/>
    <w:rsid w:val="00ED3A00"/>
    <w:rsid w:val="00ED3BBF"/>
    <w:rsid w:val="00ED42DC"/>
    <w:rsid w:val="00ED477F"/>
    <w:rsid w:val="00ED5876"/>
    <w:rsid w:val="00ED6012"/>
    <w:rsid w:val="00ED63FC"/>
    <w:rsid w:val="00ED6401"/>
    <w:rsid w:val="00ED6C3D"/>
    <w:rsid w:val="00ED70CB"/>
    <w:rsid w:val="00ED765E"/>
    <w:rsid w:val="00ED7973"/>
    <w:rsid w:val="00ED7B8C"/>
    <w:rsid w:val="00EE0689"/>
    <w:rsid w:val="00EE07EB"/>
    <w:rsid w:val="00EE07F3"/>
    <w:rsid w:val="00EE0BEC"/>
    <w:rsid w:val="00EE19BE"/>
    <w:rsid w:val="00EE1F79"/>
    <w:rsid w:val="00EE20D8"/>
    <w:rsid w:val="00EE2394"/>
    <w:rsid w:val="00EE4418"/>
    <w:rsid w:val="00EE4B91"/>
    <w:rsid w:val="00EE4E46"/>
    <w:rsid w:val="00EE5D87"/>
    <w:rsid w:val="00EE625C"/>
    <w:rsid w:val="00EE7103"/>
    <w:rsid w:val="00EF04E9"/>
    <w:rsid w:val="00EF168F"/>
    <w:rsid w:val="00EF31E5"/>
    <w:rsid w:val="00EF3AB7"/>
    <w:rsid w:val="00EF41C8"/>
    <w:rsid w:val="00EF4863"/>
    <w:rsid w:val="00EF4E81"/>
    <w:rsid w:val="00EF5400"/>
    <w:rsid w:val="00EF548B"/>
    <w:rsid w:val="00EF5A36"/>
    <w:rsid w:val="00EF679A"/>
    <w:rsid w:val="00EF794F"/>
    <w:rsid w:val="00F013AC"/>
    <w:rsid w:val="00F01860"/>
    <w:rsid w:val="00F022A5"/>
    <w:rsid w:val="00F024A7"/>
    <w:rsid w:val="00F04E6E"/>
    <w:rsid w:val="00F05667"/>
    <w:rsid w:val="00F063D6"/>
    <w:rsid w:val="00F07621"/>
    <w:rsid w:val="00F07BB6"/>
    <w:rsid w:val="00F118D0"/>
    <w:rsid w:val="00F136B4"/>
    <w:rsid w:val="00F137AB"/>
    <w:rsid w:val="00F13B4E"/>
    <w:rsid w:val="00F143BF"/>
    <w:rsid w:val="00F1547A"/>
    <w:rsid w:val="00F15DD7"/>
    <w:rsid w:val="00F1650A"/>
    <w:rsid w:val="00F16DAF"/>
    <w:rsid w:val="00F17056"/>
    <w:rsid w:val="00F20D67"/>
    <w:rsid w:val="00F2220C"/>
    <w:rsid w:val="00F22F92"/>
    <w:rsid w:val="00F25DAE"/>
    <w:rsid w:val="00F269F6"/>
    <w:rsid w:val="00F26D3F"/>
    <w:rsid w:val="00F273E8"/>
    <w:rsid w:val="00F2765D"/>
    <w:rsid w:val="00F27737"/>
    <w:rsid w:val="00F2775C"/>
    <w:rsid w:val="00F27EBD"/>
    <w:rsid w:val="00F300DF"/>
    <w:rsid w:val="00F302AF"/>
    <w:rsid w:val="00F307FB"/>
    <w:rsid w:val="00F30A9B"/>
    <w:rsid w:val="00F30C99"/>
    <w:rsid w:val="00F32388"/>
    <w:rsid w:val="00F32EDE"/>
    <w:rsid w:val="00F33497"/>
    <w:rsid w:val="00F336DE"/>
    <w:rsid w:val="00F33B85"/>
    <w:rsid w:val="00F340FE"/>
    <w:rsid w:val="00F34C51"/>
    <w:rsid w:val="00F357FD"/>
    <w:rsid w:val="00F361B4"/>
    <w:rsid w:val="00F3629B"/>
    <w:rsid w:val="00F3642E"/>
    <w:rsid w:val="00F36ABE"/>
    <w:rsid w:val="00F372B8"/>
    <w:rsid w:val="00F375A6"/>
    <w:rsid w:val="00F37B75"/>
    <w:rsid w:val="00F37D47"/>
    <w:rsid w:val="00F4030C"/>
    <w:rsid w:val="00F41472"/>
    <w:rsid w:val="00F41846"/>
    <w:rsid w:val="00F42D95"/>
    <w:rsid w:val="00F45939"/>
    <w:rsid w:val="00F47244"/>
    <w:rsid w:val="00F472A5"/>
    <w:rsid w:val="00F47B48"/>
    <w:rsid w:val="00F50215"/>
    <w:rsid w:val="00F503AE"/>
    <w:rsid w:val="00F50851"/>
    <w:rsid w:val="00F51659"/>
    <w:rsid w:val="00F51D71"/>
    <w:rsid w:val="00F525D1"/>
    <w:rsid w:val="00F5277D"/>
    <w:rsid w:val="00F53CED"/>
    <w:rsid w:val="00F54569"/>
    <w:rsid w:val="00F57045"/>
    <w:rsid w:val="00F60114"/>
    <w:rsid w:val="00F6055C"/>
    <w:rsid w:val="00F6177D"/>
    <w:rsid w:val="00F61B94"/>
    <w:rsid w:val="00F61FDD"/>
    <w:rsid w:val="00F62F41"/>
    <w:rsid w:val="00F6509A"/>
    <w:rsid w:val="00F6573D"/>
    <w:rsid w:val="00F665B0"/>
    <w:rsid w:val="00F66698"/>
    <w:rsid w:val="00F66700"/>
    <w:rsid w:val="00F66BD8"/>
    <w:rsid w:val="00F66E1C"/>
    <w:rsid w:val="00F66EFF"/>
    <w:rsid w:val="00F710FE"/>
    <w:rsid w:val="00F7161C"/>
    <w:rsid w:val="00F72B0B"/>
    <w:rsid w:val="00F72F8D"/>
    <w:rsid w:val="00F740B2"/>
    <w:rsid w:val="00F75273"/>
    <w:rsid w:val="00F762F3"/>
    <w:rsid w:val="00F76355"/>
    <w:rsid w:val="00F76565"/>
    <w:rsid w:val="00F76AC5"/>
    <w:rsid w:val="00F7737A"/>
    <w:rsid w:val="00F77DAD"/>
    <w:rsid w:val="00F77E93"/>
    <w:rsid w:val="00F80255"/>
    <w:rsid w:val="00F8172A"/>
    <w:rsid w:val="00F81DD0"/>
    <w:rsid w:val="00F82CD1"/>
    <w:rsid w:val="00F82E1F"/>
    <w:rsid w:val="00F83262"/>
    <w:rsid w:val="00F835C9"/>
    <w:rsid w:val="00F836D3"/>
    <w:rsid w:val="00F846E0"/>
    <w:rsid w:val="00F851C0"/>
    <w:rsid w:val="00F866A0"/>
    <w:rsid w:val="00F87DD3"/>
    <w:rsid w:val="00F91BA6"/>
    <w:rsid w:val="00F921B5"/>
    <w:rsid w:val="00F948F8"/>
    <w:rsid w:val="00F94E15"/>
    <w:rsid w:val="00F95750"/>
    <w:rsid w:val="00F965A3"/>
    <w:rsid w:val="00F96B48"/>
    <w:rsid w:val="00FA01F7"/>
    <w:rsid w:val="00FA1C9E"/>
    <w:rsid w:val="00FA2372"/>
    <w:rsid w:val="00FA2779"/>
    <w:rsid w:val="00FA2D4B"/>
    <w:rsid w:val="00FA2DF3"/>
    <w:rsid w:val="00FA384E"/>
    <w:rsid w:val="00FA3F3A"/>
    <w:rsid w:val="00FA430E"/>
    <w:rsid w:val="00FA44A8"/>
    <w:rsid w:val="00FA5226"/>
    <w:rsid w:val="00FA601B"/>
    <w:rsid w:val="00FA78F0"/>
    <w:rsid w:val="00FB00E9"/>
    <w:rsid w:val="00FB2F61"/>
    <w:rsid w:val="00FB3104"/>
    <w:rsid w:val="00FB3A0D"/>
    <w:rsid w:val="00FB4E2F"/>
    <w:rsid w:val="00FB51D0"/>
    <w:rsid w:val="00FB71FD"/>
    <w:rsid w:val="00FB73F2"/>
    <w:rsid w:val="00FC0177"/>
    <w:rsid w:val="00FC03A9"/>
    <w:rsid w:val="00FC040F"/>
    <w:rsid w:val="00FC0F4D"/>
    <w:rsid w:val="00FC11CF"/>
    <w:rsid w:val="00FC139F"/>
    <w:rsid w:val="00FC1775"/>
    <w:rsid w:val="00FC1AB4"/>
    <w:rsid w:val="00FC1C3D"/>
    <w:rsid w:val="00FC20A4"/>
    <w:rsid w:val="00FC2169"/>
    <w:rsid w:val="00FC4C30"/>
    <w:rsid w:val="00FC515F"/>
    <w:rsid w:val="00FC52D0"/>
    <w:rsid w:val="00FC5DCB"/>
    <w:rsid w:val="00FC6471"/>
    <w:rsid w:val="00FC6B9D"/>
    <w:rsid w:val="00FC757A"/>
    <w:rsid w:val="00FD0E72"/>
    <w:rsid w:val="00FD10B9"/>
    <w:rsid w:val="00FD1191"/>
    <w:rsid w:val="00FD1BA1"/>
    <w:rsid w:val="00FD2747"/>
    <w:rsid w:val="00FD28BF"/>
    <w:rsid w:val="00FD2BF8"/>
    <w:rsid w:val="00FD3068"/>
    <w:rsid w:val="00FD35CF"/>
    <w:rsid w:val="00FD3C4E"/>
    <w:rsid w:val="00FD4065"/>
    <w:rsid w:val="00FD40D3"/>
    <w:rsid w:val="00FD4384"/>
    <w:rsid w:val="00FD473B"/>
    <w:rsid w:val="00FD4B2A"/>
    <w:rsid w:val="00FD5D36"/>
    <w:rsid w:val="00FD78C5"/>
    <w:rsid w:val="00FE0778"/>
    <w:rsid w:val="00FE0BD3"/>
    <w:rsid w:val="00FE1E7D"/>
    <w:rsid w:val="00FE1FAF"/>
    <w:rsid w:val="00FE2888"/>
    <w:rsid w:val="00FE2C89"/>
    <w:rsid w:val="00FE3161"/>
    <w:rsid w:val="00FE4380"/>
    <w:rsid w:val="00FE503A"/>
    <w:rsid w:val="00FE5CD9"/>
    <w:rsid w:val="00FF021D"/>
    <w:rsid w:val="00FF12AF"/>
    <w:rsid w:val="00FF184A"/>
    <w:rsid w:val="00FF3341"/>
    <w:rsid w:val="00FF34A8"/>
    <w:rsid w:val="00FF36F2"/>
    <w:rsid w:val="00FF3ABA"/>
    <w:rsid w:val="00FF42B9"/>
    <w:rsid w:val="00FF61B0"/>
    <w:rsid w:val="00FF624C"/>
    <w:rsid w:val="00FF6ECA"/>
    <w:rsid w:val="00FF7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ACE148"/>
  <w15:docId w15:val="{12ED5948-A38C-4EFC-B5B5-7786AAEB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723E"/>
    <w:pPr>
      <w:suppressAutoHyphens/>
      <w:ind w:firstLine="709"/>
      <w:jc w:val="both"/>
    </w:pPr>
    <w:rPr>
      <w:sz w:val="24"/>
      <w:szCs w:val="20"/>
      <w:lang w:eastAsia="zh-CN"/>
    </w:rPr>
  </w:style>
  <w:style w:type="paragraph" w:styleId="1">
    <w:name w:val="heading 1"/>
    <w:basedOn w:val="a"/>
    <w:next w:val="a"/>
    <w:link w:val="11"/>
    <w:uiPriority w:val="99"/>
    <w:qFormat/>
    <w:rsid w:val="00826C7D"/>
    <w:pPr>
      <w:keepNext/>
      <w:numPr>
        <w:numId w:val="1"/>
      </w:numPr>
      <w:jc w:val="center"/>
      <w:outlineLvl w:val="0"/>
    </w:pPr>
    <w:rPr>
      <w:b/>
      <w:bCs/>
      <w:u w:val="single"/>
    </w:rPr>
  </w:style>
  <w:style w:type="paragraph" w:styleId="2">
    <w:name w:val="heading 2"/>
    <w:basedOn w:val="a"/>
    <w:next w:val="a"/>
    <w:link w:val="21"/>
    <w:uiPriority w:val="99"/>
    <w:qFormat/>
    <w:rsid w:val="00826C7D"/>
    <w:pPr>
      <w:keepNext/>
      <w:numPr>
        <w:ilvl w:val="1"/>
        <w:numId w:val="1"/>
      </w:numPr>
      <w:outlineLvl w:val="1"/>
    </w:pPr>
    <w:rPr>
      <w:rFonts w:eastAsia="Arial Unicode MS"/>
      <w:sz w:val="28"/>
    </w:rPr>
  </w:style>
  <w:style w:type="paragraph" w:styleId="3">
    <w:name w:val="heading 3"/>
    <w:basedOn w:val="a"/>
    <w:next w:val="a"/>
    <w:link w:val="31"/>
    <w:uiPriority w:val="99"/>
    <w:qFormat/>
    <w:rsid w:val="00826C7D"/>
    <w:pPr>
      <w:keepNext/>
      <w:numPr>
        <w:ilvl w:val="2"/>
        <w:numId w:val="1"/>
      </w:numPr>
      <w:jc w:val="center"/>
      <w:outlineLvl w:val="2"/>
    </w:pPr>
    <w:rPr>
      <w:b/>
    </w:rPr>
  </w:style>
  <w:style w:type="paragraph" w:styleId="4">
    <w:name w:val="heading 4"/>
    <w:basedOn w:val="a"/>
    <w:next w:val="a"/>
    <w:link w:val="41"/>
    <w:uiPriority w:val="99"/>
    <w:qFormat/>
    <w:rsid w:val="00826C7D"/>
    <w:pPr>
      <w:keepNext/>
      <w:tabs>
        <w:tab w:val="left" w:pos="0"/>
      </w:tabs>
      <w:spacing w:before="240" w:after="60" w:line="276" w:lineRule="auto"/>
      <w:ind w:left="864" w:hanging="864"/>
      <w:outlineLvl w:val="3"/>
    </w:pPr>
    <w:rPr>
      <w:rFonts w:ascii="Calibri" w:hAnsi="Calibri" w:cs="Calibri"/>
      <w:b/>
      <w:bCs/>
      <w:sz w:val="28"/>
      <w:szCs w:val="28"/>
    </w:rPr>
  </w:style>
  <w:style w:type="paragraph" w:styleId="7">
    <w:name w:val="heading 7"/>
    <w:basedOn w:val="a"/>
    <w:next w:val="a"/>
    <w:link w:val="71"/>
    <w:uiPriority w:val="99"/>
    <w:qFormat/>
    <w:rsid w:val="00826C7D"/>
    <w:pPr>
      <w:numPr>
        <w:ilvl w:val="6"/>
        <w:numId w:val="1"/>
      </w:numPr>
      <w:spacing w:before="240" w:after="60" w:line="276" w:lineRule="auto"/>
      <w:outlineLvl w:val="6"/>
    </w:pPr>
    <w:rPr>
      <w:rFonts w:ascii="Calibri" w:hAnsi="Calibri" w:cs="Calibri"/>
      <w:szCs w:val="24"/>
    </w:rPr>
  </w:style>
  <w:style w:type="paragraph" w:styleId="8">
    <w:name w:val="heading 8"/>
    <w:basedOn w:val="a"/>
    <w:next w:val="a"/>
    <w:link w:val="81"/>
    <w:uiPriority w:val="99"/>
    <w:qFormat/>
    <w:rsid w:val="00826C7D"/>
    <w:pPr>
      <w:numPr>
        <w:ilvl w:val="7"/>
        <w:numId w:val="1"/>
      </w:numPr>
      <w:spacing w:before="240" w:after="60" w:line="276" w:lineRule="auto"/>
      <w:outlineLvl w:val="7"/>
    </w:pPr>
    <w:rPr>
      <w:rFonts w:ascii="Calibri" w:hAnsi="Calibri" w:cs="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284999"/>
    <w:rPr>
      <w:rFonts w:ascii="Cambria" w:hAnsi="Cambria" w:cs="Times New Roman"/>
      <w:b/>
      <w:bCs/>
      <w:kern w:val="32"/>
      <w:sz w:val="32"/>
      <w:szCs w:val="32"/>
      <w:lang w:eastAsia="zh-CN"/>
    </w:rPr>
  </w:style>
  <w:style w:type="character" w:customStyle="1" w:styleId="21">
    <w:name w:val="Заголовок 2 Знак1"/>
    <w:basedOn w:val="a0"/>
    <w:link w:val="2"/>
    <w:uiPriority w:val="99"/>
    <w:semiHidden/>
    <w:locked/>
    <w:rsid w:val="00284999"/>
    <w:rPr>
      <w:rFonts w:ascii="Cambria" w:hAnsi="Cambria" w:cs="Times New Roman"/>
      <w:b/>
      <w:bCs/>
      <w:i/>
      <w:iCs/>
      <w:sz w:val="28"/>
      <w:szCs w:val="28"/>
      <w:lang w:eastAsia="zh-CN"/>
    </w:rPr>
  </w:style>
  <w:style w:type="character" w:customStyle="1" w:styleId="31">
    <w:name w:val="Заголовок 3 Знак1"/>
    <w:basedOn w:val="a0"/>
    <w:link w:val="3"/>
    <w:uiPriority w:val="99"/>
    <w:semiHidden/>
    <w:locked/>
    <w:rsid w:val="00284999"/>
    <w:rPr>
      <w:rFonts w:ascii="Cambria" w:hAnsi="Cambria" w:cs="Times New Roman"/>
      <w:b/>
      <w:bCs/>
      <w:sz w:val="26"/>
      <w:szCs w:val="26"/>
      <w:lang w:eastAsia="zh-CN"/>
    </w:rPr>
  </w:style>
  <w:style w:type="character" w:customStyle="1" w:styleId="41">
    <w:name w:val="Заголовок 4 Знак1"/>
    <w:basedOn w:val="a0"/>
    <w:link w:val="4"/>
    <w:uiPriority w:val="99"/>
    <w:semiHidden/>
    <w:locked/>
    <w:rsid w:val="00284999"/>
    <w:rPr>
      <w:rFonts w:ascii="Calibri" w:hAnsi="Calibri" w:cs="Times New Roman"/>
      <w:b/>
      <w:bCs/>
      <w:sz w:val="28"/>
      <w:szCs w:val="28"/>
      <w:lang w:eastAsia="zh-CN"/>
    </w:rPr>
  </w:style>
  <w:style w:type="character" w:customStyle="1" w:styleId="71">
    <w:name w:val="Заголовок 7 Знак1"/>
    <w:basedOn w:val="a0"/>
    <w:link w:val="7"/>
    <w:uiPriority w:val="99"/>
    <w:semiHidden/>
    <w:locked/>
    <w:rsid w:val="00284999"/>
    <w:rPr>
      <w:rFonts w:ascii="Calibri" w:hAnsi="Calibri" w:cs="Times New Roman"/>
      <w:sz w:val="24"/>
      <w:szCs w:val="24"/>
      <w:lang w:eastAsia="zh-CN"/>
    </w:rPr>
  </w:style>
  <w:style w:type="character" w:customStyle="1" w:styleId="81">
    <w:name w:val="Заголовок 8 Знак1"/>
    <w:basedOn w:val="a0"/>
    <w:link w:val="8"/>
    <w:uiPriority w:val="99"/>
    <w:semiHidden/>
    <w:locked/>
    <w:rsid w:val="00284999"/>
    <w:rPr>
      <w:rFonts w:ascii="Calibri" w:hAnsi="Calibri" w:cs="Times New Roman"/>
      <w:i/>
      <w:iCs/>
      <w:sz w:val="24"/>
      <w:szCs w:val="24"/>
      <w:lang w:eastAsia="zh-CN"/>
    </w:rPr>
  </w:style>
  <w:style w:type="character" w:customStyle="1" w:styleId="12">
    <w:name w:val="Основной шрифт абзаца12"/>
    <w:uiPriority w:val="99"/>
    <w:rsid w:val="00826C7D"/>
  </w:style>
  <w:style w:type="character" w:customStyle="1" w:styleId="110">
    <w:name w:val="Основной шрифт абзаца11"/>
    <w:uiPriority w:val="99"/>
    <w:rsid w:val="00826C7D"/>
  </w:style>
  <w:style w:type="character" w:customStyle="1" w:styleId="10">
    <w:name w:val="Основной шрифт абзаца10"/>
    <w:uiPriority w:val="99"/>
    <w:rsid w:val="00826C7D"/>
  </w:style>
  <w:style w:type="character" w:customStyle="1" w:styleId="Absatz-Standardschriftart">
    <w:name w:val="Absatz-Standardschriftart"/>
    <w:uiPriority w:val="99"/>
    <w:rsid w:val="00826C7D"/>
  </w:style>
  <w:style w:type="character" w:customStyle="1" w:styleId="9">
    <w:name w:val="Основной шрифт абзаца9"/>
    <w:uiPriority w:val="99"/>
    <w:rsid w:val="00826C7D"/>
  </w:style>
  <w:style w:type="character" w:customStyle="1" w:styleId="80">
    <w:name w:val="Основной шрифт абзаца8"/>
    <w:uiPriority w:val="99"/>
    <w:rsid w:val="00826C7D"/>
  </w:style>
  <w:style w:type="character" w:customStyle="1" w:styleId="70">
    <w:name w:val="Основной шрифт абзаца7"/>
    <w:uiPriority w:val="99"/>
    <w:rsid w:val="00826C7D"/>
  </w:style>
  <w:style w:type="character" w:customStyle="1" w:styleId="6">
    <w:name w:val="Основной шрифт абзаца6"/>
    <w:uiPriority w:val="99"/>
    <w:rsid w:val="00826C7D"/>
  </w:style>
  <w:style w:type="character" w:customStyle="1" w:styleId="5">
    <w:name w:val="Основной шрифт абзаца5"/>
    <w:uiPriority w:val="99"/>
    <w:rsid w:val="00826C7D"/>
  </w:style>
  <w:style w:type="character" w:customStyle="1" w:styleId="WW-Absatz-Standardschriftart">
    <w:name w:val="WW-Absatz-Standardschriftart"/>
    <w:uiPriority w:val="99"/>
    <w:rsid w:val="00826C7D"/>
  </w:style>
  <w:style w:type="character" w:customStyle="1" w:styleId="40">
    <w:name w:val="Основной шрифт абзаца4"/>
    <w:uiPriority w:val="99"/>
    <w:rsid w:val="00826C7D"/>
  </w:style>
  <w:style w:type="character" w:customStyle="1" w:styleId="WW-Absatz-Standardschriftart1">
    <w:name w:val="WW-Absatz-Standardschriftart1"/>
    <w:uiPriority w:val="99"/>
    <w:rsid w:val="00826C7D"/>
  </w:style>
  <w:style w:type="character" w:customStyle="1" w:styleId="30">
    <w:name w:val="Основной шрифт абзаца3"/>
    <w:uiPriority w:val="99"/>
    <w:rsid w:val="00826C7D"/>
  </w:style>
  <w:style w:type="character" w:customStyle="1" w:styleId="WW-Absatz-Standardschriftart11">
    <w:name w:val="WW-Absatz-Standardschriftart11"/>
    <w:uiPriority w:val="99"/>
    <w:rsid w:val="00826C7D"/>
  </w:style>
  <w:style w:type="character" w:customStyle="1" w:styleId="WW-Absatz-Standardschriftart111">
    <w:name w:val="WW-Absatz-Standardschriftart111"/>
    <w:uiPriority w:val="99"/>
    <w:rsid w:val="00826C7D"/>
  </w:style>
  <w:style w:type="character" w:customStyle="1" w:styleId="WW-Absatz-Standardschriftart1111">
    <w:name w:val="WW-Absatz-Standardschriftart1111"/>
    <w:uiPriority w:val="99"/>
    <w:rsid w:val="00826C7D"/>
  </w:style>
  <w:style w:type="character" w:customStyle="1" w:styleId="WW-Absatz-Standardschriftart11111">
    <w:name w:val="WW-Absatz-Standardschriftart11111"/>
    <w:uiPriority w:val="99"/>
    <w:rsid w:val="00826C7D"/>
  </w:style>
  <w:style w:type="character" w:customStyle="1" w:styleId="WW8Num2z0">
    <w:name w:val="WW8Num2z0"/>
    <w:uiPriority w:val="99"/>
    <w:rsid w:val="00826C7D"/>
    <w:rPr>
      <w:rFonts w:ascii="Times New Roman" w:hAnsi="Times New Roman"/>
    </w:rPr>
  </w:style>
  <w:style w:type="character" w:customStyle="1" w:styleId="20">
    <w:name w:val="Основной шрифт абзаца2"/>
    <w:uiPriority w:val="99"/>
    <w:rsid w:val="00826C7D"/>
  </w:style>
  <w:style w:type="character" w:customStyle="1" w:styleId="WW8Num1z0">
    <w:name w:val="WW8Num1z0"/>
    <w:uiPriority w:val="99"/>
    <w:rsid w:val="00826C7D"/>
    <w:rPr>
      <w:rFonts w:ascii="Times New Roman" w:hAnsi="Times New Roman"/>
    </w:rPr>
  </w:style>
  <w:style w:type="character" w:customStyle="1" w:styleId="WW8Num2z1">
    <w:name w:val="WW8Num2z1"/>
    <w:uiPriority w:val="99"/>
    <w:rsid w:val="00826C7D"/>
    <w:rPr>
      <w:rFonts w:ascii="Courier New" w:hAnsi="Courier New"/>
    </w:rPr>
  </w:style>
  <w:style w:type="character" w:customStyle="1" w:styleId="WW8Num2z2">
    <w:name w:val="WW8Num2z2"/>
    <w:uiPriority w:val="99"/>
    <w:rsid w:val="00826C7D"/>
    <w:rPr>
      <w:rFonts w:ascii="Wingdings" w:hAnsi="Wingdings"/>
    </w:rPr>
  </w:style>
  <w:style w:type="character" w:customStyle="1" w:styleId="WW8Num2z3">
    <w:name w:val="WW8Num2z3"/>
    <w:uiPriority w:val="99"/>
    <w:rsid w:val="00826C7D"/>
    <w:rPr>
      <w:rFonts w:ascii="Symbol" w:hAnsi="Symbol"/>
    </w:rPr>
  </w:style>
  <w:style w:type="character" w:customStyle="1" w:styleId="WW8Num6z0">
    <w:name w:val="WW8Num6z0"/>
    <w:uiPriority w:val="99"/>
    <w:rsid w:val="00826C7D"/>
    <w:rPr>
      <w:rFonts w:ascii="Wingdings" w:hAnsi="Wingdings"/>
    </w:rPr>
  </w:style>
  <w:style w:type="character" w:customStyle="1" w:styleId="WW8Num6z1">
    <w:name w:val="WW8Num6z1"/>
    <w:uiPriority w:val="99"/>
    <w:rsid w:val="00826C7D"/>
    <w:rPr>
      <w:rFonts w:ascii="Courier New" w:hAnsi="Courier New"/>
    </w:rPr>
  </w:style>
  <w:style w:type="character" w:customStyle="1" w:styleId="WW8Num6z3">
    <w:name w:val="WW8Num6z3"/>
    <w:uiPriority w:val="99"/>
    <w:rsid w:val="00826C7D"/>
    <w:rPr>
      <w:rFonts w:ascii="Symbol" w:hAnsi="Symbol"/>
    </w:rPr>
  </w:style>
  <w:style w:type="character" w:customStyle="1" w:styleId="WW8Num7z0">
    <w:name w:val="WW8Num7z0"/>
    <w:uiPriority w:val="99"/>
    <w:rsid w:val="00826C7D"/>
    <w:rPr>
      <w:rFonts w:ascii="Symbol" w:hAnsi="Symbol"/>
    </w:rPr>
  </w:style>
  <w:style w:type="character" w:customStyle="1" w:styleId="WW8Num7z1">
    <w:name w:val="WW8Num7z1"/>
    <w:uiPriority w:val="99"/>
    <w:rsid w:val="00826C7D"/>
    <w:rPr>
      <w:rFonts w:ascii="Courier New" w:hAnsi="Courier New"/>
    </w:rPr>
  </w:style>
  <w:style w:type="character" w:customStyle="1" w:styleId="WW8Num7z2">
    <w:name w:val="WW8Num7z2"/>
    <w:uiPriority w:val="99"/>
    <w:rsid w:val="00826C7D"/>
    <w:rPr>
      <w:rFonts w:ascii="Wingdings" w:hAnsi="Wingdings"/>
    </w:rPr>
  </w:style>
  <w:style w:type="character" w:customStyle="1" w:styleId="13">
    <w:name w:val="Основной шрифт абзаца1"/>
    <w:uiPriority w:val="99"/>
    <w:rsid w:val="00826C7D"/>
  </w:style>
  <w:style w:type="character" w:styleId="a3">
    <w:name w:val="page number"/>
    <w:basedOn w:val="13"/>
    <w:uiPriority w:val="99"/>
    <w:rsid w:val="00826C7D"/>
    <w:rPr>
      <w:rFonts w:cs="Times New Roman"/>
    </w:rPr>
  </w:style>
  <w:style w:type="character" w:customStyle="1" w:styleId="a4">
    <w:name w:val="Гипертекстовая ссылка"/>
    <w:uiPriority w:val="99"/>
    <w:rsid w:val="00826C7D"/>
    <w:rPr>
      <w:color w:val="008000"/>
    </w:rPr>
  </w:style>
  <w:style w:type="character" w:customStyle="1" w:styleId="BodyTextIndent2Char">
    <w:name w:val="Body Text Indent 2 Char"/>
    <w:uiPriority w:val="99"/>
    <w:locked/>
    <w:rsid w:val="00826C7D"/>
    <w:rPr>
      <w:sz w:val="24"/>
      <w:lang w:val="ru-RU"/>
    </w:rPr>
  </w:style>
  <w:style w:type="character" w:customStyle="1" w:styleId="a5">
    <w:name w:val="Текст Знак"/>
    <w:uiPriority w:val="99"/>
    <w:rsid w:val="00826C7D"/>
    <w:rPr>
      <w:rFonts w:ascii="Courier New" w:hAnsi="Courier New"/>
      <w:lang w:val="ru-RU"/>
    </w:rPr>
  </w:style>
  <w:style w:type="character" w:customStyle="1" w:styleId="TitleChar">
    <w:name w:val="Title Char"/>
    <w:uiPriority w:val="99"/>
    <w:locked/>
    <w:rsid w:val="00826C7D"/>
    <w:rPr>
      <w:b/>
      <w:sz w:val="24"/>
      <w:lang w:val="ru-RU"/>
    </w:rPr>
  </w:style>
  <w:style w:type="character" w:customStyle="1" w:styleId="a6">
    <w:name w:val="Основной текст с отступом Знак"/>
    <w:uiPriority w:val="99"/>
    <w:rsid w:val="00826C7D"/>
    <w:rPr>
      <w:sz w:val="24"/>
      <w:lang w:val="ru-RU"/>
    </w:rPr>
  </w:style>
  <w:style w:type="character" w:styleId="a7">
    <w:name w:val="Strong"/>
    <w:basedOn w:val="a0"/>
    <w:uiPriority w:val="22"/>
    <w:qFormat/>
    <w:rsid w:val="00826C7D"/>
    <w:rPr>
      <w:rFonts w:cs="Times New Roman"/>
      <w:b/>
    </w:rPr>
  </w:style>
  <w:style w:type="character" w:customStyle="1" w:styleId="a8">
    <w:name w:val="Нижний колонтитул Знак"/>
    <w:basedOn w:val="13"/>
    <w:uiPriority w:val="99"/>
    <w:rsid w:val="00826C7D"/>
    <w:rPr>
      <w:rFonts w:cs="Times New Roman"/>
    </w:rPr>
  </w:style>
  <w:style w:type="character" w:customStyle="1" w:styleId="a9">
    <w:name w:val="Текст концевой сноски Знак"/>
    <w:basedOn w:val="13"/>
    <w:uiPriority w:val="99"/>
    <w:rsid w:val="00826C7D"/>
    <w:rPr>
      <w:rFonts w:cs="Times New Roman"/>
    </w:rPr>
  </w:style>
  <w:style w:type="character" w:customStyle="1" w:styleId="aa">
    <w:name w:val="Символы концевой сноски"/>
    <w:uiPriority w:val="99"/>
    <w:rsid w:val="00826C7D"/>
    <w:rPr>
      <w:vertAlign w:val="superscript"/>
    </w:rPr>
  </w:style>
  <w:style w:type="character" w:customStyle="1" w:styleId="ab">
    <w:name w:val="Текст сноски Знак"/>
    <w:basedOn w:val="13"/>
    <w:uiPriority w:val="99"/>
    <w:rsid w:val="00826C7D"/>
    <w:rPr>
      <w:rFonts w:cs="Times New Roman"/>
    </w:rPr>
  </w:style>
  <w:style w:type="character" w:customStyle="1" w:styleId="ac">
    <w:name w:val="Символ сноски"/>
    <w:uiPriority w:val="99"/>
    <w:rsid w:val="00826C7D"/>
    <w:rPr>
      <w:vertAlign w:val="superscript"/>
    </w:rPr>
  </w:style>
  <w:style w:type="character" w:customStyle="1" w:styleId="22">
    <w:name w:val="Основной текст 2 Знак"/>
    <w:basedOn w:val="13"/>
    <w:uiPriority w:val="99"/>
    <w:rsid w:val="00826C7D"/>
    <w:rPr>
      <w:rFonts w:cs="Times New Roman"/>
    </w:rPr>
  </w:style>
  <w:style w:type="character" w:customStyle="1" w:styleId="72">
    <w:name w:val="Заголовок 7 Знак"/>
    <w:uiPriority w:val="99"/>
    <w:rsid w:val="00826C7D"/>
    <w:rPr>
      <w:rFonts w:ascii="Calibri" w:hAnsi="Calibri"/>
      <w:sz w:val="24"/>
    </w:rPr>
  </w:style>
  <w:style w:type="character" w:customStyle="1" w:styleId="82">
    <w:name w:val="Заголовок 8 Знак"/>
    <w:uiPriority w:val="99"/>
    <w:rsid w:val="00826C7D"/>
    <w:rPr>
      <w:rFonts w:ascii="Calibri" w:hAnsi="Calibri"/>
      <w:i/>
      <w:sz w:val="24"/>
    </w:rPr>
  </w:style>
  <w:style w:type="character" w:customStyle="1" w:styleId="ad">
    <w:name w:val="Основной текст Знак"/>
    <w:uiPriority w:val="99"/>
    <w:rsid w:val="00826C7D"/>
    <w:rPr>
      <w:sz w:val="24"/>
    </w:rPr>
  </w:style>
  <w:style w:type="character" w:customStyle="1" w:styleId="BodyTextIndent3Char">
    <w:name w:val="Body Text Indent 3 Char"/>
    <w:uiPriority w:val="99"/>
    <w:locked/>
    <w:rsid w:val="00826C7D"/>
    <w:rPr>
      <w:sz w:val="24"/>
    </w:rPr>
  </w:style>
  <w:style w:type="character" w:customStyle="1" w:styleId="14">
    <w:name w:val="Заголовок 1 Знак"/>
    <w:uiPriority w:val="99"/>
    <w:rsid w:val="00826C7D"/>
    <w:rPr>
      <w:b/>
      <w:sz w:val="24"/>
      <w:u w:val="single"/>
    </w:rPr>
  </w:style>
  <w:style w:type="character" w:customStyle="1" w:styleId="23">
    <w:name w:val="Заголовок 2 Знак"/>
    <w:uiPriority w:val="99"/>
    <w:rsid w:val="00826C7D"/>
    <w:rPr>
      <w:rFonts w:eastAsia="Arial Unicode MS"/>
      <w:sz w:val="28"/>
    </w:rPr>
  </w:style>
  <w:style w:type="character" w:customStyle="1" w:styleId="32">
    <w:name w:val="Заголовок 3 Знак"/>
    <w:uiPriority w:val="99"/>
    <w:rsid w:val="00826C7D"/>
    <w:rPr>
      <w:b/>
      <w:sz w:val="24"/>
    </w:rPr>
  </w:style>
  <w:style w:type="character" w:customStyle="1" w:styleId="ae">
    <w:name w:val="Верхний колонтитул Знак"/>
    <w:basedOn w:val="13"/>
    <w:uiPriority w:val="99"/>
    <w:rsid w:val="00826C7D"/>
    <w:rPr>
      <w:rFonts w:cs="Times New Roman"/>
    </w:rPr>
  </w:style>
  <w:style w:type="character" w:customStyle="1" w:styleId="af">
    <w:name w:val="Без интервала Знак"/>
    <w:rsid w:val="00826C7D"/>
    <w:rPr>
      <w:rFonts w:ascii="Calibri" w:hAnsi="Calibri"/>
      <w:sz w:val="22"/>
      <w:lang w:val="ru-RU"/>
    </w:rPr>
  </w:style>
  <w:style w:type="character" w:customStyle="1" w:styleId="apple-converted-space">
    <w:name w:val="apple-converted-space"/>
    <w:basedOn w:val="13"/>
    <w:rsid w:val="00826C7D"/>
    <w:rPr>
      <w:rFonts w:cs="Times New Roman"/>
    </w:rPr>
  </w:style>
  <w:style w:type="character" w:customStyle="1" w:styleId="42">
    <w:name w:val="Заголовок 4 Знак"/>
    <w:uiPriority w:val="99"/>
    <w:rsid w:val="00826C7D"/>
    <w:rPr>
      <w:rFonts w:ascii="Calibri" w:hAnsi="Calibri"/>
      <w:b/>
      <w:sz w:val="28"/>
    </w:rPr>
  </w:style>
  <w:style w:type="character" w:customStyle="1" w:styleId="210">
    <w:name w:val="Основной текст с отступом 2 Знак1"/>
    <w:basedOn w:val="80"/>
    <w:uiPriority w:val="99"/>
    <w:rsid w:val="00826C7D"/>
    <w:rPr>
      <w:rFonts w:cs="Times New Roman"/>
    </w:rPr>
  </w:style>
  <w:style w:type="character" w:customStyle="1" w:styleId="15">
    <w:name w:val="Название Знак1"/>
    <w:uiPriority w:val="99"/>
    <w:rsid w:val="00826C7D"/>
    <w:rPr>
      <w:rFonts w:ascii="Cambria" w:hAnsi="Cambria"/>
      <w:b/>
      <w:kern w:val="1"/>
      <w:sz w:val="32"/>
    </w:rPr>
  </w:style>
  <w:style w:type="character" w:customStyle="1" w:styleId="FontStyle12">
    <w:name w:val="Font Style12"/>
    <w:uiPriority w:val="99"/>
    <w:rsid w:val="00826C7D"/>
    <w:rPr>
      <w:rFonts w:ascii="Times New Roman" w:hAnsi="Times New Roman"/>
      <w:sz w:val="28"/>
    </w:rPr>
  </w:style>
  <w:style w:type="paragraph" w:customStyle="1" w:styleId="16">
    <w:name w:val="Заголовок1"/>
    <w:basedOn w:val="a"/>
    <w:next w:val="af0"/>
    <w:uiPriority w:val="99"/>
    <w:rsid w:val="00826C7D"/>
    <w:pPr>
      <w:keepNext/>
      <w:spacing w:before="240" w:after="120"/>
    </w:pPr>
    <w:rPr>
      <w:rFonts w:ascii="Arial" w:eastAsia="Microsoft YaHei" w:hAnsi="Arial" w:cs="Mangal"/>
      <w:sz w:val="28"/>
      <w:szCs w:val="28"/>
    </w:rPr>
  </w:style>
  <w:style w:type="paragraph" w:styleId="af0">
    <w:name w:val="Body Text"/>
    <w:basedOn w:val="a"/>
    <w:link w:val="17"/>
    <w:uiPriority w:val="99"/>
    <w:rsid w:val="00826C7D"/>
  </w:style>
  <w:style w:type="character" w:customStyle="1" w:styleId="17">
    <w:name w:val="Основной текст Знак1"/>
    <w:basedOn w:val="a0"/>
    <w:link w:val="af0"/>
    <w:uiPriority w:val="99"/>
    <w:locked/>
    <w:rsid w:val="00284999"/>
    <w:rPr>
      <w:rFonts w:cs="Times New Roman"/>
      <w:sz w:val="20"/>
      <w:szCs w:val="20"/>
      <w:lang w:eastAsia="zh-CN"/>
    </w:rPr>
  </w:style>
  <w:style w:type="paragraph" w:styleId="af1">
    <w:name w:val="List"/>
    <w:basedOn w:val="af0"/>
    <w:uiPriority w:val="99"/>
    <w:rsid w:val="00826C7D"/>
    <w:rPr>
      <w:rFonts w:cs="Mangal"/>
    </w:rPr>
  </w:style>
  <w:style w:type="paragraph" w:styleId="af2">
    <w:name w:val="caption"/>
    <w:basedOn w:val="a"/>
    <w:uiPriority w:val="99"/>
    <w:qFormat/>
    <w:rsid w:val="00826C7D"/>
    <w:pPr>
      <w:suppressLineNumbers/>
      <w:spacing w:before="120" w:after="120"/>
    </w:pPr>
    <w:rPr>
      <w:rFonts w:cs="Mangal"/>
      <w:i/>
      <w:iCs/>
      <w:szCs w:val="24"/>
    </w:rPr>
  </w:style>
  <w:style w:type="paragraph" w:customStyle="1" w:styleId="120">
    <w:name w:val="Указатель12"/>
    <w:basedOn w:val="a"/>
    <w:uiPriority w:val="99"/>
    <w:rsid w:val="00826C7D"/>
    <w:pPr>
      <w:suppressLineNumbers/>
    </w:pPr>
    <w:rPr>
      <w:rFonts w:cs="Mangal"/>
    </w:rPr>
  </w:style>
  <w:style w:type="paragraph" w:customStyle="1" w:styleId="43">
    <w:name w:val="Название объекта4"/>
    <w:basedOn w:val="a"/>
    <w:uiPriority w:val="99"/>
    <w:rsid w:val="00826C7D"/>
    <w:pPr>
      <w:suppressLineNumbers/>
      <w:spacing w:before="120" w:after="120"/>
    </w:pPr>
    <w:rPr>
      <w:rFonts w:cs="Mangal"/>
      <w:i/>
      <w:iCs/>
      <w:szCs w:val="24"/>
    </w:rPr>
  </w:style>
  <w:style w:type="paragraph" w:customStyle="1" w:styleId="111">
    <w:name w:val="Указатель11"/>
    <w:basedOn w:val="a"/>
    <w:uiPriority w:val="99"/>
    <w:rsid w:val="00826C7D"/>
    <w:pPr>
      <w:suppressLineNumbers/>
    </w:pPr>
    <w:rPr>
      <w:rFonts w:cs="Mangal"/>
    </w:rPr>
  </w:style>
  <w:style w:type="paragraph" w:customStyle="1" w:styleId="33">
    <w:name w:val="Название объекта3"/>
    <w:basedOn w:val="a"/>
    <w:uiPriority w:val="99"/>
    <w:rsid w:val="00826C7D"/>
    <w:pPr>
      <w:suppressLineNumbers/>
      <w:spacing w:before="120" w:after="120"/>
    </w:pPr>
    <w:rPr>
      <w:rFonts w:cs="Mangal"/>
      <w:i/>
      <w:iCs/>
      <w:szCs w:val="24"/>
    </w:rPr>
  </w:style>
  <w:style w:type="paragraph" w:customStyle="1" w:styleId="100">
    <w:name w:val="Указатель10"/>
    <w:basedOn w:val="a"/>
    <w:uiPriority w:val="99"/>
    <w:rsid w:val="00826C7D"/>
    <w:pPr>
      <w:suppressLineNumbers/>
    </w:pPr>
    <w:rPr>
      <w:rFonts w:cs="Mangal"/>
    </w:rPr>
  </w:style>
  <w:style w:type="paragraph" w:customStyle="1" w:styleId="73">
    <w:name w:val="Название7"/>
    <w:basedOn w:val="a"/>
    <w:next w:val="af3"/>
    <w:uiPriority w:val="99"/>
    <w:rsid w:val="00826C7D"/>
    <w:pPr>
      <w:suppressAutoHyphens w:val="0"/>
      <w:jc w:val="center"/>
    </w:pPr>
    <w:rPr>
      <w:b/>
      <w:bCs/>
    </w:rPr>
  </w:style>
  <w:style w:type="paragraph" w:customStyle="1" w:styleId="90">
    <w:name w:val="Указатель9"/>
    <w:basedOn w:val="a"/>
    <w:uiPriority w:val="99"/>
    <w:rsid w:val="00826C7D"/>
    <w:pPr>
      <w:suppressLineNumbers/>
    </w:pPr>
    <w:rPr>
      <w:rFonts w:cs="Mangal"/>
    </w:rPr>
  </w:style>
  <w:style w:type="paragraph" w:customStyle="1" w:styleId="60">
    <w:name w:val="Название6"/>
    <w:basedOn w:val="a"/>
    <w:uiPriority w:val="99"/>
    <w:rsid w:val="00826C7D"/>
    <w:pPr>
      <w:suppressLineNumbers/>
      <w:spacing w:before="120" w:after="120"/>
    </w:pPr>
    <w:rPr>
      <w:rFonts w:cs="Mangal"/>
      <w:i/>
      <w:iCs/>
      <w:szCs w:val="24"/>
    </w:rPr>
  </w:style>
  <w:style w:type="paragraph" w:customStyle="1" w:styleId="83">
    <w:name w:val="Указатель8"/>
    <w:basedOn w:val="a"/>
    <w:uiPriority w:val="99"/>
    <w:rsid w:val="00826C7D"/>
    <w:pPr>
      <w:suppressLineNumbers/>
    </w:pPr>
    <w:rPr>
      <w:rFonts w:cs="Mangal"/>
    </w:rPr>
  </w:style>
  <w:style w:type="paragraph" w:customStyle="1" w:styleId="50">
    <w:name w:val="Название5"/>
    <w:basedOn w:val="a"/>
    <w:uiPriority w:val="99"/>
    <w:rsid w:val="00826C7D"/>
    <w:pPr>
      <w:suppressLineNumbers/>
      <w:spacing w:before="120" w:after="120"/>
    </w:pPr>
    <w:rPr>
      <w:rFonts w:cs="Mangal"/>
      <w:i/>
      <w:iCs/>
      <w:szCs w:val="24"/>
    </w:rPr>
  </w:style>
  <w:style w:type="paragraph" w:customStyle="1" w:styleId="74">
    <w:name w:val="Указатель7"/>
    <w:basedOn w:val="a"/>
    <w:uiPriority w:val="99"/>
    <w:rsid w:val="00826C7D"/>
    <w:pPr>
      <w:suppressLineNumbers/>
    </w:pPr>
    <w:rPr>
      <w:rFonts w:cs="Mangal"/>
    </w:rPr>
  </w:style>
  <w:style w:type="paragraph" w:customStyle="1" w:styleId="44">
    <w:name w:val="Название4"/>
    <w:basedOn w:val="a"/>
    <w:uiPriority w:val="99"/>
    <w:rsid w:val="00826C7D"/>
    <w:pPr>
      <w:suppressLineNumbers/>
      <w:spacing w:before="120" w:after="120"/>
    </w:pPr>
    <w:rPr>
      <w:rFonts w:cs="Mangal"/>
      <w:i/>
      <w:iCs/>
      <w:szCs w:val="24"/>
    </w:rPr>
  </w:style>
  <w:style w:type="paragraph" w:customStyle="1" w:styleId="61">
    <w:name w:val="Указатель6"/>
    <w:basedOn w:val="a"/>
    <w:uiPriority w:val="99"/>
    <w:rsid w:val="00826C7D"/>
    <w:pPr>
      <w:suppressLineNumbers/>
    </w:pPr>
    <w:rPr>
      <w:rFonts w:cs="Mangal"/>
    </w:rPr>
  </w:style>
  <w:style w:type="paragraph" w:customStyle="1" w:styleId="24">
    <w:name w:val="Название объекта2"/>
    <w:basedOn w:val="a"/>
    <w:uiPriority w:val="99"/>
    <w:rsid w:val="00826C7D"/>
    <w:pPr>
      <w:suppressLineNumbers/>
      <w:spacing w:before="120" w:after="120"/>
    </w:pPr>
    <w:rPr>
      <w:rFonts w:cs="Mangal"/>
      <w:i/>
      <w:iCs/>
      <w:szCs w:val="24"/>
    </w:rPr>
  </w:style>
  <w:style w:type="paragraph" w:customStyle="1" w:styleId="51">
    <w:name w:val="Указатель5"/>
    <w:basedOn w:val="a"/>
    <w:uiPriority w:val="99"/>
    <w:rsid w:val="00826C7D"/>
    <w:pPr>
      <w:suppressLineNumbers/>
    </w:pPr>
    <w:rPr>
      <w:rFonts w:cs="Mangal"/>
    </w:rPr>
  </w:style>
  <w:style w:type="paragraph" w:customStyle="1" w:styleId="34">
    <w:name w:val="Название3"/>
    <w:basedOn w:val="a"/>
    <w:uiPriority w:val="99"/>
    <w:rsid w:val="00826C7D"/>
    <w:pPr>
      <w:suppressLineNumbers/>
      <w:spacing w:before="120" w:after="120"/>
    </w:pPr>
    <w:rPr>
      <w:rFonts w:cs="Mangal"/>
      <w:i/>
      <w:iCs/>
      <w:szCs w:val="24"/>
    </w:rPr>
  </w:style>
  <w:style w:type="paragraph" w:customStyle="1" w:styleId="45">
    <w:name w:val="Указатель4"/>
    <w:basedOn w:val="a"/>
    <w:uiPriority w:val="99"/>
    <w:rsid w:val="00826C7D"/>
    <w:pPr>
      <w:suppressLineNumbers/>
    </w:pPr>
    <w:rPr>
      <w:rFonts w:cs="Mangal"/>
    </w:rPr>
  </w:style>
  <w:style w:type="paragraph" w:customStyle="1" w:styleId="18">
    <w:name w:val="Название объекта1"/>
    <w:basedOn w:val="a"/>
    <w:next w:val="af3"/>
    <w:uiPriority w:val="99"/>
    <w:rsid w:val="00826C7D"/>
    <w:pPr>
      <w:jc w:val="center"/>
    </w:pPr>
    <w:rPr>
      <w:b/>
      <w:bCs/>
    </w:rPr>
  </w:style>
  <w:style w:type="paragraph" w:customStyle="1" w:styleId="35">
    <w:name w:val="Указатель3"/>
    <w:basedOn w:val="a"/>
    <w:uiPriority w:val="99"/>
    <w:rsid w:val="00826C7D"/>
    <w:pPr>
      <w:suppressLineNumbers/>
    </w:pPr>
    <w:rPr>
      <w:rFonts w:cs="Mangal"/>
    </w:rPr>
  </w:style>
  <w:style w:type="paragraph" w:customStyle="1" w:styleId="25">
    <w:name w:val="Название2"/>
    <w:basedOn w:val="a"/>
    <w:uiPriority w:val="99"/>
    <w:rsid w:val="00826C7D"/>
    <w:pPr>
      <w:suppressLineNumbers/>
      <w:spacing w:before="120" w:after="120"/>
    </w:pPr>
    <w:rPr>
      <w:rFonts w:cs="Mangal"/>
      <w:i/>
      <w:iCs/>
      <w:szCs w:val="24"/>
    </w:rPr>
  </w:style>
  <w:style w:type="paragraph" w:customStyle="1" w:styleId="26">
    <w:name w:val="Указатель2"/>
    <w:basedOn w:val="a"/>
    <w:uiPriority w:val="99"/>
    <w:rsid w:val="00826C7D"/>
    <w:pPr>
      <w:suppressLineNumbers/>
    </w:pPr>
    <w:rPr>
      <w:rFonts w:cs="Mangal"/>
    </w:rPr>
  </w:style>
  <w:style w:type="paragraph" w:customStyle="1" w:styleId="19">
    <w:name w:val="Название1"/>
    <w:basedOn w:val="a"/>
    <w:uiPriority w:val="99"/>
    <w:rsid w:val="00826C7D"/>
    <w:pPr>
      <w:suppressLineNumbers/>
      <w:spacing w:before="120" w:after="120"/>
    </w:pPr>
    <w:rPr>
      <w:rFonts w:cs="Mangal"/>
      <w:i/>
      <w:iCs/>
      <w:szCs w:val="24"/>
    </w:rPr>
  </w:style>
  <w:style w:type="paragraph" w:customStyle="1" w:styleId="1a">
    <w:name w:val="Указатель1"/>
    <w:basedOn w:val="a"/>
    <w:uiPriority w:val="99"/>
    <w:rsid w:val="00826C7D"/>
    <w:pPr>
      <w:suppressLineNumbers/>
    </w:pPr>
    <w:rPr>
      <w:rFonts w:cs="Mangal"/>
    </w:rPr>
  </w:style>
  <w:style w:type="paragraph" w:customStyle="1" w:styleId="ConsPlusNormal">
    <w:name w:val="ConsPlusNormal"/>
    <w:rsid w:val="00826C7D"/>
    <w:pPr>
      <w:widowControl w:val="0"/>
      <w:suppressAutoHyphens/>
      <w:autoSpaceDE w:val="0"/>
      <w:ind w:firstLine="720"/>
    </w:pPr>
    <w:rPr>
      <w:rFonts w:ascii="Arial" w:hAnsi="Arial" w:cs="Arial"/>
      <w:sz w:val="20"/>
      <w:szCs w:val="20"/>
      <w:lang w:eastAsia="zh-CN"/>
    </w:rPr>
  </w:style>
  <w:style w:type="paragraph" w:styleId="af3">
    <w:name w:val="Subtitle"/>
    <w:basedOn w:val="16"/>
    <w:next w:val="af0"/>
    <w:link w:val="af4"/>
    <w:uiPriority w:val="99"/>
    <w:qFormat/>
    <w:rsid w:val="00826C7D"/>
    <w:pPr>
      <w:jc w:val="center"/>
    </w:pPr>
    <w:rPr>
      <w:rFonts w:cs="Times New Roman"/>
      <w:i/>
      <w:iCs/>
    </w:rPr>
  </w:style>
  <w:style w:type="character" w:customStyle="1" w:styleId="af4">
    <w:name w:val="Подзаголовок Знак"/>
    <w:basedOn w:val="a0"/>
    <w:link w:val="af3"/>
    <w:uiPriority w:val="99"/>
    <w:locked/>
    <w:rsid w:val="002A65CC"/>
    <w:rPr>
      <w:rFonts w:ascii="Arial" w:eastAsia="Microsoft YaHei" w:hAnsi="Arial" w:cs="Times New Roman"/>
      <w:i/>
      <w:sz w:val="28"/>
      <w:lang w:eastAsia="zh-CN"/>
    </w:rPr>
  </w:style>
  <w:style w:type="paragraph" w:styleId="af5">
    <w:name w:val="Body Text Indent"/>
    <w:basedOn w:val="a"/>
    <w:link w:val="1b"/>
    <w:uiPriority w:val="99"/>
    <w:rsid w:val="00826C7D"/>
    <w:pPr>
      <w:ind w:right="-766" w:firstLine="720"/>
    </w:pPr>
  </w:style>
  <w:style w:type="character" w:customStyle="1" w:styleId="1b">
    <w:name w:val="Основной текст с отступом Знак1"/>
    <w:basedOn w:val="a0"/>
    <w:link w:val="af5"/>
    <w:uiPriority w:val="99"/>
    <w:locked/>
    <w:rsid w:val="00284999"/>
    <w:rPr>
      <w:rFonts w:cs="Times New Roman"/>
      <w:sz w:val="20"/>
      <w:szCs w:val="20"/>
      <w:lang w:eastAsia="zh-CN"/>
    </w:rPr>
  </w:style>
  <w:style w:type="paragraph" w:customStyle="1" w:styleId="220">
    <w:name w:val="Основной текст с отступом 22"/>
    <w:basedOn w:val="a"/>
    <w:uiPriority w:val="99"/>
    <w:rsid w:val="00826C7D"/>
    <w:pPr>
      <w:ind w:right="-1050" w:firstLine="720"/>
    </w:pPr>
  </w:style>
  <w:style w:type="paragraph" w:customStyle="1" w:styleId="310">
    <w:name w:val="Основной текст с отступом 31"/>
    <w:basedOn w:val="a"/>
    <w:uiPriority w:val="99"/>
    <w:rsid w:val="00826C7D"/>
    <w:pPr>
      <w:ind w:left="780"/>
    </w:pPr>
  </w:style>
  <w:style w:type="paragraph" w:customStyle="1" w:styleId="af6">
    <w:name w:val="Знак"/>
    <w:basedOn w:val="a"/>
    <w:uiPriority w:val="99"/>
    <w:rsid w:val="00826C7D"/>
    <w:pPr>
      <w:widowControl w:val="0"/>
      <w:spacing w:after="160" w:line="240" w:lineRule="exact"/>
      <w:jc w:val="right"/>
    </w:pPr>
    <w:rPr>
      <w:lang w:val="en-GB"/>
    </w:rPr>
  </w:style>
  <w:style w:type="paragraph" w:styleId="af7">
    <w:name w:val="header"/>
    <w:basedOn w:val="a"/>
    <w:link w:val="1c"/>
    <w:uiPriority w:val="99"/>
    <w:rsid w:val="00826C7D"/>
    <w:pPr>
      <w:tabs>
        <w:tab w:val="center" w:pos="4677"/>
        <w:tab w:val="right" w:pos="9355"/>
      </w:tabs>
    </w:pPr>
  </w:style>
  <w:style w:type="character" w:customStyle="1" w:styleId="1c">
    <w:name w:val="Верхний колонтитул Знак1"/>
    <w:basedOn w:val="a0"/>
    <w:link w:val="af7"/>
    <w:uiPriority w:val="99"/>
    <w:semiHidden/>
    <w:locked/>
    <w:rsid w:val="00284999"/>
    <w:rPr>
      <w:rFonts w:cs="Times New Roman"/>
      <w:sz w:val="20"/>
      <w:szCs w:val="20"/>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826C7D"/>
    <w:rPr>
      <w:rFonts w:ascii="Verdana" w:hAnsi="Verdana" w:cs="Verdana"/>
      <w:lang w:val="en-US"/>
    </w:rPr>
  </w:style>
  <w:style w:type="paragraph" w:customStyle="1" w:styleId="1d">
    <w:name w:val="Без интервала1"/>
    <w:uiPriority w:val="99"/>
    <w:rsid w:val="00826C7D"/>
    <w:pPr>
      <w:suppressAutoHyphens/>
    </w:pPr>
    <w:rPr>
      <w:rFonts w:ascii="Calibri" w:hAnsi="Calibri" w:cs="Calibri"/>
      <w:lang w:eastAsia="zh-CN"/>
    </w:rPr>
  </w:style>
  <w:style w:type="paragraph" w:customStyle="1" w:styleId="211">
    <w:name w:val="Основной текст с отступом 21"/>
    <w:basedOn w:val="a"/>
    <w:uiPriority w:val="99"/>
    <w:rsid w:val="00826C7D"/>
    <w:pPr>
      <w:ind w:firstLine="851"/>
    </w:pPr>
  </w:style>
  <w:style w:type="paragraph" w:styleId="af8">
    <w:name w:val="No Spacing"/>
    <w:link w:val="1e"/>
    <w:uiPriority w:val="1"/>
    <w:qFormat/>
    <w:rsid w:val="00826C7D"/>
    <w:pPr>
      <w:suppressAutoHyphens/>
    </w:pPr>
    <w:rPr>
      <w:rFonts w:ascii="Calibri" w:hAnsi="Calibri" w:cs="Calibri"/>
      <w:lang w:eastAsia="zh-CN"/>
    </w:rPr>
  </w:style>
  <w:style w:type="paragraph" w:customStyle="1" w:styleId="1f">
    <w:name w:val="Обычный1"/>
    <w:uiPriority w:val="99"/>
    <w:rsid w:val="00826C7D"/>
    <w:pPr>
      <w:widowControl w:val="0"/>
      <w:suppressAutoHyphens/>
      <w:spacing w:line="300" w:lineRule="auto"/>
      <w:ind w:firstLine="720"/>
      <w:jc w:val="both"/>
    </w:pPr>
    <w:rPr>
      <w:szCs w:val="20"/>
      <w:lang w:eastAsia="zh-CN"/>
    </w:rPr>
  </w:style>
  <w:style w:type="paragraph" w:customStyle="1" w:styleId="ConsNormal">
    <w:name w:val="ConsNormal"/>
    <w:uiPriority w:val="99"/>
    <w:rsid w:val="00826C7D"/>
    <w:pPr>
      <w:widowControl w:val="0"/>
      <w:suppressAutoHyphens/>
      <w:snapToGrid w:val="0"/>
      <w:ind w:firstLine="720"/>
    </w:pPr>
    <w:rPr>
      <w:rFonts w:ascii="Arial" w:hAnsi="Arial" w:cs="Arial"/>
      <w:szCs w:val="20"/>
      <w:lang w:eastAsia="zh-CN"/>
    </w:rPr>
  </w:style>
  <w:style w:type="paragraph" w:styleId="af9">
    <w:name w:val="Normal (Web)"/>
    <w:aliases w:val="Обычный (веб)1,Обычный (веб) Знак,Обычный (веб) Знак1,Обычный (веб) Знак Знак"/>
    <w:basedOn w:val="a"/>
    <w:rsid w:val="00826C7D"/>
    <w:pPr>
      <w:spacing w:after="240"/>
    </w:pPr>
    <w:rPr>
      <w:szCs w:val="24"/>
    </w:rPr>
  </w:style>
  <w:style w:type="paragraph" w:customStyle="1" w:styleId="ConsPlusNonformat">
    <w:name w:val="ConsPlusNonformat"/>
    <w:uiPriority w:val="99"/>
    <w:rsid w:val="00826C7D"/>
    <w:pPr>
      <w:suppressAutoHyphens/>
      <w:autoSpaceDE w:val="0"/>
    </w:pPr>
    <w:rPr>
      <w:rFonts w:ascii="Courier New" w:hAnsi="Courier New" w:cs="Courier New"/>
      <w:sz w:val="20"/>
      <w:szCs w:val="20"/>
      <w:lang w:eastAsia="zh-CN"/>
    </w:rPr>
  </w:style>
  <w:style w:type="paragraph" w:customStyle="1" w:styleId="212">
    <w:name w:val="Основной текст 21"/>
    <w:basedOn w:val="a"/>
    <w:uiPriority w:val="99"/>
    <w:rsid w:val="00826C7D"/>
  </w:style>
  <w:style w:type="paragraph" w:customStyle="1" w:styleId="afa">
    <w:name w:val="Знак Знак Знак Знак Знак Знак"/>
    <w:basedOn w:val="a"/>
    <w:uiPriority w:val="99"/>
    <w:rsid w:val="00826C7D"/>
    <w:pPr>
      <w:spacing w:after="160" w:line="240" w:lineRule="exact"/>
    </w:pPr>
    <w:rPr>
      <w:rFonts w:ascii="Verdana" w:hAnsi="Verdana" w:cs="Verdana"/>
      <w:lang w:val="en-US"/>
    </w:rPr>
  </w:style>
  <w:style w:type="paragraph" w:customStyle="1" w:styleId="1f0">
    <w:name w:val="Текст1"/>
    <w:basedOn w:val="a"/>
    <w:uiPriority w:val="99"/>
    <w:rsid w:val="00826C7D"/>
    <w:rPr>
      <w:rFonts w:ascii="Courier New" w:hAnsi="Courier New" w:cs="Courier New"/>
    </w:rPr>
  </w:style>
  <w:style w:type="paragraph" w:styleId="afb">
    <w:name w:val="List Paragraph"/>
    <w:aliases w:val="Абзац списка основной"/>
    <w:basedOn w:val="a"/>
    <w:link w:val="afc"/>
    <w:uiPriority w:val="34"/>
    <w:qFormat/>
    <w:rsid w:val="00826C7D"/>
    <w:pPr>
      <w:ind w:left="720"/>
    </w:pPr>
  </w:style>
  <w:style w:type="paragraph" w:customStyle="1" w:styleId="320">
    <w:name w:val="Основной текст с отступом 32"/>
    <w:basedOn w:val="a"/>
    <w:uiPriority w:val="99"/>
    <w:rsid w:val="00826C7D"/>
    <w:pPr>
      <w:tabs>
        <w:tab w:val="left" w:pos="9639"/>
      </w:tabs>
      <w:spacing w:line="360" w:lineRule="auto"/>
      <w:ind w:firstLine="720"/>
    </w:pPr>
    <w:rPr>
      <w:sz w:val="28"/>
    </w:rPr>
  </w:style>
  <w:style w:type="paragraph" w:customStyle="1" w:styleId="note">
    <w:name w:val="note"/>
    <w:basedOn w:val="a"/>
    <w:uiPriority w:val="99"/>
    <w:rsid w:val="00826C7D"/>
    <w:pPr>
      <w:spacing w:before="280" w:after="280"/>
    </w:pPr>
    <w:rPr>
      <w:szCs w:val="24"/>
    </w:rPr>
  </w:style>
  <w:style w:type="paragraph" w:styleId="afd">
    <w:name w:val="footer"/>
    <w:basedOn w:val="a"/>
    <w:link w:val="1f1"/>
    <w:uiPriority w:val="99"/>
    <w:rsid w:val="00826C7D"/>
    <w:pPr>
      <w:tabs>
        <w:tab w:val="center" w:pos="4677"/>
        <w:tab w:val="right" w:pos="9355"/>
      </w:tabs>
    </w:pPr>
  </w:style>
  <w:style w:type="character" w:customStyle="1" w:styleId="1f1">
    <w:name w:val="Нижний колонтитул Знак1"/>
    <w:basedOn w:val="a0"/>
    <w:link w:val="afd"/>
    <w:uiPriority w:val="99"/>
    <w:semiHidden/>
    <w:locked/>
    <w:rsid w:val="00284999"/>
    <w:rPr>
      <w:rFonts w:cs="Times New Roman"/>
      <w:sz w:val="20"/>
      <w:szCs w:val="20"/>
      <w:lang w:eastAsia="zh-CN"/>
    </w:rPr>
  </w:style>
  <w:style w:type="paragraph" w:styleId="afe">
    <w:name w:val="endnote text"/>
    <w:basedOn w:val="a"/>
    <w:link w:val="1f2"/>
    <w:uiPriority w:val="99"/>
    <w:rsid w:val="00826C7D"/>
  </w:style>
  <w:style w:type="character" w:customStyle="1" w:styleId="1f2">
    <w:name w:val="Текст концевой сноски Знак1"/>
    <w:basedOn w:val="a0"/>
    <w:link w:val="afe"/>
    <w:uiPriority w:val="99"/>
    <w:semiHidden/>
    <w:locked/>
    <w:rsid w:val="00284999"/>
    <w:rPr>
      <w:rFonts w:cs="Times New Roman"/>
      <w:sz w:val="20"/>
      <w:szCs w:val="20"/>
      <w:lang w:eastAsia="zh-CN"/>
    </w:rPr>
  </w:style>
  <w:style w:type="paragraph" w:styleId="aff">
    <w:name w:val="footnote text"/>
    <w:basedOn w:val="a"/>
    <w:link w:val="1f3"/>
    <w:uiPriority w:val="99"/>
    <w:rsid w:val="00826C7D"/>
  </w:style>
  <w:style w:type="character" w:customStyle="1" w:styleId="1f3">
    <w:name w:val="Текст сноски Знак1"/>
    <w:basedOn w:val="a0"/>
    <w:link w:val="aff"/>
    <w:uiPriority w:val="99"/>
    <w:locked/>
    <w:rsid w:val="00284999"/>
    <w:rPr>
      <w:rFonts w:cs="Times New Roman"/>
      <w:sz w:val="20"/>
      <w:szCs w:val="20"/>
      <w:lang w:eastAsia="zh-CN"/>
    </w:rPr>
  </w:style>
  <w:style w:type="paragraph" w:customStyle="1" w:styleId="221">
    <w:name w:val="Основной текст 22"/>
    <w:basedOn w:val="a"/>
    <w:uiPriority w:val="99"/>
    <w:rsid w:val="00826C7D"/>
    <w:pPr>
      <w:spacing w:after="120" w:line="480" w:lineRule="auto"/>
    </w:pPr>
  </w:style>
  <w:style w:type="paragraph" w:customStyle="1" w:styleId="aff0">
    <w:name w:val="Последний абзац"/>
    <w:basedOn w:val="221"/>
    <w:link w:val="aff1"/>
    <w:uiPriority w:val="99"/>
    <w:qFormat/>
    <w:rsid w:val="00826C7D"/>
    <w:pPr>
      <w:widowControl w:val="0"/>
      <w:spacing w:after="0" w:line="360" w:lineRule="auto"/>
    </w:pPr>
    <w:rPr>
      <w:sz w:val="28"/>
      <w:szCs w:val="22"/>
    </w:rPr>
  </w:style>
  <w:style w:type="paragraph" w:customStyle="1" w:styleId="112">
    <w:name w:val="Обычный11"/>
    <w:uiPriority w:val="99"/>
    <w:rsid w:val="00826C7D"/>
    <w:pPr>
      <w:widowControl w:val="0"/>
      <w:suppressAutoHyphens/>
      <w:snapToGrid w:val="0"/>
      <w:spacing w:line="300" w:lineRule="auto"/>
      <w:ind w:firstLine="720"/>
      <w:jc w:val="both"/>
    </w:pPr>
    <w:rPr>
      <w:rFonts w:ascii="Calibri" w:hAnsi="Calibri" w:cs="Calibri"/>
      <w:lang w:eastAsia="zh-CN"/>
    </w:rPr>
  </w:style>
  <w:style w:type="paragraph" w:customStyle="1" w:styleId="52">
    <w:name w:val="Знак5 Знак Знак Знак"/>
    <w:basedOn w:val="a"/>
    <w:uiPriority w:val="99"/>
    <w:rsid w:val="00826C7D"/>
    <w:pPr>
      <w:spacing w:after="160" w:line="240" w:lineRule="exact"/>
    </w:pPr>
    <w:rPr>
      <w:rFonts w:ascii="Verdana" w:hAnsi="Verdana" w:cs="Verdana"/>
      <w:lang w:val="en-US"/>
    </w:rPr>
  </w:style>
  <w:style w:type="paragraph" w:customStyle="1" w:styleId="BodyTextIndent31">
    <w:name w:val="Body Text Indent 31"/>
    <w:basedOn w:val="a"/>
    <w:uiPriority w:val="99"/>
    <w:rsid w:val="00826C7D"/>
    <w:pPr>
      <w:spacing w:line="360" w:lineRule="auto"/>
    </w:pPr>
    <w:rPr>
      <w:sz w:val="28"/>
    </w:rPr>
  </w:style>
  <w:style w:type="paragraph" w:customStyle="1" w:styleId="1f4">
    <w:name w:val="Знак1"/>
    <w:basedOn w:val="a"/>
    <w:uiPriority w:val="99"/>
    <w:rsid w:val="00826C7D"/>
    <w:rPr>
      <w:rFonts w:ascii="Verdana" w:hAnsi="Verdana" w:cs="Verdana"/>
      <w:lang w:val="en-US"/>
    </w:rPr>
  </w:style>
  <w:style w:type="paragraph" w:customStyle="1" w:styleId="1f5">
    <w:name w:val="1"/>
    <w:basedOn w:val="a"/>
    <w:uiPriority w:val="99"/>
    <w:rsid w:val="00826C7D"/>
    <w:pPr>
      <w:spacing w:after="160" w:line="240" w:lineRule="exact"/>
    </w:pPr>
  </w:style>
  <w:style w:type="paragraph" w:customStyle="1" w:styleId="atlp">
    <w:name w:val="atl_p"/>
    <w:basedOn w:val="a"/>
    <w:rsid w:val="00826C7D"/>
    <w:pPr>
      <w:spacing w:before="280" w:after="280"/>
    </w:pPr>
    <w:rPr>
      <w:szCs w:val="24"/>
    </w:rPr>
  </w:style>
  <w:style w:type="paragraph" w:customStyle="1" w:styleId="ConsPlusTitle">
    <w:name w:val="ConsPlusTitle"/>
    <w:rsid w:val="00826C7D"/>
    <w:pPr>
      <w:widowControl w:val="0"/>
      <w:suppressAutoHyphens/>
      <w:autoSpaceDE w:val="0"/>
    </w:pPr>
    <w:rPr>
      <w:rFonts w:ascii="Arial" w:hAnsi="Arial" w:cs="Arial"/>
      <w:b/>
      <w:bCs/>
      <w:sz w:val="16"/>
      <w:szCs w:val="16"/>
      <w:lang w:eastAsia="zh-CN"/>
    </w:rPr>
  </w:style>
  <w:style w:type="paragraph" w:customStyle="1" w:styleId="consplustitle0">
    <w:name w:val="consplustitle"/>
    <w:basedOn w:val="a"/>
    <w:uiPriority w:val="99"/>
    <w:rsid w:val="00826C7D"/>
    <w:pPr>
      <w:spacing w:before="280" w:after="280"/>
    </w:pPr>
    <w:rPr>
      <w:szCs w:val="24"/>
    </w:rPr>
  </w:style>
  <w:style w:type="paragraph" w:customStyle="1" w:styleId="a00">
    <w:name w:val="a0"/>
    <w:basedOn w:val="a"/>
    <w:uiPriority w:val="99"/>
    <w:rsid w:val="00826C7D"/>
    <w:pPr>
      <w:spacing w:before="280" w:after="280"/>
    </w:pPr>
    <w:rPr>
      <w:szCs w:val="24"/>
    </w:rPr>
  </w:style>
  <w:style w:type="paragraph" w:customStyle="1" w:styleId="aff2">
    <w:name w:val="Содержимое таблицы"/>
    <w:basedOn w:val="a"/>
    <w:uiPriority w:val="99"/>
    <w:rsid w:val="00826C7D"/>
    <w:pPr>
      <w:suppressLineNumbers/>
    </w:pPr>
  </w:style>
  <w:style w:type="paragraph" w:customStyle="1" w:styleId="aff3">
    <w:name w:val="Заголовок таблицы"/>
    <w:basedOn w:val="aff2"/>
    <w:uiPriority w:val="99"/>
    <w:rsid w:val="00826C7D"/>
    <w:pPr>
      <w:jc w:val="center"/>
    </w:pPr>
    <w:rPr>
      <w:b/>
      <w:bCs/>
    </w:rPr>
  </w:style>
  <w:style w:type="paragraph" w:customStyle="1" w:styleId="aff4">
    <w:name w:val="Содержимое врезки"/>
    <w:basedOn w:val="af0"/>
    <w:uiPriority w:val="99"/>
    <w:rsid w:val="00826C7D"/>
  </w:style>
  <w:style w:type="paragraph" w:customStyle="1" w:styleId="230">
    <w:name w:val="Основной текст с отступом 23"/>
    <w:basedOn w:val="a"/>
    <w:uiPriority w:val="99"/>
    <w:rsid w:val="00826C7D"/>
    <w:pPr>
      <w:spacing w:after="120" w:line="480" w:lineRule="auto"/>
      <w:ind w:left="283"/>
    </w:pPr>
  </w:style>
  <w:style w:type="paragraph" w:customStyle="1" w:styleId="321">
    <w:name w:val="Основной текст с отступом 321"/>
    <w:basedOn w:val="a"/>
    <w:uiPriority w:val="99"/>
    <w:rsid w:val="00826C7D"/>
    <w:pPr>
      <w:spacing w:after="120"/>
      <w:ind w:left="283"/>
    </w:pPr>
    <w:rPr>
      <w:sz w:val="16"/>
      <w:szCs w:val="16"/>
    </w:rPr>
  </w:style>
  <w:style w:type="paragraph" w:customStyle="1" w:styleId="240">
    <w:name w:val="Основной текст с отступом 24"/>
    <w:basedOn w:val="a"/>
    <w:uiPriority w:val="99"/>
    <w:rsid w:val="00826C7D"/>
    <w:pPr>
      <w:spacing w:after="120" w:line="480" w:lineRule="auto"/>
      <w:ind w:left="283"/>
    </w:pPr>
  </w:style>
  <w:style w:type="paragraph" w:customStyle="1" w:styleId="250">
    <w:name w:val="Основной текст с отступом 25"/>
    <w:basedOn w:val="a"/>
    <w:uiPriority w:val="99"/>
    <w:rsid w:val="00826C7D"/>
    <w:pPr>
      <w:spacing w:after="120" w:line="480" w:lineRule="auto"/>
      <w:ind w:left="283"/>
    </w:pPr>
  </w:style>
  <w:style w:type="paragraph" w:customStyle="1" w:styleId="231">
    <w:name w:val="Основной текст 23"/>
    <w:basedOn w:val="a"/>
    <w:uiPriority w:val="99"/>
    <w:rsid w:val="00826C7D"/>
    <w:pPr>
      <w:suppressAutoHyphens w:val="0"/>
      <w:spacing w:after="120" w:line="480" w:lineRule="auto"/>
    </w:pPr>
  </w:style>
  <w:style w:type="paragraph" w:customStyle="1" w:styleId="260">
    <w:name w:val="Основной текст с отступом 26"/>
    <w:basedOn w:val="a"/>
    <w:uiPriority w:val="99"/>
    <w:rsid w:val="00826C7D"/>
    <w:pPr>
      <w:spacing w:after="120" w:line="480" w:lineRule="auto"/>
      <w:ind w:left="283"/>
    </w:pPr>
  </w:style>
  <w:style w:type="paragraph" w:customStyle="1" w:styleId="Standard">
    <w:name w:val="Standard"/>
    <w:uiPriority w:val="99"/>
    <w:rsid w:val="000C7967"/>
    <w:pPr>
      <w:widowControl w:val="0"/>
      <w:suppressAutoHyphens/>
      <w:autoSpaceDN w:val="0"/>
      <w:textAlignment w:val="baseline"/>
    </w:pPr>
    <w:rPr>
      <w:rFonts w:cs="Tahoma"/>
      <w:kern w:val="3"/>
      <w:sz w:val="24"/>
      <w:szCs w:val="24"/>
      <w:lang w:val="de-DE" w:eastAsia="ja-JP" w:bidi="fa-IR"/>
    </w:rPr>
  </w:style>
  <w:style w:type="paragraph" w:styleId="27">
    <w:name w:val="Body Text Indent 2"/>
    <w:basedOn w:val="a"/>
    <w:link w:val="28"/>
    <w:uiPriority w:val="99"/>
    <w:semiHidden/>
    <w:rsid w:val="000E7694"/>
    <w:pPr>
      <w:spacing w:after="120" w:line="480" w:lineRule="auto"/>
      <w:ind w:left="283"/>
    </w:pPr>
  </w:style>
  <w:style w:type="character" w:customStyle="1" w:styleId="28">
    <w:name w:val="Основной текст с отступом 2 Знак"/>
    <w:basedOn w:val="a0"/>
    <w:link w:val="27"/>
    <w:uiPriority w:val="99"/>
    <w:locked/>
    <w:rsid w:val="00284999"/>
    <w:rPr>
      <w:rFonts w:cs="Times New Roman"/>
      <w:sz w:val="20"/>
      <w:szCs w:val="20"/>
      <w:lang w:eastAsia="zh-CN"/>
    </w:rPr>
  </w:style>
  <w:style w:type="character" w:customStyle="1" w:styleId="222">
    <w:name w:val="Основной текст с отступом 2 Знак2"/>
    <w:uiPriority w:val="99"/>
    <w:semiHidden/>
    <w:rsid w:val="000E7694"/>
    <w:rPr>
      <w:lang w:eastAsia="zh-CN"/>
    </w:rPr>
  </w:style>
  <w:style w:type="paragraph" w:styleId="36">
    <w:name w:val="Body Text Indent 3"/>
    <w:basedOn w:val="a"/>
    <w:link w:val="37"/>
    <w:uiPriority w:val="99"/>
    <w:semiHidden/>
    <w:rsid w:val="000E7694"/>
    <w:pPr>
      <w:spacing w:after="120"/>
      <w:ind w:left="283"/>
    </w:pPr>
  </w:style>
  <w:style w:type="character" w:customStyle="1" w:styleId="37">
    <w:name w:val="Основной текст с отступом 3 Знак"/>
    <w:basedOn w:val="a0"/>
    <w:link w:val="36"/>
    <w:uiPriority w:val="99"/>
    <w:semiHidden/>
    <w:locked/>
    <w:rsid w:val="00284999"/>
    <w:rPr>
      <w:rFonts w:cs="Times New Roman"/>
      <w:sz w:val="16"/>
      <w:szCs w:val="16"/>
      <w:lang w:eastAsia="zh-CN"/>
    </w:rPr>
  </w:style>
  <w:style w:type="character" w:customStyle="1" w:styleId="311">
    <w:name w:val="Основной текст с отступом 3 Знак1"/>
    <w:uiPriority w:val="99"/>
    <w:semiHidden/>
    <w:rsid w:val="000E7694"/>
    <w:rPr>
      <w:sz w:val="16"/>
      <w:lang w:eastAsia="zh-CN"/>
    </w:rPr>
  </w:style>
  <w:style w:type="paragraph" w:styleId="aff5">
    <w:name w:val="Title"/>
    <w:basedOn w:val="a"/>
    <w:link w:val="aff6"/>
    <w:qFormat/>
    <w:rsid w:val="000E7694"/>
    <w:pPr>
      <w:suppressAutoHyphens w:val="0"/>
      <w:jc w:val="center"/>
    </w:pPr>
    <w:rPr>
      <w:b/>
    </w:rPr>
  </w:style>
  <w:style w:type="character" w:customStyle="1" w:styleId="aff6">
    <w:name w:val="Заголовок Знак"/>
    <w:basedOn w:val="a0"/>
    <w:link w:val="aff5"/>
    <w:locked/>
    <w:rsid w:val="00284999"/>
    <w:rPr>
      <w:rFonts w:ascii="Cambria" w:hAnsi="Cambria" w:cs="Times New Roman"/>
      <w:b/>
      <w:bCs/>
      <w:kern w:val="28"/>
      <w:sz w:val="32"/>
      <w:szCs w:val="32"/>
      <w:lang w:eastAsia="zh-CN"/>
    </w:rPr>
  </w:style>
  <w:style w:type="character" w:customStyle="1" w:styleId="29">
    <w:name w:val="Название Знак2"/>
    <w:uiPriority w:val="99"/>
    <w:rsid w:val="000E7694"/>
    <w:rPr>
      <w:rFonts w:ascii="Cambria" w:hAnsi="Cambria"/>
      <w:b/>
      <w:kern w:val="28"/>
      <w:sz w:val="32"/>
      <w:lang w:eastAsia="zh-CN"/>
    </w:rPr>
  </w:style>
  <w:style w:type="paragraph" w:styleId="2a">
    <w:name w:val="Body Text 2"/>
    <w:basedOn w:val="a"/>
    <w:link w:val="213"/>
    <w:uiPriority w:val="99"/>
    <w:rsid w:val="00453026"/>
    <w:pPr>
      <w:spacing w:after="120" w:line="480" w:lineRule="auto"/>
    </w:pPr>
  </w:style>
  <w:style w:type="character" w:customStyle="1" w:styleId="213">
    <w:name w:val="Основной текст 2 Знак1"/>
    <w:basedOn w:val="a0"/>
    <w:link w:val="2a"/>
    <w:uiPriority w:val="99"/>
    <w:locked/>
    <w:rsid w:val="00453026"/>
    <w:rPr>
      <w:rFonts w:cs="Times New Roman"/>
      <w:lang w:eastAsia="zh-CN"/>
    </w:rPr>
  </w:style>
  <w:style w:type="paragraph" w:customStyle="1" w:styleId="Textbodyindent">
    <w:name w:val="Text body indent"/>
    <w:basedOn w:val="Standard"/>
    <w:uiPriority w:val="99"/>
    <w:rsid w:val="00453026"/>
    <w:pPr>
      <w:widowControl/>
      <w:spacing w:after="120" w:line="276" w:lineRule="auto"/>
      <w:ind w:left="283"/>
    </w:pPr>
    <w:rPr>
      <w:rFonts w:ascii="Calibri" w:hAnsi="Calibri" w:cs="Calibri"/>
      <w:sz w:val="22"/>
      <w:szCs w:val="22"/>
      <w:lang w:val="ru-RU" w:eastAsia="zh-CN" w:bidi="ar-SA"/>
    </w:rPr>
  </w:style>
  <w:style w:type="character" w:customStyle="1" w:styleId="FontStyle11">
    <w:name w:val="Font Style11"/>
    <w:uiPriority w:val="99"/>
    <w:rsid w:val="004F5F5B"/>
    <w:rPr>
      <w:rFonts w:ascii="Times New Roman" w:hAnsi="Times New Roman"/>
      <w:sz w:val="26"/>
    </w:rPr>
  </w:style>
  <w:style w:type="character" w:styleId="aff7">
    <w:name w:val="Hyperlink"/>
    <w:basedOn w:val="a0"/>
    <w:uiPriority w:val="99"/>
    <w:rsid w:val="002A65CC"/>
    <w:rPr>
      <w:rFonts w:cs="Times New Roman"/>
      <w:color w:val="0000FF"/>
      <w:u w:val="single"/>
    </w:rPr>
  </w:style>
  <w:style w:type="paragraph" w:styleId="aff8">
    <w:name w:val="Block Text"/>
    <w:basedOn w:val="a"/>
    <w:rsid w:val="00430614"/>
    <w:pPr>
      <w:widowControl w:val="0"/>
      <w:suppressAutoHyphens w:val="0"/>
      <w:spacing w:before="120" w:line="320" w:lineRule="exact"/>
      <w:ind w:left="1540" w:right="1500"/>
      <w:jc w:val="center"/>
    </w:pPr>
    <w:rPr>
      <w:sz w:val="28"/>
      <w:lang w:eastAsia="ru-RU"/>
    </w:rPr>
  </w:style>
  <w:style w:type="paragraph" w:styleId="aff9">
    <w:name w:val="Balloon Text"/>
    <w:basedOn w:val="a"/>
    <w:link w:val="affa"/>
    <w:uiPriority w:val="99"/>
    <w:semiHidden/>
    <w:rsid w:val="001A587D"/>
    <w:rPr>
      <w:rFonts w:ascii="Segoe UI" w:hAnsi="Segoe UI"/>
      <w:sz w:val="18"/>
      <w:szCs w:val="18"/>
    </w:rPr>
  </w:style>
  <w:style w:type="character" w:customStyle="1" w:styleId="affa">
    <w:name w:val="Текст выноски Знак"/>
    <w:basedOn w:val="a0"/>
    <w:link w:val="aff9"/>
    <w:uiPriority w:val="99"/>
    <w:semiHidden/>
    <w:locked/>
    <w:rsid w:val="001A587D"/>
    <w:rPr>
      <w:rFonts w:ascii="Segoe UI" w:hAnsi="Segoe UI" w:cs="Times New Roman"/>
      <w:sz w:val="18"/>
      <w:lang w:eastAsia="zh-CN"/>
    </w:rPr>
  </w:style>
  <w:style w:type="character" w:customStyle="1" w:styleId="aff1">
    <w:name w:val="Последний абзац Знак"/>
    <w:basedOn w:val="a0"/>
    <w:link w:val="aff0"/>
    <w:uiPriority w:val="99"/>
    <w:locked/>
    <w:rsid w:val="0093504D"/>
    <w:rPr>
      <w:rFonts w:eastAsia="Times New Roman" w:cs="Times New Roman"/>
      <w:sz w:val="22"/>
      <w:szCs w:val="22"/>
      <w:lang w:eastAsia="zh-CN"/>
    </w:rPr>
  </w:style>
  <w:style w:type="character" w:customStyle="1" w:styleId="1e">
    <w:name w:val="Без интервала Знак1"/>
    <w:basedOn w:val="a0"/>
    <w:link w:val="af8"/>
    <w:uiPriority w:val="99"/>
    <w:locked/>
    <w:rsid w:val="00345BF3"/>
    <w:rPr>
      <w:rFonts w:ascii="Calibri" w:hAnsi="Calibri" w:cs="Calibri"/>
      <w:sz w:val="22"/>
      <w:szCs w:val="22"/>
      <w:lang w:val="ru-RU" w:eastAsia="zh-CN" w:bidi="ar-SA"/>
    </w:rPr>
  </w:style>
  <w:style w:type="paragraph" w:customStyle="1" w:styleId="2b">
    <w:name w:val="Без интервала2"/>
    <w:uiPriority w:val="99"/>
    <w:rsid w:val="00345BF3"/>
    <w:pPr>
      <w:suppressAutoHyphens/>
    </w:pPr>
    <w:rPr>
      <w:rFonts w:ascii="Calibri" w:hAnsi="Calibri" w:cs="Calibri"/>
      <w:lang w:eastAsia="ar-SA"/>
    </w:rPr>
  </w:style>
  <w:style w:type="paragraph" w:customStyle="1" w:styleId="Default">
    <w:name w:val="Default"/>
    <w:rsid w:val="00345BF3"/>
    <w:pPr>
      <w:autoSpaceDE w:val="0"/>
      <w:autoSpaceDN w:val="0"/>
      <w:adjustRightInd w:val="0"/>
    </w:pPr>
    <w:rPr>
      <w:color w:val="000000"/>
      <w:sz w:val="24"/>
      <w:szCs w:val="24"/>
    </w:rPr>
  </w:style>
  <w:style w:type="paragraph" w:customStyle="1" w:styleId="38">
    <w:name w:val="Без интервала3"/>
    <w:link w:val="NoSpacingChar"/>
    <w:uiPriority w:val="99"/>
    <w:rsid w:val="00C16FFD"/>
    <w:pPr>
      <w:suppressAutoHyphens/>
    </w:pPr>
    <w:rPr>
      <w:rFonts w:ascii="Calibri" w:hAnsi="Calibri" w:cs="Calibri"/>
      <w:lang w:eastAsia="zh-CN"/>
    </w:rPr>
  </w:style>
  <w:style w:type="character" w:customStyle="1" w:styleId="NoSpacingChar">
    <w:name w:val="No Spacing Char"/>
    <w:basedOn w:val="a0"/>
    <w:link w:val="38"/>
    <w:uiPriority w:val="99"/>
    <w:locked/>
    <w:rsid w:val="00C16FFD"/>
    <w:rPr>
      <w:rFonts w:ascii="Calibri" w:hAnsi="Calibri" w:cs="Calibri"/>
      <w:sz w:val="22"/>
      <w:szCs w:val="22"/>
      <w:lang w:val="ru-RU" w:eastAsia="zh-CN" w:bidi="ar-SA"/>
    </w:rPr>
  </w:style>
  <w:style w:type="character" w:customStyle="1" w:styleId="afc">
    <w:name w:val="Абзац списка Знак"/>
    <w:aliases w:val="Абзац списка основной Знак"/>
    <w:link w:val="afb"/>
    <w:uiPriority w:val="34"/>
    <w:locked/>
    <w:rsid w:val="00F6055C"/>
    <w:rPr>
      <w:sz w:val="24"/>
      <w:lang w:eastAsia="zh-CN"/>
    </w:rPr>
  </w:style>
  <w:style w:type="character" w:styleId="affb">
    <w:name w:val="footnote reference"/>
    <w:basedOn w:val="a0"/>
    <w:uiPriority w:val="99"/>
    <w:semiHidden/>
    <w:locked/>
    <w:rsid w:val="00CC71EF"/>
    <w:rPr>
      <w:rFonts w:cs="Times New Roman"/>
      <w:vertAlign w:val="superscript"/>
    </w:rPr>
  </w:style>
  <w:style w:type="character" w:customStyle="1" w:styleId="apple-style-span">
    <w:name w:val="apple-style-span"/>
    <w:uiPriority w:val="99"/>
    <w:rsid w:val="00E64BF7"/>
  </w:style>
  <w:style w:type="character" w:styleId="affc">
    <w:name w:val="Emphasis"/>
    <w:basedOn w:val="a0"/>
    <w:uiPriority w:val="20"/>
    <w:qFormat/>
    <w:rsid w:val="008A331D"/>
    <w:rPr>
      <w:rFonts w:cs="Times New Roman"/>
      <w:i/>
      <w:iCs/>
    </w:rPr>
  </w:style>
  <w:style w:type="paragraph" w:customStyle="1" w:styleId="1f6">
    <w:name w:val="Абзац списка1"/>
    <w:basedOn w:val="a"/>
    <w:rsid w:val="00A65FD4"/>
    <w:pPr>
      <w:spacing w:after="200" w:line="276" w:lineRule="auto"/>
      <w:ind w:left="720"/>
    </w:pPr>
    <w:rPr>
      <w:rFonts w:eastAsia="Calibri"/>
      <w:sz w:val="28"/>
      <w:lang w:val="en-US"/>
    </w:rPr>
  </w:style>
  <w:style w:type="paragraph" w:customStyle="1" w:styleId="46">
    <w:name w:val="Без интервала4"/>
    <w:rsid w:val="00CF18D0"/>
    <w:rPr>
      <w:rFonts w:ascii="Calibri" w:hAnsi="Calibri"/>
    </w:rPr>
  </w:style>
  <w:style w:type="paragraph" w:customStyle="1" w:styleId="53">
    <w:name w:val="Без интервала5"/>
    <w:rsid w:val="00CF18D0"/>
    <w:rPr>
      <w:rFonts w:ascii="Calibri" w:hAnsi="Calibri"/>
    </w:rPr>
  </w:style>
  <w:style w:type="paragraph" w:customStyle="1" w:styleId="62">
    <w:name w:val="Без интервала6"/>
    <w:rsid w:val="00CF18D0"/>
    <w:rPr>
      <w:rFonts w:ascii="Calibri" w:hAnsi="Calibri"/>
    </w:rPr>
  </w:style>
  <w:style w:type="paragraph" w:customStyle="1" w:styleId="75">
    <w:name w:val="Без интервала7"/>
    <w:rsid w:val="000A2FDD"/>
    <w:rPr>
      <w:rFonts w:ascii="Calibri" w:hAnsi="Calibri"/>
    </w:rPr>
  </w:style>
  <w:style w:type="character" w:customStyle="1" w:styleId="1f7">
    <w:name w:val="Неразрешенное упоминание1"/>
    <w:basedOn w:val="a0"/>
    <w:uiPriority w:val="99"/>
    <w:semiHidden/>
    <w:unhideWhenUsed/>
    <w:rsid w:val="00E35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90886">
      <w:bodyDiv w:val="1"/>
      <w:marLeft w:val="0"/>
      <w:marRight w:val="0"/>
      <w:marTop w:val="0"/>
      <w:marBottom w:val="0"/>
      <w:divBdr>
        <w:top w:val="none" w:sz="0" w:space="0" w:color="auto"/>
        <w:left w:val="none" w:sz="0" w:space="0" w:color="auto"/>
        <w:bottom w:val="none" w:sz="0" w:space="0" w:color="auto"/>
        <w:right w:val="none" w:sz="0" w:space="0" w:color="auto"/>
      </w:divBdr>
    </w:div>
    <w:div w:id="261037261">
      <w:bodyDiv w:val="1"/>
      <w:marLeft w:val="0"/>
      <w:marRight w:val="0"/>
      <w:marTop w:val="0"/>
      <w:marBottom w:val="0"/>
      <w:divBdr>
        <w:top w:val="none" w:sz="0" w:space="0" w:color="auto"/>
        <w:left w:val="none" w:sz="0" w:space="0" w:color="auto"/>
        <w:bottom w:val="none" w:sz="0" w:space="0" w:color="auto"/>
        <w:right w:val="none" w:sz="0" w:space="0" w:color="auto"/>
      </w:divBdr>
    </w:div>
    <w:div w:id="286743069">
      <w:bodyDiv w:val="1"/>
      <w:marLeft w:val="0"/>
      <w:marRight w:val="0"/>
      <w:marTop w:val="0"/>
      <w:marBottom w:val="0"/>
      <w:divBdr>
        <w:top w:val="none" w:sz="0" w:space="0" w:color="auto"/>
        <w:left w:val="none" w:sz="0" w:space="0" w:color="auto"/>
        <w:bottom w:val="none" w:sz="0" w:space="0" w:color="auto"/>
        <w:right w:val="none" w:sz="0" w:space="0" w:color="auto"/>
      </w:divBdr>
    </w:div>
    <w:div w:id="387652651">
      <w:bodyDiv w:val="1"/>
      <w:marLeft w:val="0"/>
      <w:marRight w:val="0"/>
      <w:marTop w:val="0"/>
      <w:marBottom w:val="0"/>
      <w:divBdr>
        <w:top w:val="none" w:sz="0" w:space="0" w:color="auto"/>
        <w:left w:val="none" w:sz="0" w:space="0" w:color="auto"/>
        <w:bottom w:val="none" w:sz="0" w:space="0" w:color="auto"/>
        <w:right w:val="none" w:sz="0" w:space="0" w:color="auto"/>
      </w:divBdr>
    </w:div>
    <w:div w:id="707805418">
      <w:bodyDiv w:val="1"/>
      <w:marLeft w:val="0"/>
      <w:marRight w:val="0"/>
      <w:marTop w:val="0"/>
      <w:marBottom w:val="0"/>
      <w:divBdr>
        <w:top w:val="none" w:sz="0" w:space="0" w:color="auto"/>
        <w:left w:val="none" w:sz="0" w:space="0" w:color="auto"/>
        <w:bottom w:val="none" w:sz="0" w:space="0" w:color="auto"/>
        <w:right w:val="none" w:sz="0" w:space="0" w:color="auto"/>
      </w:divBdr>
    </w:div>
    <w:div w:id="716441263">
      <w:bodyDiv w:val="1"/>
      <w:marLeft w:val="0"/>
      <w:marRight w:val="0"/>
      <w:marTop w:val="0"/>
      <w:marBottom w:val="0"/>
      <w:divBdr>
        <w:top w:val="none" w:sz="0" w:space="0" w:color="auto"/>
        <w:left w:val="none" w:sz="0" w:space="0" w:color="auto"/>
        <w:bottom w:val="none" w:sz="0" w:space="0" w:color="auto"/>
        <w:right w:val="none" w:sz="0" w:space="0" w:color="auto"/>
      </w:divBdr>
    </w:div>
    <w:div w:id="746998736">
      <w:marLeft w:val="0"/>
      <w:marRight w:val="0"/>
      <w:marTop w:val="0"/>
      <w:marBottom w:val="0"/>
      <w:divBdr>
        <w:top w:val="none" w:sz="0" w:space="0" w:color="auto"/>
        <w:left w:val="none" w:sz="0" w:space="0" w:color="auto"/>
        <w:bottom w:val="none" w:sz="0" w:space="0" w:color="auto"/>
        <w:right w:val="none" w:sz="0" w:space="0" w:color="auto"/>
      </w:divBdr>
    </w:div>
    <w:div w:id="746998737">
      <w:marLeft w:val="0"/>
      <w:marRight w:val="0"/>
      <w:marTop w:val="0"/>
      <w:marBottom w:val="0"/>
      <w:divBdr>
        <w:top w:val="none" w:sz="0" w:space="0" w:color="auto"/>
        <w:left w:val="none" w:sz="0" w:space="0" w:color="auto"/>
        <w:bottom w:val="none" w:sz="0" w:space="0" w:color="auto"/>
        <w:right w:val="none" w:sz="0" w:space="0" w:color="auto"/>
      </w:divBdr>
    </w:div>
    <w:div w:id="746998738">
      <w:marLeft w:val="0"/>
      <w:marRight w:val="0"/>
      <w:marTop w:val="0"/>
      <w:marBottom w:val="0"/>
      <w:divBdr>
        <w:top w:val="none" w:sz="0" w:space="0" w:color="auto"/>
        <w:left w:val="none" w:sz="0" w:space="0" w:color="auto"/>
        <w:bottom w:val="none" w:sz="0" w:space="0" w:color="auto"/>
        <w:right w:val="none" w:sz="0" w:space="0" w:color="auto"/>
      </w:divBdr>
    </w:div>
    <w:div w:id="746998739">
      <w:marLeft w:val="0"/>
      <w:marRight w:val="0"/>
      <w:marTop w:val="0"/>
      <w:marBottom w:val="0"/>
      <w:divBdr>
        <w:top w:val="none" w:sz="0" w:space="0" w:color="auto"/>
        <w:left w:val="none" w:sz="0" w:space="0" w:color="auto"/>
        <w:bottom w:val="none" w:sz="0" w:space="0" w:color="auto"/>
        <w:right w:val="none" w:sz="0" w:space="0" w:color="auto"/>
      </w:divBdr>
    </w:div>
    <w:div w:id="746998740">
      <w:marLeft w:val="0"/>
      <w:marRight w:val="0"/>
      <w:marTop w:val="0"/>
      <w:marBottom w:val="0"/>
      <w:divBdr>
        <w:top w:val="none" w:sz="0" w:space="0" w:color="auto"/>
        <w:left w:val="none" w:sz="0" w:space="0" w:color="auto"/>
        <w:bottom w:val="none" w:sz="0" w:space="0" w:color="auto"/>
        <w:right w:val="none" w:sz="0" w:space="0" w:color="auto"/>
      </w:divBdr>
    </w:div>
    <w:div w:id="746998741">
      <w:marLeft w:val="0"/>
      <w:marRight w:val="0"/>
      <w:marTop w:val="0"/>
      <w:marBottom w:val="0"/>
      <w:divBdr>
        <w:top w:val="none" w:sz="0" w:space="0" w:color="auto"/>
        <w:left w:val="none" w:sz="0" w:space="0" w:color="auto"/>
        <w:bottom w:val="none" w:sz="0" w:space="0" w:color="auto"/>
        <w:right w:val="none" w:sz="0" w:space="0" w:color="auto"/>
      </w:divBdr>
    </w:div>
    <w:div w:id="829101937">
      <w:bodyDiv w:val="1"/>
      <w:marLeft w:val="0"/>
      <w:marRight w:val="0"/>
      <w:marTop w:val="0"/>
      <w:marBottom w:val="0"/>
      <w:divBdr>
        <w:top w:val="none" w:sz="0" w:space="0" w:color="auto"/>
        <w:left w:val="none" w:sz="0" w:space="0" w:color="auto"/>
        <w:bottom w:val="none" w:sz="0" w:space="0" w:color="auto"/>
        <w:right w:val="none" w:sz="0" w:space="0" w:color="auto"/>
      </w:divBdr>
    </w:div>
    <w:div w:id="852036781">
      <w:bodyDiv w:val="1"/>
      <w:marLeft w:val="0"/>
      <w:marRight w:val="0"/>
      <w:marTop w:val="0"/>
      <w:marBottom w:val="0"/>
      <w:divBdr>
        <w:top w:val="none" w:sz="0" w:space="0" w:color="auto"/>
        <w:left w:val="none" w:sz="0" w:space="0" w:color="auto"/>
        <w:bottom w:val="none" w:sz="0" w:space="0" w:color="auto"/>
        <w:right w:val="none" w:sz="0" w:space="0" w:color="auto"/>
      </w:divBdr>
    </w:div>
    <w:div w:id="1065226848">
      <w:bodyDiv w:val="1"/>
      <w:marLeft w:val="0"/>
      <w:marRight w:val="0"/>
      <w:marTop w:val="0"/>
      <w:marBottom w:val="0"/>
      <w:divBdr>
        <w:top w:val="none" w:sz="0" w:space="0" w:color="auto"/>
        <w:left w:val="none" w:sz="0" w:space="0" w:color="auto"/>
        <w:bottom w:val="none" w:sz="0" w:space="0" w:color="auto"/>
        <w:right w:val="none" w:sz="0" w:space="0" w:color="auto"/>
      </w:divBdr>
    </w:div>
    <w:div w:id="1076393286">
      <w:bodyDiv w:val="1"/>
      <w:marLeft w:val="0"/>
      <w:marRight w:val="0"/>
      <w:marTop w:val="0"/>
      <w:marBottom w:val="0"/>
      <w:divBdr>
        <w:top w:val="none" w:sz="0" w:space="0" w:color="auto"/>
        <w:left w:val="none" w:sz="0" w:space="0" w:color="auto"/>
        <w:bottom w:val="none" w:sz="0" w:space="0" w:color="auto"/>
        <w:right w:val="none" w:sz="0" w:space="0" w:color="auto"/>
      </w:divBdr>
    </w:div>
    <w:div w:id="1103889279">
      <w:bodyDiv w:val="1"/>
      <w:marLeft w:val="0"/>
      <w:marRight w:val="0"/>
      <w:marTop w:val="0"/>
      <w:marBottom w:val="0"/>
      <w:divBdr>
        <w:top w:val="none" w:sz="0" w:space="0" w:color="auto"/>
        <w:left w:val="none" w:sz="0" w:space="0" w:color="auto"/>
        <w:bottom w:val="none" w:sz="0" w:space="0" w:color="auto"/>
        <w:right w:val="none" w:sz="0" w:space="0" w:color="auto"/>
      </w:divBdr>
    </w:div>
    <w:div w:id="1110276465">
      <w:bodyDiv w:val="1"/>
      <w:marLeft w:val="0"/>
      <w:marRight w:val="0"/>
      <w:marTop w:val="0"/>
      <w:marBottom w:val="0"/>
      <w:divBdr>
        <w:top w:val="none" w:sz="0" w:space="0" w:color="auto"/>
        <w:left w:val="none" w:sz="0" w:space="0" w:color="auto"/>
        <w:bottom w:val="none" w:sz="0" w:space="0" w:color="auto"/>
        <w:right w:val="none" w:sz="0" w:space="0" w:color="auto"/>
      </w:divBdr>
    </w:div>
    <w:div w:id="1528445182">
      <w:bodyDiv w:val="1"/>
      <w:marLeft w:val="0"/>
      <w:marRight w:val="0"/>
      <w:marTop w:val="0"/>
      <w:marBottom w:val="0"/>
      <w:divBdr>
        <w:top w:val="none" w:sz="0" w:space="0" w:color="auto"/>
        <w:left w:val="none" w:sz="0" w:space="0" w:color="auto"/>
        <w:bottom w:val="none" w:sz="0" w:space="0" w:color="auto"/>
        <w:right w:val="none" w:sz="0" w:space="0" w:color="auto"/>
      </w:divBdr>
    </w:div>
    <w:div w:id="1647081804">
      <w:bodyDiv w:val="1"/>
      <w:marLeft w:val="0"/>
      <w:marRight w:val="0"/>
      <w:marTop w:val="0"/>
      <w:marBottom w:val="0"/>
      <w:divBdr>
        <w:top w:val="none" w:sz="0" w:space="0" w:color="auto"/>
        <w:left w:val="none" w:sz="0" w:space="0" w:color="auto"/>
        <w:bottom w:val="none" w:sz="0" w:space="0" w:color="auto"/>
        <w:right w:val="none" w:sz="0" w:space="0" w:color="auto"/>
      </w:divBdr>
    </w:div>
    <w:div w:id="1670672606">
      <w:bodyDiv w:val="1"/>
      <w:marLeft w:val="0"/>
      <w:marRight w:val="0"/>
      <w:marTop w:val="0"/>
      <w:marBottom w:val="0"/>
      <w:divBdr>
        <w:top w:val="none" w:sz="0" w:space="0" w:color="auto"/>
        <w:left w:val="none" w:sz="0" w:space="0" w:color="auto"/>
        <w:bottom w:val="none" w:sz="0" w:space="0" w:color="auto"/>
        <w:right w:val="none" w:sz="0" w:space="0" w:color="auto"/>
      </w:divBdr>
    </w:div>
    <w:div w:id="1841969535">
      <w:bodyDiv w:val="1"/>
      <w:marLeft w:val="0"/>
      <w:marRight w:val="0"/>
      <w:marTop w:val="0"/>
      <w:marBottom w:val="0"/>
      <w:divBdr>
        <w:top w:val="none" w:sz="0" w:space="0" w:color="auto"/>
        <w:left w:val="none" w:sz="0" w:space="0" w:color="auto"/>
        <w:bottom w:val="none" w:sz="0" w:space="0" w:color="auto"/>
        <w:right w:val="none" w:sz="0" w:space="0" w:color="auto"/>
      </w:divBdr>
    </w:div>
    <w:div w:id="191354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lt.ru/city/dmitrij-azarov-dal-start-novomu-unikalnomu-proizvodstvu-na-kujbyshevazote/217215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gl.ru/structure/department/ekologicheskaya-obstanovka/14595/" TargetMode="External"/><Relationship Id="rId5" Type="http://schemas.openxmlformats.org/officeDocument/2006/relationships/webSettings" Target="webSettings.xml"/><Relationship Id="rId10" Type="http://schemas.openxmlformats.org/officeDocument/2006/relationships/hyperlink" Target="https://ru.wikipedia.org/wiki/%D0%A2%D1%80%D1%83%D0%B4%D0%BE%D1%81%D0%BF%D0%BE%D1%81%D0%BE%D0%B1%D0%BD%D0%BE%D0%B5_%D0%BD%D0%B0%D1%81%D0%B5%D0%BB%D0%B5%D0%BD%D0%B8%D0%B5" TargetMode="External"/><Relationship Id="rId4" Type="http://schemas.openxmlformats.org/officeDocument/2006/relationships/settings" Target="settings.xml"/><Relationship Id="rId9" Type="http://schemas.openxmlformats.org/officeDocument/2006/relationships/hyperlink" Target="consultantplus://offline/ref=47187ED6C563EB4AE197AC0C307BBACCA824C52BCB797EDEABC5B217ACC53CDFC4FA9110F3445C61BE37897FJ6WA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83345-A214-49BB-86CA-31D8EB9E5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96</Pages>
  <Words>31461</Words>
  <Characters>179332</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Предварительные итоги</vt:lpstr>
    </vt:vector>
  </TitlesOfParts>
  <Company>Мэрия городского округа Тольятти</Company>
  <LinksUpToDate>false</LinksUpToDate>
  <CharactersWithSpaces>210373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Предварительные итоги</dc:title>
  <dc:creator>Пользователь</dc:creator>
  <cp:lastModifiedBy>Кончева Наталья Валериевна</cp:lastModifiedBy>
  <cp:revision>5</cp:revision>
  <cp:lastPrinted>2021-10-15T07:17:00Z</cp:lastPrinted>
  <dcterms:created xsi:type="dcterms:W3CDTF">2021-10-25T18:51:00Z</dcterms:created>
  <dcterms:modified xsi:type="dcterms:W3CDTF">2021-10-26T05:36:00Z</dcterms:modified>
</cp:coreProperties>
</file>