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20" w:rsidRDefault="00B02B20">
      <w:pPr>
        <w:pStyle w:val="ConsPlusNormal"/>
        <w:jc w:val="both"/>
        <w:outlineLvl w:val="0"/>
      </w:pPr>
      <w:bookmarkStart w:id="0" w:name="_GoBack"/>
      <w:bookmarkEnd w:id="0"/>
    </w:p>
    <w:p w:rsidR="00B02B20" w:rsidRDefault="00B02B20">
      <w:pPr>
        <w:pStyle w:val="ConsPlusTitle"/>
        <w:jc w:val="center"/>
        <w:outlineLvl w:val="0"/>
      </w:pPr>
      <w:r>
        <w:t>ДУМА ГОРОДСКОГО ОКРУГА ТОЛЬЯТТИ</w:t>
      </w:r>
    </w:p>
    <w:p w:rsidR="00B02B20" w:rsidRDefault="00B02B20">
      <w:pPr>
        <w:pStyle w:val="ConsPlusTitle"/>
        <w:jc w:val="center"/>
      </w:pPr>
      <w:r>
        <w:t>САМАРСКОЙ ОБЛАСТИ</w:t>
      </w:r>
    </w:p>
    <w:p w:rsidR="00B02B20" w:rsidRDefault="00B02B20">
      <w:pPr>
        <w:pStyle w:val="ConsPlusTitle"/>
        <w:jc w:val="center"/>
      </w:pPr>
    </w:p>
    <w:p w:rsidR="00B02B20" w:rsidRDefault="00B02B20">
      <w:pPr>
        <w:pStyle w:val="ConsPlusTitle"/>
        <w:jc w:val="center"/>
      </w:pPr>
      <w:r>
        <w:t>РЕШЕНИЕ</w:t>
      </w:r>
    </w:p>
    <w:p w:rsidR="00B02B20" w:rsidRDefault="00B02B20">
      <w:pPr>
        <w:pStyle w:val="ConsPlusTitle"/>
        <w:jc w:val="center"/>
      </w:pPr>
      <w:r>
        <w:t>от 21 сентября 2016 г. N 1168</w:t>
      </w:r>
    </w:p>
    <w:p w:rsidR="00B02B20" w:rsidRDefault="00B02B20">
      <w:pPr>
        <w:pStyle w:val="ConsPlusTitle"/>
        <w:jc w:val="center"/>
      </w:pPr>
    </w:p>
    <w:p w:rsidR="00B02B20" w:rsidRDefault="00B02B20">
      <w:pPr>
        <w:pStyle w:val="ConsPlusTitle"/>
        <w:jc w:val="center"/>
      </w:pPr>
      <w:r>
        <w:t>О ПОРЯДКЕ ОПРЕДЕЛЕНИЯ ЦЕНЫ ЗЕМЕЛЬНЫХ УЧАСТКОВ, НАХОДЯЩИХСЯ</w:t>
      </w:r>
    </w:p>
    <w:p w:rsidR="00B02B20" w:rsidRDefault="00B02B20">
      <w:pPr>
        <w:pStyle w:val="ConsPlusTitle"/>
        <w:jc w:val="center"/>
      </w:pPr>
      <w:r>
        <w:t>В МУНИЦИПАЛЬНОЙ СОБСТВЕННОСТИ ГОРОДСКОГО ОКРУГА ТОЛЬЯТТИ,</w:t>
      </w:r>
    </w:p>
    <w:p w:rsidR="00B02B20" w:rsidRDefault="00B02B20">
      <w:pPr>
        <w:pStyle w:val="ConsPlusTitle"/>
        <w:jc w:val="center"/>
      </w:pPr>
      <w:r>
        <w:t>ПРИ ЗАКЛЮЧЕНИИ ДОГОВОРА КУПЛИ-ПРОДАЖИ ЗЕМЕЛЬНОГО УЧАСТКА</w:t>
      </w:r>
    </w:p>
    <w:p w:rsidR="00B02B20" w:rsidRDefault="00B02B20">
      <w:pPr>
        <w:pStyle w:val="ConsPlusTitle"/>
        <w:jc w:val="center"/>
      </w:pPr>
      <w:r>
        <w:t>БЕЗ ПРОВЕДЕНИЯ ТОРГОВ</w:t>
      </w:r>
    </w:p>
    <w:p w:rsidR="00B02B20" w:rsidRDefault="00B02B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2B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2B20" w:rsidRDefault="00B02B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2B20" w:rsidRDefault="00B02B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городского округа Тольятти Самарской области</w:t>
            </w:r>
            <w:proofErr w:type="gramEnd"/>
          </w:p>
          <w:p w:rsidR="00B02B20" w:rsidRDefault="00B02B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12.07.2017 </w:t>
            </w:r>
            <w:hyperlink r:id="rId5" w:history="1">
              <w:r>
                <w:rPr>
                  <w:color w:val="0000FF"/>
                </w:rPr>
                <w:t>N 1510</w:t>
              </w:r>
            </w:hyperlink>
            <w:r>
              <w:rPr>
                <w:color w:val="392C69"/>
              </w:rPr>
              <w:t xml:space="preserve">, от 31.10.2018 </w:t>
            </w:r>
            <w:hyperlink r:id="rId6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06.03.2019 </w:t>
            </w:r>
            <w:hyperlink r:id="rId7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2B20" w:rsidRDefault="00B02B20">
      <w:pPr>
        <w:pStyle w:val="ConsPlusNormal"/>
        <w:jc w:val="both"/>
      </w:pPr>
    </w:p>
    <w:p w:rsidR="00B02B20" w:rsidRDefault="00B02B20">
      <w:pPr>
        <w:pStyle w:val="ConsPlusNormal"/>
        <w:ind w:firstLine="540"/>
        <w:jc w:val="both"/>
      </w:pPr>
      <w:r>
        <w:t xml:space="preserve">Рассмотрев проект Порядка определения цены земельных участков, находящихся в муниципальной собственности городского округа Тольятти, при заключении договора купли-продажи земельного участка без проведения торгов, в соответствии с </w:t>
      </w:r>
      <w:hyperlink r:id="rId8" w:history="1">
        <w:r>
          <w:rPr>
            <w:color w:val="0000FF"/>
          </w:rPr>
          <w:t>пунктом 2 статьи 39.4</w:t>
        </w:r>
      </w:hyperlink>
      <w:r>
        <w:t xml:space="preserve"> Земельного кодекса Российской Федерации, руководствуясь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городского округа Тольятти, Дума решила:</w:t>
      </w:r>
    </w:p>
    <w:p w:rsidR="00B02B20" w:rsidRDefault="00B02B2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определения цены земельных участков, находящихся в муниципальной собственности городского округа Тольятти, при заключении договора купли-продажи земельного участка без проведения торгов, согласно приложению.</w:t>
      </w:r>
    </w:p>
    <w:p w:rsidR="00B02B20" w:rsidRDefault="00B02B2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решение</w:t>
        </w:r>
      </w:hyperlink>
      <w:r>
        <w:t xml:space="preserve"> Думы городского округа Тольятти от 26.11.2014 N 528 "Об определении выкупной цены земельных участков, находящихся в муниципальной собственности городского округа Тольятти, занятых зданиями, строениями, сооружениями" (газета "Городские ведомости", 2014, 12 декабря).</w:t>
      </w:r>
    </w:p>
    <w:p w:rsidR="00B02B20" w:rsidRDefault="00B02B20">
      <w:pPr>
        <w:pStyle w:val="ConsPlusNormal"/>
        <w:spacing w:before="220"/>
        <w:ind w:firstLine="540"/>
        <w:jc w:val="both"/>
      </w:pPr>
      <w:r>
        <w:t>3. Опубликовать настоящее Решение в газете "Городские ведомости".</w:t>
      </w:r>
    </w:p>
    <w:p w:rsidR="00B02B20" w:rsidRDefault="00B02B20">
      <w:pPr>
        <w:pStyle w:val="ConsPlusNormal"/>
        <w:spacing w:before="220"/>
        <w:ind w:firstLine="540"/>
        <w:jc w:val="both"/>
      </w:pPr>
      <w:r>
        <w:t>4. Настоящее Решение вступает в силу после дня его официального опубликования.</w:t>
      </w:r>
    </w:p>
    <w:p w:rsidR="00B02B20" w:rsidRDefault="00B02B2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>
        <w:t>Гринблат</w:t>
      </w:r>
      <w:proofErr w:type="spellEnd"/>
      <w:r>
        <w:t xml:space="preserve"> Б.Е.).</w:t>
      </w:r>
    </w:p>
    <w:p w:rsidR="00B02B20" w:rsidRDefault="00B02B20">
      <w:pPr>
        <w:pStyle w:val="ConsPlusNormal"/>
        <w:jc w:val="both"/>
      </w:pPr>
    </w:p>
    <w:p w:rsidR="00B02B20" w:rsidRDefault="00B02B20">
      <w:pPr>
        <w:pStyle w:val="ConsPlusNormal"/>
        <w:jc w:val="right"/>
      </w:pPr>
      <w:r>
        <w:t>Мэр</w:t>
      </w:r>
    </w:p>
    <w:p w:rsidR="00B02B20" w:rsidRDefault="00B02B20">
      <w:pPr>
        <w:pStyle w:val="ConsPlusNormal"/>
        <w:jc w:val="right"/>
      </w:pPr>
      <w:r>
        <w:t>С.И.АНДРЕЕВ</w:t>
      </w:r>
    </w:p>
    <w:p w:rsidR="00B02B20" w:rsidRDefault="00B02B20">
      <w:pPr>
        <w:pStyle w:val="ConsPlusNormal"/>
        <w:jc w:val="both"/>
      </w:pPr>
    </w:p>
    <w:p w:rsidR="00B02B20" w:rsidRDefault="00B02B20">
      <w:pPr>
        <w:pStyle w:val="ConsPlusNormal"/>
        <w:jc w:val="right"/>
      </w:pPr>
      <w:r>
        <w:t>Председатель Думы</w:t>
      </w:r>
    </w:p>
    <w:p w:rsidR="00B02B20" w:rsidRDefault="00B02B20">
      <w:pPr>
        <w:pStyle w:val="ConsPlusNormal"/>
        <w:jc w:val="right"/>
      </w:pPr>
      <w:r>
        <w:t>Д.Б.МИКЕЛЬ</w:t>
      </w:r>
    </w:p>
    <w:p w:rsidR="00B02B20" w:rsidRDefault="00B02B20">
      <w:pPr>
        <w:pStyle w:val="ConsPlusNormal"/>
        <w:jc w:val="both"/>
      </w:pPr>
    </w:p>
    <w:p w:rsidR="00B02B20" w:rsidRDefault="00B02B20">
      <w:pPr>
        <w:pStyle w:val="ConsPlusNormal"/>
        <w:jc w:val="both"/>
      </w:pPr>
    </w:p>
    <w:p w:rsidR="00B02B20" w:rsidRDefault="00B02B20">
      <w:pPr>
        <w:pStyle w:val="ConsPlusNormal"/>
        <w:jc w:val="both"/>
      </w:pPr>
    </w:p>
    <w:p w:rsidR="00B02B20" w:rsidRDefault="00B02B20">
      <w:pPr>
        <w:pStyle w:val="ConsPlusNormal"/>
        <w:jc w:val="both"/>
      </w:pPr>
    </w:p>
    <w:p w:rsidR="00B02B20" w:rsidRDefault="00B02B20">
      <w:pPr>
        <w:pStyle w:val="ConsPlusNormal"/>
        <w:jc w:val="both"/>
      </w:pPr>
    </w:p>
    <w:p w:rsidR="00B02B20" w:rsidRDefault="00B02B20">
      <w:pPr>
        <w:pStyle w:val="ConsPlusNormal"/>
        <w:jc w:val="both"/>
      </w:pPr>
    </w:p>
    <w:p w:rsidR="00B02B20" w:rsidRDefault="00B02B20">
      <w:pPr>
        <w:pStyle w:val="ConsPlusNormal"/>
        <w:jc w:val="both"/>
      </w:pPr>
    </w:p>
    <w:p w:rsidR="00B02B20" w:rsidRDefault="00B02B20">
      <w:pPr>
        <w:pStyle w:val="ConsPlusNormal"/>
        <w:jc w:val="both"/>
      </w:pPr>
    </w:p>
    <w:p w:rsidR="00B02B20" w:rsidRDefault="00B02B20">
      <w:pPr>
        <w:pStyle w:val="ConsPlusNormal"/>
        <w:jc w:val="both"/>
      </w:pPr>
    </w:p>
    <w:p w:rsidR="00B02B20" w:rsidRDefault="00B02B20">
      <w:pPr>
        <w:pStyle w:val="ConsPlusNormal"/>
        <w:jc w:val="both"/>
      </w:pPr>
    </w:p>
    <w:p w:rsidR="00B02B20" w:rsidRDefault="00B02B20">
      <w:pPr>
        <w:pStyle w:val="ConsPlusNormal"/>
        <w:jc w:val="both"/>
      </w:pPr>
    </w:p>
    <w:p w:rsidR="00B02B20" w:rsidRDefault="00B02B20">
      <w:pPr>
        <w:pStyle w:val="ConsPlusNormal"/>
        <w:jc w:val="right"/>
        <w:outlineLvl w:val="0"/>
      </w:pPr>
      <w:r>
        <w:lastRenderedPageBreak/>
        <w:t>Приложение</w:t>
      </w:r>
    </w:p>
    <w:p w:rsidR="00B02B20" w:rsidRDefault="00B02B20">
      <w:pPr>
        <w:pStyle w:val="ConsPlusNormal"/>
        <w:jc w:val="right"/>
      </w:pPr>
      <w:r>
        <w:t>к Решению Думы</w:t>
      </w:r>
    </w:p>
    <w:p w:rsidR="00B02B20" w:rsidRDefault="00B02B20">
      <w:pPr>
        <w:pStyle w:val="ConsPlusNormal"/>
        <w:jc w:val="right"/>
      </w:pPr>
      <w:r>
        <w:t>от 21 сентября 2016 г. N 1168</w:t>
      </w:r>
    </w:p>
    <w:p w:rsidR="00B02B20" w:rsidRDefault="00B02B20">
      <w:pPr>
        <w:pStyle w:val="ConsPlusNormal"/>
        <w:jc w:val="both"/>
      </w:pPr>
    </w:p>
    <w:p w:rsidR="00B02B20" w:rsidRDefault="00B02B20">
      <w:pPr>
        <w:pStyle w:val="ConsPlusTitle"/>
        <w:jc w:val="center"/>
      </w:pPr>
      <w:bookmarkStart w:id="1" w:name="P36"/>
      <w:bookmarkEnd w:id="1"/>
      <w:r>
        <w:t>ПОРЯДОК</w:t>
      </w:r>
    </w:p>
    <w:p w:rsidR="00B02B20" w:rsidRDefault="00B02B20">
      <w:pPr>
        <w:pStyle w:val="ConsPlusTitle"/>
        <w:jc w:val="center"/>
      </w:pPr>
      <w:r>
        <w:t>ОПРЕДЕЛЕНИЯ ЦЕНЫ ЗЕМЕЛЬНЫХ УЧАСТКОВ, НАХОДЯЩИХСЯ</w:t>
      </w:r>
    </w:p>
    <w:p w:rsidR="00B02B20" w:rsidRDefault="00B02B20">
      <w:pPr>
        <w:pStyle w:val="ConsPlusTitle"/>
        <w:jc w:val="center"/>
      </w:pPr>
      <w:r>
        <w:t>В МУНИЦИПАЛЬНОЙ СОБСТВЕННОСТИ ГОРОДСКОГО ОКРУГА ТОЛЬЯТТИ,</w:t>
      </w:r>
    </w:p>
    <w:p w:rsidR="00B02B20" w:rsidRDefault="00B02B20">
      <w:pPr>
        <w:pStyle w:val="ConsPlusTitle"/>
        <w:jc w:val="center"/>
      </w:pPr>
      <w:r>
        <w:t>ПРИ ЗАКЛЮЧЕНИИ ДОГОВОРА КУПЛИ-ПРОДАЖИ ЗЕМЕЛЬНОГО УЧАСТКА</w:t>
      </w:r>
    </w:p>
    <w:p w:rsidR="00B02B20" w:rsidRDefault="00B02B20">
      <w:pPr>
        <w:pStyle w:val="ConsPlusTitle"/>
        <w:jc w:val="center"/>
      </w:pPr>
      <w:r>
        <w:t>БЕЗ ПРОВЕДЕНИЯ ТОРГОВ</w:t>
      </w:r>
    </w:p>
    <w:p w:rsidR="00B02B20" w:rsidRDefault="00B02B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2B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2B20" w:rsidRDefault="00B02B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2B20" w:rsidRDefault="00B02B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городского округа Тольятти Самарской области</w:t>
            </w:r>
            <w:proofErr w:type="gramEnd"/>
          </w:p>
          <w:p w:rsidR="00B02B20" w:rsidRDefault="00B02B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12.07.2017 </w:t>
            </w:r>
            <w:hyperlink r:id="rId11" w:history="1">
              <w:r>
                <w:rPr>
                  <w:color w:val="0000FF"/>
                </w:rPr>
                <w:t>N 1510</w:t>
              </w:r>
            </w:hyperlink>
            <w:r>
              <w:rPr>
                <w:color w:val="392C69"/>
              </w:rPr>
              <w:t xml:space="preserve">, от 31.10.2018 </w:t>
            </w:r>
            <w:hyperlink r:id="rId12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06.03.2019 </w:t>
            </w:r>
            <w:hyperlink r:id="rId13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2B20" w:rsidRDefault="00B02B20">
      <w:pPr>
        <w:pStyle w:val="ConsPlusNormal"/>
        <w:jc w:val="both"/>
      </w:pPr>
    </w:p>
    <w:p w:rsidR="00B02B20" w:rsidRDefault="00B02B20">
      <w:pPr>
        <w:pStyle w:val="ConsPlusNormal"/>
        <w:ind w:firstLine="540"/>
        <w:jc w:val="both"/>
      </w:pPr>
      <w:r>
        <w:t>1. Настоящий Порядок устанавливает правила определения цены земельных участков, находящихся в муниципальной собственности городского округа Тольятти, при заключении договора купли-продажи земельного участка без проведения торгов (далее - Порядок).</w:t>
      </w:r>
    </w:p>
    <w:p w:rsidR="00B02B20" w:rsidRDefault="00B02B20">
      <w:pPr>
        <w:pStyle w:val="ConsPlusNormal"/>
        <w:spacing w:before="220"/>
        <w:ind w:firstLine="540"/>
        <w:jc w:val="both"/>
      </w:pPr>
      <w:bookmarkStart w:id="2" w:name="P46"/>
      <w:bookmarkEnd w:id="2"/>
      <w:r>
        <w:t>2. Цена земельных участков, на которых расположены здания, сооружения (</w:t>
      </w:r>
      <w:hyperlink r:id="rId14" w:history="1">
        <w:r>
          <w:rPr>
            <w:color w:val="0000FF"/>
          </w:rPr>
          <w:t>подпункт 6 пункта 2 статьи 39.3</w:t>
        </w:r>
      </w:hyperlink>
      <w:r>
        <w:t xml:space="preserve"> Земельного кодекса Российской Федерации), при их продаже определяется:</w:t>
      </w:r>
    </w:p>
    <w:p w:rsidR="00B02B20" w:rsidRDefault="00B02B20">
      <w:pPr>
        <w:pStyle w:val="ConsPlusNormal"/>
        <w:spacing w:before="220"/>
        <w:ind w:firstLine="540"/>
        <w:jc w:val="both"/>
      </w:pPr>
      <w:bookmarkStart w:id="3" w:name="P47"/>
      <w:bookmarkEnd w:id="3"/>
      <w:r>
        <w:t>1) в размере двадцати процентов от кадастровой стоимости земельных участков на период до 01.01.2020:</w:t>
      </w:r>
    </w:p>
    <w:p w:rsidR="00B02B20" w:rsidRDefault="00B02B20">
      <w:pPr>
        <w:pStyle w:val="ConsPlusNormal"/>
        <w:jc w:val="both"/>
      </w:pPr>
      <w:r>
        <w:t xml:space="preserve">(в ред. Решений Думы городского округа Тольятти Самарской области от 12.07.2017 </w:t>
      </w:r>
      <w:hyperlink r:id="rId15" w:history="1">
        <w:r>
          <w:rPr>
            <w:color w:val="0000FF"/>
          </w:rPr>
          <w:t>N 1510</w:t>
        </w:r>
      </w:hyperlink>
      <w:r>
        <w:t xml:space="preserve">, от 31.10.2018 </w:t>
      </w:r>
      <w:hyperlink r:id="rId16" w:history="1">
        <w:r>
          <w:rPr>
            <w:color w:val="0000FF"/>
          </w:rPr>
          <w:t>N 40</w:t>
        </w:r>
      </w:hyperlink>
      <w:r>
        <w:t xml:space="preserve">, от 06.03.2019 </w:t>
      </w:r>
      <w:hyperlink r:id="rId17" w:history="1">
        <w:r>
          <w:rPr>
            <w:color w:val="0000FF"/>
          </w:rPr>
          <w:t>N 163</w:t>
        </w:r>
      </w:hyperlink>
      <w:r>
        <w:t>)</w:t>
      </w:r>
    </w:p>
    <w:p w:rsidR="00B02B20" w:rsidRDefault="00B02B20">
      <w:pPr>
        <w:pStyle w:val="ConsPlusNormal"/>
        <w:spacing w:before="220"/>
        <w:ind w:firstLine="540"/>
        <w:jc w:val="both"/>
      </w:pPr>
      <w:r>
        <w:t xml:space="preserve">- коммерческим организациям и индивидуальным предпринимателям, если право собственности указанных лиц на здания, сооружения либо помещения в них возникло в порядке приватизации до вступления в силу Земельного </w:t>
      </w:r>
      <w:hyperlink r:id="rId18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B02B20" w:rsidRDefault="00B02B20">
      <w:pPr>
        <w:pStyle w:val="ConsPlusNormal"/>
        <w:spacing w:before="220"/>
        <w:ind w:firstLine="540"/>
        <w:jc w:val="both"/>
      </w:pPr>
      <w:r>
        <w:t xml:space="preserve">- коммерческим организациям и индивидуальным предпринимателям, к которым право собственности на здания, сооружения либо помещения в них перешло в результате универсального правопреемства от лиц, которые приобрели эти здания, сооружения либо помещения в них в порядке приватизации и право </w:t>
      </w:r>
      <w:proofErr w:type="gramStart"/>
      <w:r>
        <w:t>собственности</w:t>
      </w:r>
      <w:proofErr w:type="gramEnd"/>
      <w:r>
        <w:t xml:space="preserve"> у которых возникло до вступления в силу Земельного </w:t>
      </w:r>
      <w:hyperlink r:id="rId19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B02B20" w:rsidRDefault="00B02B20">
      <w:pPr>
        <w:pStyle w:val="ConsPlusNormal"/>
        <w:spacing w:before="220"/>
        <w:ind w:firstLine="540"/>
        <w:jc w:val="both"/>
      </w:pPr>
      <w:r>
        <w:t xml:space="preserve">- гражданам и некоммерческим организациям, если право собственности указанных лиц на здания, сооружения либо помещения в них возникло до вступления в силу Земельного </w:t>
      </w:r>
      <w:hyperlink r:id="rId20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B02B20" w:rsidRDefault="00B02B20">
      <w:pPr>
        <w:pStyle w:val="ConsPlusNormal"/>
        <w:spacing w:before="220"/>
        <w:ind w:firstLine="540"/>
        <w:jc w:val="both"/>
      </w:pPr>
      <w:r>
        <w:t>- юридическим лицам при переоформлении прав на земельные участки, предоставленные им на праве постоянного (бессрочного) пользования;</w:t>
      </w:r>
    </w:p>
    <w:p w:rsidR="00B02B20" w:rsidRDefault="00B02B20">
      <w:pPr>
        <w:pStyle w:val="ConsPlusNormal"/>
        <w:spacing w:before="220"/>
        <w:ind w:firstLine="540"/>
        <w:jc w:val="both"/>
      </w:pPr>
      <w:r>
        <w:t>- гражданам, являющимся собственниками расположенных на таких земельных участках жилых домов;</w:t>
      </w:r>
    </w:p>
    <w:p w:rsidR="00B02B20" w:rsidRDefault="00B02B20">
      <w:pPr>
        <w:pStyle w:val="ConsPlusNormal"/>
        <w:spacing w:before="220"/>
        <w:ind w:firstLine="540"/>
        <w:jc w:val="both"/>
      </w:pPr>
      <w:bookmarkStart w:id="4" w:name="P54"/>
      <w:bookmarkEnd w:id="4"/>
      <w:r>
        <w:t>2) в размере тридцати процентов от кадастровой стоимости земельных участков на период до 01.01.2020:</w:t>
      </w:r>
    </w:p>
    <w:p w:rsidR="00B02B20" w:rsidRDefault="00B02B20">
      <w:pPr>
        <w:pStyle w:val="ConsPlusNormal"/>
        <w:jc w:val="both"/>
      </w:pPr>
      <w:r>
        <w:t xml:space="preserve">(в ред. Решений Думы городского округа Тольятти Самарской области от 12.07.2017 </w:t>
      </w:r>
      <w:hyperlink r:id="rId21" w:history="1">
        <w:r>
          <w:rPr>
            <w:color w:val="0000FF"/>
          </w:rPr>
          <w:t>N 1510</w:t>
        </w:r>
      </w:hyperlink>
      <w:r>
        <w:t xml:space="preserve">, от 31.10.2018 </w:t>
      </w:r>
      <w:hyperlink r:id="rId22" w:history="1">
        <w:r>
          <w:rPr>
            <w:color w:val="0000FF"/>
          </w:rPr>
          <w:t>N 40</w:t>
        </w:r>
      </w:hyperlink>
      <w:r>
        <w:t xml:space="preserve">, от 06.03.2019 </w:t>
      </w:r>
      <w:hyperlink r:id="rId23" w:history="1">
        <w:r>
          <w:rPr>
            <w:color w:val="0000FF"/>
          </w:rPr>
          <w:t>N 163</w:t>
        </w:r>
      </w:hyperlink>
      <w:r>
        <w:t>)</w:t>
      </w:r>
    </w:p>
    <w:p w:rsidR="00B02B20" w:rsidRDefault="00B02B20">
      <w:pPr>
        <w:pStyle w:val="ConsPlusNormal"/>
        <w:spacing w:before="220"/>
        <w:ind w:firstLine="540"/>
        <w:jc w:val="both"/>
      </w:pPr>
      <w:proofErr w:type="gramStart"/>
      <w:r>
        <w:t>- гражданам, являющимся собственниками гаражей, относящихся к объектам капитального строительства, расположенных на земельных участках, если площадь таких земельных участков не превышает пятидесяти квадратных метров;</w:t>
      </w:r>
      <w:proofErr w:type="gramEnd"/>
    </w:p>
    <w:p w:rsidR="00B02B20" w:rsidRDefault="00B02B20">
      <w:pPr>
        <w:pStyle w:val="ConsPlusNormal"/>
        <w:spacing w:before="220"/>
        <w:ind w:firstLine="540"/>
        <w:jc w:val="both"/>
      </w:pPr>
      <w:r>
        <w:lastRenderedPageBreak/>
        <w:t>- гражданам, являющимся собственниками гаражей, представляющих собой помещения в здании;</w:t>
      </w:r>
    </w:p>
    <w:p w:rsidR="00B02B20" w:rsidRDefault="00B02B20">
      <w:pPr>
        <w:pStyle w:val="ConsPlusNormal"/>
        <w:spacing w:before="220"/>
        <w:ind w:firstLine="540"/>
        <w:jc w:val="both"/>
      </w:pPr>
      <w:r>
        <w:t xml:space="preserve">3) в размере пятидесяти процентов от кадастровой стоимости земельных участков на период до 01.01.2020 собственникам зданий, сооружений либо помещений в них, не указанным в </w:t>
      </w:r>
      <w:hyperlink w:anchor="P47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54" w:history="1">
        <w:r>
          <w:rPr>
            <w:color w:val="0000FF"/>
          </w:rPr>
          <w:t>2 пункта 2</w:t>
        </w:r>
      </w:hyperlink>
      <w:r>
        <w:t xml:space="preserve"> настоящего Порядка.</w:t>
      </w:r>
    </w:p>
    <w:p w:rsidR="00B02B20" w:rsidRDefault="00B02B20">
      <w:pPr>
        <w:pStyle w:val="ConsPlusNormal"/>
        <w:jc w:val="both"/>
      </w:pPr>
      <w:r>
        <w:t xml:space="preserve">(в ред. Решений Думы городского округа Тольятти Самарской области от 12.07.2017 </w:t>
      </w:r>
      <w:hyperlink r:id="rId24" w:history="1">
        <w:r>
          <w:rPr>
            <w:color w:val="0000FF"/>
          </w:rPr>
          <w:t>N 1510</w:t>
        </w:r>
      </w:hyperlink>
      <w:r>
        <w:t xml:space="preserve">, от 31.10.2018 </w:t>
      </w:r>
      <w:hyperlink r:id="rId25" w:history="1">
        <w:r>
          <w:rPr>
            <w:color w:val="0000FF"/>
          </w:rPr>
          <w:t>N 40</w:t>
        </w:r>
      </w:hyperlink>
      <w:r>
        <w:t xml:space="preserve">, от 06.03.2019 </w:t>
      </w:r>
      <w:hyperlink r:id="rId26" w:history="1">
        <w:r>
          <w:rPr>
            <w:color w:val="0000FF"/>
          </w:rPr>
          <w:t>N 163</w:t>
        </w:r>
      </w:hyperlink>
      <w:r>
        <w:t>)</w:t>
      </w:r>
    </w:p>
    <w:p w:rsidR="00B02B20" w:rsidRDefault="00B02B2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Положения, установленные </w:t>
      </w:r>
      <w:hyperlink w:anchor="P46" w:history="1">
        <w:r>
          <w:rPr>
            <w:color w:val="0000FF"/>
          </w:rPr>
          <w:t>пунктом 2</w:t>
        </w:r>
      </w:hyperlink>
      <w:r>
        <w:t xml:space="preserve"> настоящего Порядка, применяются также в случае, если продажа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27" w:history="1">
        <w:r>
          <w:rPr>
            <w:color w:val="0000FF"/>
          </w:rPr>
          <w:t>статьей 39.20</w:t>
        </w:r>
      </w:hyperlink>
      <w:r>
        <w:t xml:space="preserve"> Земельного кодекса Российской Федерации, осуществляется по истечении вышеуказанных сроков, но при этом все документы, необходимые для принятия решения о предоставлении в собственность земельного участка и заключения договора купли-продажи</w:t>
      </w:r>
      <w:proofErr w:type="gramEnd"/>
      <w:r>
        <w:t>, имелись в органе, осуществляющем распоряжение земельными участками, до истечения указанных сроков.</w:t>
      </w:r>
    </w:p>
    <w:p w:rsidR="00B02B20" w:rsidRDefault="00B02B20">
      <w:pPr>
        <w:pStyle w:val="ConsPlusNormal"/>
        <w:spacing w:before="220"/>
        <w:ind w:firstLine="540"/>
        <w:jc w:val="both"/>
      </w:pPr>
      <w:r>
        <w:t xml:space="preserve">4. В иных случаях, предусмотренных </w:t>
      </w:r>
      <w:hyperlink r:id="rId28" w:history="1">
        <w:r>
          <w:rPr>
            <w:color w:val="0000FF"/>
          </w:rPr>
          <w:t>пунктом 2 статьи 39.3</w:t>
        </w:r>
      </w:hyperlink>
      <w:r>
        <w:t xml:space="preserve"> Земельного кодекса Российской Федерации, цена земельного участка при заключении договора купли-продажи земельного участка без проведения торгов определяется в размере пятидесяти процентов от кадастровой стоимости земельного участка на период до 01.01.2020.</w:t>
      </w:r>
    </w:p>
    <w:p w:rsidR="00B02B20" w:rsidRDefault="00B02B20">
      <w:pPr>
        <w:pStyle w:val="ConsPlusNormal"/>
        <w:jc w:val="both"/>
      </w:pPr>
      <w:r>
        <w:t xml:space="preserve">(в ред. Решений Думы городского округа Тольятти Самарской области от 12.07.2017 </w:t>
      </w:r>
      <w:hyperlink r:id="rId29" w:history="1">
        <w:r>
          <w:rPr>
            <w:color w:val="0000FF"/>
          </w:rPr>
          <w:t>N 1510</w:t>
        </w:r>
      </w:hyperlink>
      <w:r>
        <w:t xml:space="preserve">, от 31.10.2018 </w:t>
      </w:r>
      <w:hyperlink r:id="rId30" w:history="1">
        <w:r>
          <w:rPr>
            <w:color w:val="0000FF"/>
          </w:rPr>
          <w:t>N 40</w:t>
        </w:r>
      </w:hyperlink>
      <w:r>
        <w:t xml:space="preserve">, от 06.03.2019 </w:t>
      </w:r>
      <w:hyperlink r:id="rId31" w:history="1">
        <w:r>
          <w:rPr>
            <w:color w:val="0000FF"/>
          </w:rPr>
          <w:t>N 163</w:t>
        </w:r>
      </w:hyperlink>
      <w:r>
        <w:t>)</w:t>
      </w:r>
    </w:p>
    <w:p w:rsidR="00B02B20" w:rsidRDefault="00B02B20">
      <w:pPr>
        <w:pStyle w:val="ConsPlusNormal"/>
        <w:spacing w:before="220"/>
        <w:ind w:firstLine="540"/>
        <w:jc w:val="both"/>
      </w:pPr>
      <w:r>
        <w:t>5. Правила, установленные настоящим Порядком, применяются, если иное не установлено федеральным законом, законом Самарской области.</w:t>
      </w:r>
    </w:p>
    <w:p w:rsidR="00B02B20" w:rsidRDefault="00B02B20">
      <w:pPr>
        <w:pStyle w:val="ConsPlusNormal"/>
        <w:jc w:val="both"/>
      </w:pPr>
    </w:p>
    <w:p w:rsidR="00B02B20" w:rsidRDefault="00B02B20">
      <w:pPr>
        <w:pStyle w:val="ConsPlusNormal"/>
        <w:jc w:val="both"/>
      </w:pPr>
    </w:p>
    <w:p w:rsidR="00B02B20" w:rsidRDefault="00B02B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CE6" w:rsidRDefault="006B1CE6"/>
    <w:sectPr w:rsidR="006B1CE6" w:rsidSect="0038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20"/>
    <w:rsid w:val="00020742"/>
    <w:rsid w:val="006B1CE6"/>
    <w:rsid w:val="00B0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2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2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2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2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946ADDFF22855C42CF425F9CF0F7D660626632B30F0EA2D6168B4E5517CD5100E80E67FEEF45714B79BCF7D3281B41CD75430188PAYBK" TargetMode="External"/><Relationship Id="rId13" Type="http://schemas.openxmlformats.org/officeDocument/2006/relationships/hyperlink" Target="consultantplus://offline/ref=E1946ADDFF22855C42CF5C528A9CABDE65693837BA0E02F68A478D190A47CB0440A80837B8A943241A3DE9FAD72151108D3E4C008BBC4345BE6CC9ECP4Y5K" TargetMode="External"/><Relationship Id="rId18" Type="http://schemas.openxmlformats.org/officeDocument/2006/relationships/hyperlink" Target="consultantplus://offline/ref=E1946ADDFF22855C42CF425F9CF0F7D660626632B30F0EA2D6168B4E5517CD5112E8566EFAEF50251E23EBFAD3P2Y3K" TargetMode="External"/><Relationship Id="rId26" Type="http://schemas.openxmlformats.org/officeDocument/2006/relationships/hyperlink" Target="consultantplus://offline/ref=E1946ADDFF22855C42CF5C528A9CABDE65693837BA0E02F68A478D190A47CB0440A80837B8A943241A3DE9FAD72151108D3E4C008BBC4345BE6CC9ECP4Y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1946ADDFF22855C42CF5C528A9CABDE65693837B20907F28349D013021EC70647A75720BFE04F251A3DE9FFD97E54059C66400397A2475FA26EC8PEY4K" TargetMode="External"/><Relationship Id="rId7" Type="http://schemas.openxmlformats.org/officeDocument/2006/relationships/hyperlink" Target="consultantplus://offline/ref=E1946ADDFF22855C42CF5C528A9CABDE65693837BA0E02F68A478D190A47CB0440A80837B8A943241A3DE9FAD72151108D3E4C008BBC4345BE6CC9ECP4Y5K" TargetMode="External"/><Relationship Id="rId12" Type="http://schemas.openxmlformats.org/officeDocument/2006/relationships/hyperlink" Target="consultantplus://offline/ref=E1946ADDFF22855C42CF5C528A9CABDE65693837BA0E07F488428D190A47CB0440A80837B8A943241A3DE9FAD72151108D3E4C008BBC4345BE6CC9ECP4Y5K" TargetMode="External"/><Relationship Id="rId17" Type="http://schemas.openxmlformats.org/officeDocument/2006/relationships/hyperlink" Target="consultantplus://offline/ref=E1946ADDFF22855C42CF5C528A9CABDE65693837BA0E02F68A478D190A47CB0440A80837B8A943241A3DE9FAD72151108D3E4C008BBC4345BE6CC9ECP4Y5K" TargetMode="External"/><Relationship Id="rId25" Type="http://schemas.openxmlformats.org/officeDocument/2006/relationships/hyperlink" Target="consultantplus://offline/ref=E1946ADDFF22855C42CF5C528A9CABDE65693837BA0E07F488428D190A47CB0440A80837B8A943241A3DE9FAD72151108D3E4C008BBC4345BE6CC9ECP4Y5K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946ADDFF22855C42CF5C528A9CABDE65693837BA0E07F488428D190A47CB0440A80837B8A943241A3DE9FAD72151108D3E4C008BBC4345BE6CC9ECP4Y5K" TargetMode="External"/><Relationship Id="rId20" Type="http://schemas.openxmlformats.org/officeDocument/2006/relationships/hyperlink" Target="consultantplus://offline/ref=E1946ADDFF22855C42CF425F9CF0F7D660626632B30F0EA2D6168B4E5517CD5112E8566EFAEF50251E23EBFAD3P2Y3K" TargetMode="External"/><Relationship Id="rId29" Type="http://schemas.openxmlformats.org/officeDocument/2006/relationships/hyperlink" Target="consultantplus://offline/ref=E1946ADDFF22855C42CF5C528A9CABDE65693837B20907F28349D013021EC70647A75720BFE04F251A3DE9FFD97E54059C66400397A2475FA26EC8PEY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946ADDFF22855C42CF5C528A9CABDE65693837BA0E07F488428D190A47CB0440A80837B8A943241A3DE9FAD72151108D3E4C008BBC4345BE6CC9ECP4Y5K" TargetMode="External"/><Relationship Id="rId11" Type="http://schemas.openxmlformats.org/officeDocument/2006/relationships/hyperlink" Target="consultantplus://offline/ref=E1946ADDFF22855C42CF5C528A9CABDE65693837B20907F28349D013021EC70647A75720BFE04F251A3DE9FFD97E54059C66400397A2475FA26EC8PEY4K" TargetMode="External"/><Relationship Id="rId24" Type="http://schemas.openxmlformats.org/officeDocument/2006/relationships/hyperlink" Target="consultantplus://offline/ref=E1946ADDFF22855C42CF5C528A9CABDE65693837B20907F28349D013021EC70647A75720BFE04F251A3DE9FFD97E54059C66400397A2475FA26EC8PEY4K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E1946ADDFF22855C42CF5C528A9CABDE65693837B20907F28349D013021EC70647A75720BFE04F251A3DE9FFD97E54059C66400397A2475FA26EC8PEY4K" TargetMode="External"/><Relationship Id="rId15" Type="http://schemas.openxmlformats.org/officeDocument/2006/relationships/hyperlink" Target="consultantplus://offline/ref=E1946ADDFF22855C42CF5C528A9CABDE65693837B20907F28349D013021EC70647A75720BFE04F251A3DE9FFD97E54059C66400397A2475FA26EC8PEY4K" TargetMode="External"/><Relationship Id="rId23" Type="http://schemas.openxmlformats.org/officeDocument/2006/relationships/hyperlink" Target="consultantplus://offline/ref=E1946ADDFF22855C42CF5C528A9CABDE65693837BA0E02F68A478D190A47CB0440A80837B8A943241A3DE9FAD72151108D3E4C008BBC4345BE6CC9ECP4Y5K" TargetMode="External"/><Relationship Id="rId28" Type="http://schemas.openxmlformats.org/officeDocument/2006/relationships/hyperlink" Target="consultantplus://offline/ref=E1946ADDFF22855C42CF425F9CF0F7D660626632B30F0EA2D6168B4E5517CD5100E80E67F8E845714B79BCF7D3281B41CD75430188PAYBK" TargetMode="External"/><Relationship Id="rId10" Type="http://schemas.openxmlformats.org/officeDocument/2006/relationships/hyperlink" Target="consultantplus://offline/ref=E1946ADDFF22855C42CF5C528A9CABDE65693837BC0D07F78A49D013021EC70647A75732BFB843241823E9FECC280540PCY0K" TargetMode="External"/><Relationship Id="rId19" Type="http://schemas.openxmlformats.org/officeDocument/2006/relationships/hyperlink" Target="consultantplus://offline/ref=E1946ADDFF22855C42CF425F9CF0F7D660626632B30F0EA2D6168B4E5517CD5112E8566EFAEF50251E23EBFAD3P2Y3K" TargetMode="External"/><Relationship Id="rId31" Type="http://schemas.openxmlformats.org/officeDocument/2006/relationships/hyperlink" Target="consultantplus://offline/ref=E1946ADDFF22855C42CF5C528A9CABDE65693837BA0E02F68A478D190A47CB0440A80837B8A943241A3DE9FAD72151108D3E4C008BBC4345BE6CC9ECP4Y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946ADDFF22855C42CF5C528A9CABDE65693837BA0E01FD88408D190A47CB0440A80837B8A943241A3DE9F8D62151108D3E4C008BBC4345BE6CC9ECP4Y5K" TargetMode="External"/><Relationship Id="rId14" Type="http://schemas.openxmlformats.org/officeDocument/2006/relationships/hyperlink" Target="consultantplus://offline/ref=E1946ADDFF22855C42CF425F9CF0F7D660626632B30F0EA2D6168B4E5517CD5100E80E67FFEC45714B79BCF7D3281B41CD75430188PAYBK" TargetMode="External"/><Relationship Id="rId22" Type="http://schemas.openxmlformats.org/officeDocument/2006/relationships/hyperlink" Target="consultantplus://offline/ref=E1946ADDFF22855C42CF5C528A9CABDE65693837BA0E07F488428D190A47CB0440A80837B8A943241A3DE9FAD72151108D3E4C008BBC4345BE6CC9ECP4Y5K" TargetMode="External"/><Relationship Id="rId27" Type="http://schemas.openxmlformats.org/officeDocument/2006/relationships/hyperlink" Target="consultantplus://offline/ref=E1946ADDFF22855C42CF425F9CF0F7D660626632B30F0EA2D6168B4E5517CD5100E80E6BF3E945714B79BCF7D3281B41CD75430188PAYBK" TargetMode="External"/><Relationship Id="rId30" Type="http://schemas.openxmlformats.org/officeDocument/2006/relationships/hyperlink" Target="consultantplus://offline/ref=E1946ADDFF22855C42CF5C528A9CABDE65693837BA0E07F488428D190A47CB0440A80837B8A943241A3DE9FAD72151108D3E4C008BBC4345BE6CC9ECP4Y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Грунина Любовь Вячеславовна</cp:lastModifiedBy>
  <cp:revision>2</cp:revision>
  <dcterms:created xsi:type="dcterms:W3CDTF">2019-04-15T04:00:00Z</dcterms:created>
  <dcterms:modified xsi:type="dcterms:W3CDTF">2019-04-15T04:00:00Z</dcterms:modified>
</cp:coreProperties>
</file>